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368B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672B67" w:rsidRDefault="002D5AAC" w:rsidP="00672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72B67" w:rsidRDefault="00DF71B9" w:rsidP="00672B67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672B67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72B67" w:rsidRDefault="006F6637" w:rsidP="00672B67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672B67">
              <w:rPr>
                <w:spacing w:val="0"/>
                <w:w w:val="100"/>
                <w:kern w:val="0"/>
                <w:sz w:val="40"/>
                <w:lang w:val="en-US"/>
              </w:rPr>
              <w:t>ECE</w:t>
            </w:r>
            <w:r w:rsidRPr="00672B67">
              <w:rPr>
                <w:spacing w:val="0"/>
                <w:w w:val="100"/>
                <w:kern w:val="0"/>
                <w:lang w:val="en-US"/>
              </w:rPr>
              <w:t>/TRANS/WP.29/GRSG/2018/1/Add.1</w:t>
            </w:r>
          </w:p>
        </w:tc>
      </w:tr>
      <w:tr w:rsidR="002D5AAC" w:rsidRPr="003368B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72B67" w:rsidRDefault="002E5067" w:rsidP="00672B67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672B67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672B67" w:rsidRDefault="008A37C8" w:rsidP="00672B67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672B6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672B6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2B67" w:rsidRDefault="006F6637" w:rsidP="00672B67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672B67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6F6637" w:rsidRPr="00672B67" w:rsidRDefault="006F6637" w:rsidP="00672B6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72B67">
              <w:rPr>
                <w:spacing w:val="0"/>
                <w:w w:val="100"/>
                <w:kern w:val="0"/>
                <w:lang w:val="en-US"/>
              </w:rPr>
              <w:t>26 January 2018</w:t>
            </w:r>
          </w:p>
          <w:p w:rsidR="006F6637" w:rsidRPr="00672B67" w:rsidRDefault="006F6637" w:rsidP="00672B6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72B67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6F6637" w:rsidRPr="00672B67" w:rsidRDefault="006F6637" w:rsidP="00672B6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672B67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672B67" w:rsidRDefault="008A37C8" w:rsidP="00672B6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672B6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C0662E" w:rsidRPr="00672B67" w:rsidRDefault="00C0662E" w:rsidP="00672B67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bookmarkStart w:id="1" w:name="bookmark_10"/>
      <w:r w:rsidRPr="00672B6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  <w:bookmarkEnd w:id="1"/>
    </w:p>
    <w:p w:rsidR="00284AF0" w:rsidRPr="00672B67" w:rsidRDefault="00C0662E" w:rsidP="00672B67">
      <w:pPr>
        <w:suppressAutoHyphens/>
        <w:rPr>
          <w:b/>
          <w:spacing w:val="0"/>
          <w:w w:val="100"/>
          <w:kern w:val="0"/>
          <w:sz w:val="24"/>
          <w:szCs w:val="24"/>
        </w:rPr>
      </w:pPr>
      <w:bookmarkStart w:id="2" w:name="bookmark_11"/>
      <w:r w:rsidRPr="00672B67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</w:p>
    <w:p w:rsidR="00C0662E" w:rsidRPr="00672B67" w:rsidRDefault="00C0662E" w:rsidP="00672B67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672B67">
        <w:rPr>
          <w:b/>
          <w:spacing w:val="0"/>
          <w:w w:val="100"/>
          <w:kern w:val="0"/>
          <w:sz w:val="24"/>
          <w:szCs w:val="24"/>
        </w:rPr>
        <w:t>в области транспортных средств</w:t>
      </w:r>
      <w:bookmarkEnd w:id="2"/>
    </w:p>
    <w:p w:rsidR="00284AF0" w:rsidRPr="00672B67" w:rsidRDefault="00C0662E" w:rsidP="00672B67">
      <w:pPr>
        <w:suppressAutoHyphens/>
        <w:spacing w:before="120"/>
        <w:rPr>
          <w:b/>
          <w:spacing w:val="0"/>
          <w:w w:val="100"/>
          <w:kern w:val="0"/>
        </w:rPr>
      </w:pPr>
      <w:bookmarkStart w:id="3" w:name="bookmark_12"/>
      <w:r w:rsidRPr="00672B67">
        <w:rPr>
          <w:b/>
          <w:spacing w:val="0"/>
          <w:w w:val="100"/>
          <w:kern w:val="0"/>
        </w:rPr>
        <w:t xml:space="preserve">Рабочая группа по общим предписаниям, </w:t>
      </w:r>
    </w:p>
    <w:p w:rsidR="00C0662E" w:rsidRPr="00672B67" w:rsidRDefault="00C0662E" w:rsidP="00672B67">
      <w:pPr>
        <w:suppressAutoHyphens/>
        <w:rPr>
          <w:b/>
          <w:spacing w:val="0"/>
          <w:w w:val="100"/>
          <w:kern w:val="0"/>
        </w:rPr>
      </w:pPr>
      <w:r w:rsidRPr="00672B67">
        <w:rPr>
          <w:b/>
          <w:spacing w:val="0"/>
          <w:w w:val="100"/>
          <w:kern w:val="0"/>
        </w:rPr>
        <w:t>касающимся безопасности</w:t>
      </w:r>
      <w:bookmarkEnd w:id="3"/>
    </w:p>
    <w:p w:rsidR="00C0662E" w:rsidRPr="00672B67" w:rsidRDefault="00C0662E" w:rsidP="00672B67">
      <w:pPr>
        <w:suppressAutoHyphens/>
        <w:spacing w:before="120"/>
        <w:rPr>
          <w:b/>
          <w:spacing w:val="0"/>
          <w:w w:val="100"/>
          <w:kern w:val="0"/>
        </w:rPr>
      </w:pPr>
      <w:bookmarkStart w:id="4" w:name="bookmark_13"/>
      <w:r w:rsidRPr="00672B67">
        <w:rPr>
          <w:b/>
          <w:spacing w:val="0"/>
          <w:w w:val="100"/>
          <w:kern w:val="0"/>
        </w:rPr>
        <w:t>114-я сессия</w:t>
      </w:r>
      <w:bookmarkEnd w:id="4"/>
    </w:p>
    <w:p w:rsidR="00C0662E" w:rsidRPr="00672B67" w:rsidRDefault="00C0662E" w:rsidP="00672B67">
      <w:pPr>
        <w:suppressAutoHyphens/>
        <w:rPr>
          <w:spacing w:val="0"/>
          <w:w w:val="100"/>
          <w:kern w:val="0"/>
        </w:rPr>
      </w:pPr>
      <w:bookmarkStart w:id="5" w:name="bookmark_14"/>
      <w:r w:rsidRPr="00672B67">
        <w:rPr>
          <w:spacing w:val="0"/>
          <w:w w:val="100"/>
          <w:kern w:val="0"/>
        </w:rPr>
        <w:t>Женева, 9–13 апреля 2018 года</w:t>
      </w:r>
      <w:bookmarkEnd w:id="5"/>
    </w:p>
    <w:p w:rsidR="00C0662E" w:rsidRPr="00672B67" w:rsidRDefault="00C0662E" w:rsidP="00672B67">
      <w:pPr>
        <w:suppressAutoHyphens/>
        <w:rPr>
          <w:spacing w:val="0"/>
          <w:w w:val="100"/>
          <w:kern w:val="0"/>
        </w:rPr>
      </w:pPr>
      <w:bookmarkStart w:id="6" w:name="bookmark_15"/>
      <w:r w:rsidRPr="00672B67">
        <w:rPr>
          <w:spacing w:val="0"/>
          <w:w w:val="100"/>
          <w:kern w:val="0"/>
        </w:rPr>
        <w:t>Пункт 1 предварительной повестки дня</w:t>
      </w:r>
      <w:bookmarkEnd w:id="6"/>
    </w:p>
    <w:p w:rsidR="00C0662E" w:rsidRPr="00672B67" w:rsidRDefault="00C0662E" w:rsidP="00672B67">
      <w:pPr>
        <w:suppressAutoHyphens/>
        <w:rPr>
          <w:b/>
          <w:spacing w:val="0"/>
          <w:w w:val="100"/>
          <w:kern w:val="0"/>
        </w:rPr>
      </w:pPr>
      <w:bookmarkStart w:id="7" w:name="bookmark_16"/>
      <w:r w:rsidRPr="00672B67">
        <w:rPr>
          <w:b/>
          <w:spacing w:val="0"/>
          <w:w w:val="100"/>
          <w:kern w:val="0"/>
        </w:rPr>
        <w:t>Утверждение повестки дня</w:t>
      </w:r>
      <w:bookmarkEnd w:id="7"/>
    </w:p>
    <w:p w:rsidR="00C0662E" w:rsidRPr="00672B67" w:rsidRDefault="00A85D40" w:rsidP="00672B67">
      <w:pPr>
        <w:pStyle w:val="HChGR"/>
        <w:rPr>
          <w:spacing w:val="0"/>
          <w:w w:val="100"/>
          <w:kern w:val="0"/>
        </w:rPr>
      </w:pPr>
      <w:bookmarkStart w:id="8" w:name="bookmark_17"/>
      <w:r w:rsidRPr="00672B67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Предварительная повестка дня 114-й сессии</w:t>
      </w:r>
      <w:bookmarkEnd w:id="8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9" w:name="bookmark_18"/>
      <w:r w:rsidRPr="00672B67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</w:rPr>
        <w:tab/>
        <w:t>Добавление</w:t>
      </w:r>
      <w:bookmarkEnd w:id="9"/>
    </w:p>
    <w:p w:rsidR="00C0662E" w:rsidRPr="00672B67" w:rsidRDefault="00C0662E" w:rsidP="00672B67">
      <w:pPr>
        <w:pStyle w:val="HChGR"/>
        <w:rPr>
          <w:spacing w:val="0"/>
          <w:w w:val="100"/>
          <w:kern w:val="0"/>
        </w:rPr>
      </w:pPr>
      <w:bookmarkStart w:id="10" w:name="bookmark_19"/>
      <w:r w:rsidRPr="00672B67">
        <w:rPr>
          <w:spacing w:val="0"/>
          <w:w w:val="100"/>
          <w:kern w:val="0"/>
        </w:rPr>
        <w:tab/>
      </w:r>
      <w:r w:rsidR="00473DF3" w:rsidRPr="00672B67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</w:rPr>
        <w:t>Aннотации</w:t>
      </w:r>
      <w:bookmarkEnd w:id="10"/>
    </w:p>
    <w:p w:rsidR="00C0662E" w:rsidRPr="00672B67" w:rsidRDefault="00A85D40" w:rsidP="00672B67">
      <w:pPr>
        <w:pStyle w:val="H1GR"/>
        <w:rPr>
          <w:spacing w:val="0"/>
          <w:w w:val="100"/>
          <w:kern w:val="0"/>
        </w:rPr>
      </w:pPr>
      <w:bookmarkStart w:id="11" w:name="bookmark_20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1.</w:t>
      </w:r>
      <w:r w:rsidR="00C0662E" w:rsidRPr="00672B67">
        <w:rPr>
          <w:spacing w:val="0"/>
          <w:w w:val="100"/>
          <w:kern w:val="0"/>
        </w:rPr>
        <w:tab/>
        <w:t>Утверждение повестки дня</w:t>
      </w:r>
      <w:bookmarkEnd w:id="11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12" w:name="bookmark_21"/>
      <w:r w:rsidRPr="00672B67">
        <w:rPr>
          <w:spacing w:val="0"/>
          <w:w w:val="100"/>
          <w:kern w:val="0"/>
        </w:rPr>
        <w:tab/>
        <w:t>В соответствии с правилом 7 гла</w:t>
      </w:r>
      <w:r w:rsidR="00A85D40" w:rsidRPr="00672B67">
        <w:rPr>
          <w:spacing w:val="0"/>
          <w:w w:val="100"/>
          <w:kern w:val="0"/>
        </w:rPr>
        <w:t xml:space="preserve">вы III правил процедуры (TRANS/ </w:t>
      </w:r>
      <w:r w:rsidRPr="00672B67">
        <w:rPr>
          <w:spacing w:val="0"/>
          <w:w w:val="100"/>
          <w:kern w:val="0"/>
        </w:rPr>
        <w:t>WP.29/690, Amend.1 и 2) Всемирного форума по согласованию правил в области транспортных средств (WP.29) первым пунктом предварительной повестки дня является утверждение повестки дня.</w:t>
      </w:r>
      <w:bookmarkEnd w:id="12"/>
    </w:p>
    <w:p w:rsidR="00C0662E" w:rsidRPr="00672B67" w:rsidRDefault="00C0662E" w:rsidP="00672B67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13" w:name="bookmark_22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  <w:lang w:val="en-US"/>
        </w:rPr>
        <w:t>ECE</w:t>
      </w:r>
      <w:r w:rsidRPr="00672B67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672B67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672B67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672B67">
        <w:rPr>
          <w:spacing w:val="0"/>
          <w:w w:val="100"/>
          <w:kern w:val="0"/>
        </w:rPr>
        <w:t xml:space="preserve">/2018/1 и </w:t>
      </w:r>
      <w:r w:rsidRPr="00672B67">
        <w:rPr>
          <w:spacing w:val="0"/>
          <w:w w:val="100"/>
          <w:kern w:val="0"/>
          <w:lang w:val="en-US"/>
        </w:rPr>
        <w:t>Add</w:t>
      </w:r>
      <w:r w:rsidRPr="00672B67">
        <w:rPr>
          <w:spacing w:val="0"/>
          <w:w w:val="100"/>
          <w:kern w:val="0"/>
        </w:rPr>
        <w:t xml:space="preserve">.1 </w:t>
      </w:r>
    </w:p>
    <w:p w:rsidR="00C0662E" w:rsidRPr="00672B67" w:rsidRDefault="00C0662E" w:rsidP="00672B67">
      <w:pPr>
        <w:pStyle w:val="SingleTxtGR"/>
        <w:suppressAutoHyphens/>
        <w:spacing w:after="0"/>
        <w:ind w:left="2842"/>
        <w:rPr>
          <w:spacing w:val="0"/>
          <w:w w:val="100"/>
          <w:kern w:val="0"/>
        </w:rPr>
      </w:pPr>
      <w:r w:rsidRPr="00672B67">
        <w:rPr>
          <w:spacing w:val="0"/>
          <w:w w:val="100"/>
          <w:kern w:val="0"/>
        </w:rPr>
        <w:t xml:space="preserve">неофициальный документ </w:t>
      </w:r>
      <w:r w:rsidRPr="00672B67">
        <w:rPr>
          <w:spacing w:val="0"/>
          <w:w w:val="100"/>
          <w:kern w:val="0"/>
          <w:lang w:val="en-US"/>
        </w:rPr>
        <w:t>GRSG</w:t>
      </w:r>
      <w:r w:rsidRPr="00672B67">
        <w:rPr>
          <w:spacing w:val="0"/>
          <w:w w:val="100"/>
          <w:kern w:val="0"/>
        </w:rPr>
        <w:t>-114-01</w:t>
      </w:r>
      <w:bookmarkEnd w:id="13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14" w:name="bookmark_23"/>
      <w:r w:rsidRPr="00672B67">
        <w:rPr>
          <w:spacing w:val="0"/>
          <w:w w:val="100"/>
          <w:kern w:val="0"/>
        </w:rPr>
        <w:tab/>
        <w:t>2.</w:t>
      </w:r>
      <w:r w:rsidRPr="00672B67">
        <w:rPr>
          <w:spacing w:val="0"/>
          <w:w w:val="100"/>
          <w:kern w:val="0"/>
        </w:rPr>
        <w:tab/>
        <w:t>Поправки к правилам, касающимся городских и</w:t>
      </w:r>
      <w:r w:rsidR="00FA3775" w:rsidRPr="00672B67">
        <w:rPr>
          <w:spacing w:val="0"/>
          <w:w w:val="100"/>
          <w:kern w:val="0"/>
          <w:lang w:val="en-US"/>
        </w:rPr>
        <w:t> </w:t>
      </w:r>
      <w:r w:rsidRPr="00672B67">
        <w:rPr>
          <w:spacing w:val="0"/>
          <w:w w:val="100"/>
          <w:kern w:val="0"/>
        </w:rPr>
        <w:t>междугородных автобусов</w:t>
      </w:r>
      <w:bookmarkEnd w:id="14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15" w:name="bookmark_24"/>
      <w:r w:rsidRPr="00672B67">
        <w:rPr>
          <w:spacing w:val="0"/>
          <w:w w:val="100"/>
          <w:kern w:val="0"/>
        </w:rPr>
        <w:tab/>
        <w:t>a)</w:t>
      </w:r>
      <w:r w:rsidRPr="00672B67">
        <w:rPr>
          <w:spacing w:val="0"/>
          <w:w w:val="100"/>
          <w:kern w:val="0"/>
        </w:rPr>
        <w:tab/>
        <w:t>Правила № 107 (транспортные средства категорий М</w:t>
      </w:r>
      <w:r w:rsidRPr="00672B67">
        <w:rPr>
          <w:spacing w:val="0"/>
          <w:w w:val="100"/>
          <w:kern w:val="0"/>
          <w:vertAlign w:val="subscript"/>
        </w:rPr>
        <w:t>2</w:t>
      </w:r>
      <w:r w:rsidRPr="00672B67">
        <w:rPr>
          <w:spacing w:val="0"/>
          <w:w w:val="100"/>
          <w:kern w:val="0"/>
        </w:rPr>
        <w:t xml:space="preserve"> и М</w:t>
      </w:r>
      <w:r w:rsidRPr="00672B67">
        <w:rPr>
          <w:spacing w:val="0"/>
          <w:w w:val="100"/>
          <w:kern w:val="0"/>
          <w:vertAlign w:val="subscript"/>
        </w:rPr>
        <w:t>3</w:t>
      </w:r>
      <w:r w:rsidRPr="00672B67">
        <w:rPr>
          <w:spacing w:val="0"/>
          <w:w w:val="100"/>
          <w:kern w:val="0"/>
        </w:rPr>
        <w:t>)</w:t>
      </w:r>
      <w:bookmarkEnd w:id="15"/>
    </w:p>
    <w:p w:rsidR="00C0662E" w:rsidRPr="00672B67" w:rsidRDefault="00473DF3" w:rsidP="00672B67">
      <w:pPr>
        <w:pStyle w:val="SingleTxtGR"/>
        <w:suppressAutoHyphens/>
        <w:rPr>
          <w:spacing w:val="0"/>
          <w:w w:val="100"/>
          <w:kern w:val="0"/>
        </w:rPr>
      </w:pPr>
      <w:bookmarkStart w:id="16" w:name="bookmark_25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Рабочая группа по общим предписаниям, касающимся безопасности (GRSG), возможно, пожелает рассмотреть предложения по поправкам к Правилам № 107 ООН, если таковые будут представлены.</w:t>
      </w:r>
      <w:bookmarkEnd w:id="16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17" w:name="bookmark_26"/>
      <w:r w:rsidRPr="00672B67">
        <w:rPr>
          <w:spacing w:val="0"/>
          <w:w w:val="100"/>
          <w:kern w:val="0"/>
        </w:rPr>
        <w:tab/>
        <w:t>b)</w:t>
      </w:r>
      <w:r w:rsidRPr="00672B67">
        <w:rPr>
          <w:spacing w:val="0"/>
          <w:w w:val="100"/>
          <w:kern w:val="0"/>
        </w:rPr>
        <w:tab/>
        <w:t>Правила № 118 ООН (характеристики горения материалов)</w:t>
      </w:r>
      <w:bookmarkEnd w:id="17"/>
    </w:p>
    <w:p w:rsidR="00C0662E" w:rsidRPr="00672B67" w:rsidRDefault="001C0C85" w:rsidP="00672B67">
      <w:pPr>
        <w:pStyle w:val="SingleTxtGR"/>
        <w:suppressAutoHyphens/>
        <w:rPr>
          <w:spacing w:val="0"/>
          <w:w w:val="100"/>
          <w:kern w:val="0"/>
        </w:rPr>
      </w:pPr>
      <w:bookmarkStart w:id="18" w:name="bookmark_27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 xml:space="preserve">GRSG, возможно, пожелает заслушать сообщение эксперта от Франция, возглавляющего специальную целевую группу по вопросу о поведении общей </w:t>
      </w:r>
      <w:r w:rsidR="00C0662E" w:rsidRPr="00672B67">
        <w:rPr>
          <w:spacing w:val="0"/>
          <w:w w:val="100"/>
          <w:kern w:val="0"/>
        </w:rPr>
        <w:lastRenderedPageBreak/>
        <w:t>конструкции транспортных средств М</w:t>
      </w:r>
      <w:r w:rsidR="00C0662E" w:rsidRPr="00672B67">
        <w:rPr>
          <w:spacing w:val="0"/>
          <w:w w:val="100"/>
          <w:kern w:val="0"/>
          <w:vertAlign w:val="subscript"/>
        </w:rPr>
        <w:t>2</w:t>
      </w:r>
      <w:r w:rsidR="00C0662E" w:rsidRPr="00672B67">
        <w:rPr>
          <w:spacing w:val="0"/>
          <w:w w:val="100"/>
          <w:kern w:val="0"/>
        </w:rPr>
        <w:t xml:space="preserve"> и М</w:t>
      </w:r>
      <w:r w:rsidR="00C0662E" w:rsidRPr="00672B67">
        <w:rPr>
          <w:spacing w:val="0"/>
          <w:w w:val="100"/>
          <w:kern w:val="0"/>
          <w:vertAlign w:val="subscript"/>
        </w:rPr>
        <w:t>3</w:t>
      </w:r>
      <w:r w:rsidR="00C0662E" w:rsidRPr="00672B67">
        <w:rPr>
          <w:spacing w:val="0"/>
          <w:w w:val="100"/>
          <w:kern w:val="0"/>
        </w:rPr>
        <w:t xml:space="preserve"> в случае пожара об итогах первого совещания, состоявшегося 29 января 2018 года.</w:t>
      </w:r>
      <w:bookmarkEnd w:id="18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19" w:name="bookmark_28"/>
      <w:r w:rsidRPr="00672B67">
        <w:rPr>
          <w:spacing w:val="0"/>
          <w:w w:val="100"/>
          <w:kern w:val="0"/>
        </w:rPr>
        <w:tab/>
        <w:t>3.</w:t>
      </w:r>
      <w:r w:rsidRPr="00672B67">
        <w:rPr>
          <w:spacing w:val="0"/>
          <w:w w:val="100"/>
          <w:kern w:val="0"/>
        </w:rPr>
        <w:tab/>
        <w:t>Правила № 34 ООН (предотвращение опасности возникновения пожара)</w:t>
      </w:r>
      <w:bookmarkEnd w:id="19"/>
    </w:p>
    <w:p w:rsidR="00C0662E" w:rsidRPr="00672B67" w:rsidRDefault="001C0C85" w:rsidP="00672B67">
      <w:pPr>
        <w:pStyle w:val="SingleTxtGR"/>
        <w:suppressAutoHyphens/>
        <w:rPr>
          <w:spacing w:val="0"/>
          <w:w w:val="100"/>
          <w:kern w:val="0"/>
        </w:rPr>
      </w:pPr>
      <w:bookmarkStart w:id="20" w:name="bookmark_29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возобновить рассмотрение предложения Франция для согласования текста Правил на всех трех официальных языках в отношении предписаний, касающихся испытания на боковой удар.</w:t>
      </w:r>
      <w:bookmarkEnd w:id="20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21" w:name="bookmark_30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ECE/TRANS/WP.29/GRSG/2018/4</w:t>
      </w:r>
      <w:bookmarkEnd w:id="21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22" w:name="bookmark_31"/>
      <w:r w:rsidRPr="00672B67">
        <w:rPr>
          <w:spacing w:val="0"/>
          <w:w w:val="100"/>
          <w:kern w:val="0"/>
        </w:rPr>
        <w:tab/>
        <w:t>4.</w:t>
      </w:r>
      <w:r w:rsidRPr="00672B67">
        <w:rPr>
          <w:spacing w:val="0"/>
          <w:w w:val="100"/>
          <w:kern w:val="0"/>
        </w:rPr>
        <w:tab/>
        <w:t>Поправки к правилам, касающимся безопасных стекловых материалов</w:t>
      </w:r>
      <w:bookmarkEnd w:id="22"/>
    </w:p>
    <w:p w:rsidR="00C0662E" w:rsidRPr="00672B67" w:rsidRDefault="001C0C85" w:rsidP="00672B67">
      <w:pPr>
        <w:pStyle w:val="SingleTxtGR"/>
        <w:suppressAutoHyphens/>
        <w:rPr>
          <w:spacing w:val="0"/>
          <w:w w:val="100"/>
          <w:kern w:val="0"/>
        </w:rPr>
      </w:pPr>
      <w:bookmarkStart w:id="23" w:name="bookmark_32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 xml:space="preserve">GRSG будет проинформирована Председателем неофициальной рабочей группы (НРГ) по стеклам для панорамных люков автомобилей (СПЛА) о ходе работы над поправками к Правилам ООН, касающимся безопасных стекловых материалов, в отношении новых положений о </w:t>
      </w:r>
      <w:r w:rsidR="00E52E26">
        <w:rPr>
          <w:spacing w:val="0"/>
          <w:w w:val="100"/>
          <w:kern w:val="0"/>
        </w:rPr>
        <w:t>«</w:t>
      </w:r>
      <w:r w:rsidR="00C0662E" w:rsidRPr="00672B67">
        <w:rPr>
          <w:spacing w:val="0"/>
          <w:w w:val="100"/>
          <w:kern w:val="0"/>
        </w:rPr>
        <w:t>зонах с керамической печатью</w:t>
      </w:r>
      <w:r w:rsidR="00E52E26">
        <w:rPr>
          <w:spacing w:val="0"/>
          <w:w w:val="100"/>
          <w:kern w:val="0"/>
        </w:rPr>
        <w:t>»</w:t>
      </w:r>
      <w:r w:rsidR="00C0662E" w:rsidRPr="00672B67">
        <w:rPr>
          <w:spacing w:val="0"/>
          <w:w w:val="100"/>
          <w:kern w:val="0"/>
        </w:rPr>
        <w:t>.</w:t>
      </w:r>
      <w:bookmarkEnd w:id="23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24" w:name="bookmark_33"/>
      <w:r w:rsidRPr="00672B67">
        <w:rPr>
          <w:spacing w:val="0"/>
          <w:w w:val="100"/>
          <w:kern w:val="0"/>
        </w:rPr>
        <w:tab/>
        <w:t>a)</w:t>
      </w:r>
      <w:r w:rsidRPr="00672B67">
        <w:rPr>
          <w:spacing w:val="0"/>
          <w:w w:val="100"/>
          <w:kern w:val="0"/>
        </w:rPr>
        <w:tab/>
        <w:t>Глобальные технические правила № 6 ООН (безопасные стекловые материалы)</w:t>
      </w:r>
      <w:bookmarkEnd w:id="24"/>
    </w:p>
    <w:p w:rsidR="00C0662E" w:rsidRPr="00672B67" w:rsidRDefault="001C0C85" w:rsidP="00672B67">
      <w:pPr>
        <w:pStyle w:val="SingleTxtGR"/>
        <w:suppressAutoHyphens/>
        <w:rPr>
          <w:spacing w:val="0"/>
          <w:w w:val="100"/>
          <w:kern w:val="0"/>
        </w:rPr>
      </w:pPr>
      <w:bookmarkStart w:id="25" w:name="bookmark_34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Ожидается, что GRSG рассмотрит предложение НРГ по СПЛА для уточнения положений Глобальных технических правил № 6, если таковое будет представлено.</w:t>
      </w:r>
      <w:bookmarkEnd w:id="25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26" w:name="bookmark_35"/>
      <w:r w:rsidRPr="00672B67">
        <w:rPr>
          <w:spacing w:val="0"/>
          <w:w w:val="100"/>
          <w:kern w:val="0"/>
        </w:rPr>
        <w:tab/>
        <w:t>b)</w:t>
      </w:r>
      <w:r w:rsidRPr="00672B67">
        <w:rPr>
          <w:spacing w:val="0"/>
          <w:w w:val="100"/>
          <w:kern w:val="0"/>
        </w:rPr>
        <w:tab/>
        <w:t>Правила № 43 ООН (безопасные стекловые материалы)</w:t>
      </w:r>
      <w:bookmarkEnd w:id="26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27" w:name="bookmark_36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предложение Финляндии о внесении поправок в положения Правил № 43 ООН, с тем чтобы можно было официально утверждать многослойные безосколочные стекла с улучшенными механическими свойствами.</w:t>
      </w:r>
      <w:bookmarkEnd w:id="27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28" w:name="bookmark_37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ECE/TRANS/WP.29/GRSG/2018/7</w:t>
      </w:r>
      <w:bookmarkEnd w:id="28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29" w:name="bookmark_38"/>
      <w:r w:rsidRPr="00672B67">
        <w:rPr>
          <w:spacing w:val="0"/>
          <w:w w:val="100"/>
          <w:kern w:val="0"/>
        </w:rPr>
        <w:tab/>
        <w:t>5.</w:t>
      </w:r>
      <w:r w:rsidRPr="00672B67">
        <w:rPr>
          <w:spacing w:val="0"/>
          <w:w w:val="100"/>
          <w:kern w:val="0"/>
        </w:rPr>
        <w:tab/>
        <w:t>Информирование о непосредственной близости уязвимых участников дорожного движения</w:t>
      </w:r>
      <w:bookmarkEnd w:id="29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30" w:name="bookmark_39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будет проинформирована Председателем НРГ по информированию о непосредственной близости уязвимых участников дорожного движения (НБУУД) о результатах работы этой группы над новыми требованиями в отношении непосредственного поля обзора.</w:t>
      </w:r>
      <w:bookmarkEnd w:id="30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31" w:name="bookmark_40"/>
      <w:r w:rsidRPr="00672B67">
        <w:rPr>
          <w:spacing w:val="0"/>
          <w:w w:val="100"/>
          <w:kern w:val="0"/>
        </w:rPr>
        <w:tab/>
        <w:t>a)</w:t>
      </w:r>
      <w:r w:rsidRPr="00672B67">
        <w:rPr>
          <w:spacing w:val="0"/>
          <w:w w:val="100"/>
          <w:kern w:val="0"/>
        </w:rPr>
        <w:tab/>
        <w:t>Правила № 46 ООН (устройства непрямого обзора)</w:t>
      </w:r>
      <w:bookmarkEnd w:id="31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32" w:name="bookmark_41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возобновить рассмотрение документа ECE/TRANS/WP.29/</w:t>
      </w:r>
      <w:r w:rsidR="003368BB">
        <w:rPr>
          <w:spacing w:val="0"/>
          <w:w w:val="100"/>
          <w:kern w:val="0"/>
        </w:rPr>
        <w:br/>
      </w:r>
      <w:r w:rsidR="00C0662E" w:rsidRPr="00672B67">
        <w:rPr>
          <w:spacing w:val="0"/>
          <w:w w:val="100"/>
          <w:kern w:val="0"/>
        </w:rPr>
        <w:t>GRSG/2018/9, представленного Международной организацией предприятий автомобильной промышленности (МОПАП), дл</w:t>
      </w:r>
      <w:r w:rsidRPr="00672B67">
        <w:rPr>
          <w:spacing w:val="0"/>
          <w:w w:val="100"/>
          <w:kern w:val="0"/>
        </w:rPr>
        <w:t>я уточнения требований Правил № </w:t>
      </w:r>
      <w:r w:rsidR="00C0662E" w:rsidRPr="00672B67">
        <w:rPr>
          <w:spacing w:val="0"/>
          <w:w w:val="100"/>
          <w:kern w:val="0"/>
        </w:rPr>
        <w:t>46 ООН, касающихся наложения изображений в системах видеокамер/видеомониторов (СВКВМ), с тем чтобы избежать возможных рисков, связанных с толкованием положений.</w:t>
      </w:r>
      <w:bookmarkEnd w:id="32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33" w:name="bookmark_42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ECE/TRANS/WP.29/GRSG/2018/9</w:t>
      </w:r>
      <w:bookmarkEnd w:id="33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34" w:name="bookmark_43"/>
      <w:r w:rsidRPr="00672B67">
        <w:rPr>
          <w:spacing w:val="0"/>
          <w:w w:val="100"/>
          <w:kern w:val="0"/>
        </w:rPr>
        <w:tab/>
        <w:t>b)</w:t>
      </w:r>
      <w:r w:rsidRPr="00672B67">
        <w:rPr>
          <w:spacing w:val="0"/>
          <w:w w:val="100"/>
          <w:kern w:val="0"/>
        </w:rPr>
        <w:tab/>
        <w:t>Новые правила, касающиеся систем индикации мертвой зоны (СИМЗ)</w:t>
      </w:r>
      <w:bookmarkEnd w:id="34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35" w:name="bookmark_44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вернуться к рассмотрению новых правил ООН, касающихся СИМЗ, представленных Германией (ECE/TRANS/WP.29/GRSG/2017/11), с учетом детальных комментариев НРГ по НБУУД.</w:t>
      </w:r>
      <w:bookmarkEnd w:id="35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36" w:name="bookmark_45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ECE/TRANS/WP.29/GRSG/2017/11</w:t>
      </w:r>
      <w:bookmarkEnd w:id="36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37" w:name="bookmark_46"/>
      <w:r w:rsidRPr="00672B67">
        <w:rPr>
          <w:spacing w:val="0"/>
          <w:w w:val="100"/>
          <w:kern w:val="0"/>
        </w:rPr>
        <w:lastRenderedPageBreak/>
        <w:tab/>
        <w:t>6.</w:t>
      </w:r>
      <w:r w:rsidRPr="00672B67">
        <w:rPr>
          <w:spacing w:val="0"/>
          <w:w w:val="100"/>
          <w:kern w:val="0"/>
        </w:rPr>
        <w:tab/>
        <w:t>Поправки к правилам, касающимся транспортных средств, работающих на газе</w:t>
      </w:r>
      <w:bookmarkEnd w:id="37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38" w:name="bookmark_47"/>
      <w:r w:rsidRPr="00672B67">
        <w:rPr>
          <w:spacing w:val="0"/>
          <w:w w:val="100"/>
          <w:kern w:val="0"/>
        </w:rPr>
        <w:tab/>
        <w:t>a)</w:t>
      </w:r>
      <w:r w:rsidRPr="00672B67">
        <w:rPr>
          <w:spacing w:val="0"/>
          <w:w w:val="100"/>
          <w:kern w:val="0"/>
        </w:rPr>
        <w:tab/>
        <w:t>Правила № 67 ООН (транспортные средства, работающие на СНГ)</w:t>
      </w:r>
      <w:bookmarkEnd w:id="38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39" w:name="bookmark_48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возобновить рассмотрение предложения Германии для улучшения технических требований относительно клапанных групп, установленных на транспортных средствах, работающих на сжиженном нефтяном газе (СНГ), а также технических требований об установке и осмотре баллонов с сжиженным природным газом (СПГ) и их вспомогательного оборудования (ECE/TRANS/WP.29/GRSG/</w:t>
      </w:r>
      <w:r w:rsidR="003368BB">
        <w:rPr>
          <w:spacing w:val="0"/>
          <w:w w:val="100"/>
          <w:kern w:val="0"/>
        </w:rPr>
        <w:br/>
      </w:r>
      <w:r w:rsidR="00C0662E" w:rsidRPr="00672B67">
        <w:rPr>
          <w:spacing w:val="0"/>
          <w:w w:val="100"/>
          <w:kern w:val="0"/>
        </w:rPr>
        <w:t>2017/16), с учетом выводов целевой группы.</w:t>
      </w:r>
      <w:bookmarkEnd w:id="39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40" w:name="bookmark_49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возобновит рассмотрение встречного предложения, представленного МОПАП (ECE/TRANS/WP.29/GRSG/2018/2), по изменению испытания на старение в Правилах № 67 ООН.</w:t>
      </w:r>
      <w:bookmarkEnd w:id="40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41" w:name="bookmark_50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Ожидается, что GRSG дополнительно рассмотрит предложение Турции по новым положениям о местонахождении заправочного блока на транспортном средстве и ограничении срока службы баллонов с СНГ (ECE/TRANS/WP.29/GRSG/2017/22).</w:t>
      </w:r>
      <w:bookmarkEnd w:id="41"/>
    </w:p>
    <w:p w:rsidR="00C0662E" w:rsidRPr="00672B67" w:rsidRDefault="008D1D06" w:rsidP="00672B67">
      <w:pPr>
        <w:pStyle w:val="SingleTxtGR"/>
        <w:suppressAutoHyphens/>
        <w:rPr>
          <w:spacing w:val="0"/>
          <w:w w:val="100"/>
          <w:kern w:val="0"/>
        </w:rPr>
      </w:pPr>
      <w:bookmarkStart w:id="42" w:name="bookmark_51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предложение Польши ECE/TRANS/WP.29/GRSG/2</w:t>
      </w:r>
      <w:r w:rsidR="00292B5C">
        <w:rPr>
          <w:spacing w:val="0"/>
          <w:w w:val="100"/>
          <w:kern w:val="0"/>
        </w:rPr>
        <w:t xml:space="preserve">018/8 по уточнению определения </w:t>
      </w:r>
      <w:r w:rsidR="00E52E26">
        <w:rPr>
          <w:spacing w:val="0"/>
          <w:w w:val="100"/>
          <w:kern w:val="0"/>
        </w:rPr>
        <w:t>«</w:t>
      </w:r>
      <w:r w:rsidR="00C0662E" w:rsidRPr="00672B67">
        <w:rPr>
          <w:spacing w:val="0"/>
          <w:w w:val="100"/>
          <w:kern w:val="0"/>
        </w:rPr>
        <w:t>тип баллона</w:t>
      </w:r>
      <w:r w:rsidR="00E52E26">
        <w:rPr>
          <w:spacing w:val="0"/>
          <w:w w:val="100"/>
          <w:kern w:val="0"/>
        </w:rPr>
        <w:t>»</w:t>
      </w:r>
      <w:r w:rsidR="00C0662E" w:rsidRPr="00672B67">
        <w:rPr>
          <w:spacing w:val="0"/>
          <w:w w:val="100"/>
          <w:kern w:val="0"/>
        </w:rPr>
        <w:t xml:space="preserve"> и изменению положений приложения 2В.</w:t>
      </w:r>
      <w:bookmarkEnd w:id="42"/>
    </w:p>
    <w:p w:rsidR="003B7A91" w:rsidRPr="003368BB" w:rsidRDefault="00C0662E" w:rsidP="00672B67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43" w:name="bookmark_52"/>
      <w:r w:rsidRPr="00672B67">
        <w:rPr>
          <w:b/>
          <w:bCs/>
          <w:spacing w:val="0"/>
          <w:w w:val="100"/>
          <w:kern w:val="0"/>
        </w:rPr>
        <w:t>Документация</w:t>
      </w:r>
      <w:r w:rsidRPr="003368BB">
        <w:rPr>
          <w:spacing w:val="0"/>
          <w:w w:val="100"/>
          <w:kern w:val="0"/>
        </w:rPr>
        <w:t>:</w:t>
      </w:r>
      <w:r w:rsidRPr="003368BB">
        <w:rPr>
          <w:spacing w:val="0"/>
          <w:w w:val="100"/>
          <w:kern w:val="0"/>
        </w:rPr>
        <w:tab/>
        <w:t>(</w:t>
      </w:r>
      <w:r w:rsidRPr="00672B67">
        <w:rPr>
          <w:spacing w:val="0"/>
          <w:w w:val="100"/>
          <w:kern w:val="0"/>
          <w:lang w:val="en-US"/>
        </w:rPr>
        <w:t>ECE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3368BB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3368BB">
        <w:rPr>
          <w:spacing w:val="0"/>
          <w:w w:val="100"/>
          <w:kern w:val="0"/>
        </w:rPr>
        <w:t xml:space="preserve">/2017/16) </w:t>
      </w:r>
    </w:p>
    <w:p w:rsidR="00C0662E" w:rsidRPr="00672B67" w:rsidRDefault="00C0662E" w:rsidP="00672B67">
      <w:pPr>
        <w:pStyle w:val="SingleTxtGR"/>
        <w:suppressAutoHyphens/>
        <w:spacing w:after="0"/>
        <w:ind w:left="2842"/>
        <w:rPr>
          <w:spacing w:val="0"/>
          <w:w w:val="100"/>
          <w:kern w:val="0"/>
          <w:lang w:val="en-US"/>
        </w:rPr>
      </w:pPr>
      <w:r w:rsidRPr="00672B67">
        <w:rPr>
          <w:spacing w:val="0"/>
          <w:w w:val="100"/>
          <w:kern w:val="0"/>
          <w:lang w:val="en-US"/>
        </w:rPr>
        <w:t>ECE/TRANS/WP.29/GRSG/2017/22 ECE/TRANS/WP.29/GRSG/2018/2 ECE/TRANS/WP.29/GRSG/2018/8</w:t>
      </w:r>
      <w:bookmarkEnd w:id="43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44" w:name="bookmark_53"/>
      <w:r w:rsidRPr="00672B67">
        <w:rPr>
          <w:spacing w:val="0"/>
          <w:w w:val="100"/>
          <w:kern w:val="0"/>
          <w:lang w:val="en-US"/>
        </w:rPr>
        <w:tab/>
      </w:r>
      <w:r w:rsidRPr="00672B67">
        <w:rPr>
          <w:spacing w:val="0"/>
          <w:w w:val="100"/>
          <w:kern w:val="0"/>
        </w:rPr>
        <w:t>b)</w:t>
      </w:r>
      <w:r w:rsidRPr="00672B67">
        <w:rPr>
          <w:spacing w:val="0"/>
          <w:w w:val="100"/>
          <w:kern w:val="0"/>
        </w:rPr>
        <w:tab/>
        <w:t>Правила № 110 ООН (транспортные средства, работающие на КПГ и СПГ)</w:t>
      </w:r>
      <w:bookmarkEnd w:id="44"/>
    </w:p>
    <w:p w:rsidR="00C0662E" w:rsidRPr="00672B67" w:rsidRDefault="003B7A91" w:rsidP="00672B67">
      <w:pPr>
        <w:pStyle w:val="SingleTxtGR"/>
        <w:suppressAutoHyphens/>
        <w:rPr>
          <w:spacing w:val="0"/>
          <w:w w:val="100"/>
          <w:kern w:val="0"/>
        </w:rPr>
      </w:pPr>
      <w:bookmarkStart w:id="45" w:name="bookmark_54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Ожидается, что GRSG будет проинформирована экспертом от Германии, возглавляющего целевую группу для рассмотрения предложенных поправок к Правилам № 110 ООН на основе документов ECE/TRANS/WP.29/GRSG/2017/17 и ECE/TRANS/WP.29/GRSG/2017/29.</w:t>
      </w:r>
      <w:bookmarkEnd w:id="45"/>
    </w:p>
    <w:p w:rsidR="00C0662E" w:rsidRPr="00672B67" w:rsidRDefault="003B7A91" w:rsidP="00672B67">
      <w:pPr>
        <w:pStyle w:val="SingleTxtGR"/>
        <w:suppressAutoHyphens/>
        <w:rPr>
          <w:spacing w:val="0"/>
          <w:w w:val="100"/>
          <w:kern w:val="0"/>
        </w:rPr>
      </w:pPr>
      <w:bookmarkStart w:id="46" w:name="bookmark_55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вернуться к рассмотрению документа ECE/TRANS/WP.29/</w:t>
      </w:r>
      <w:r w:rsidR="003368BB">
        <w:rPr>
          <w:spacing w:val="0"/>
          <w:w w:val="100"/>
          <w:kern w:val="0"/>
        </w:rPr>
        <w:br/>
      </w:r>
      <w:r w:rsidR="00C0662E" w:rsidRPr="00672B67">
        <w:rPr>
          <w:spacing w:val="0"/>
          <w:w w:val="100"/>
          <w:kern w:val="0"/>
        </w:rPr>
        <w:t>GRSG/2018/3, предложенного Международной организацией по стандартизации (ИСО) и Международной ассоциацией по и</w:t>
      </w:r>
      <w:r w:rsidR="003368BB">
        <w:rPr>
          <w:spacing w:val="0"/>
          <w:w w:val="100"/>
          <w:kern w:val="0"/>
        </w:rPr>
        <w:t>спользованию природного газа на </w:t>
      </w:r>
      <w:r w:rsidR="00C0662E" w:rsidRPr="00672B67">
        <w:rPr>
          <w:spacing w:val="0"/>
          <w:w w:val="100"/>
          <w:kern w:val="0"/>
        </w:rPr>
        <w:t>транспортных средствах (НГВ-Глобал), для испра</w:t>
      </w:r>
      <w:r w:rsidR="003368BB">
        <w:rPr>
          <w:spacing w:val="0"/>
          <w:w w:val="100"/>
          <w:kern w:val="0"/>
        </w:rPr>
        <w:t>вления таблицы 6.4 в приложении </w:t>
      </w:r>
      <w:r w:rsidR="00C0662E" w:rsidRPr="00672B67">
        <w:rPr>
          <w:spacing w:val="0"/>
          <w:w w:val="100"/>
          <w:kern w:val="0"/>
        </w:rPr>
        <w:t>3А.</w:t>
      </w:r>
      <w:bookmarkEnd w:id="46"/>
    </w:p>
    <w:p w:rsidR="00C0662E" w:rsidRPr="00672B67" w:rsidRDefault="003B7A91" w:rsidP="00672B67">
      <w:pPr>
        <w:pStyle w:val="SingleTxtGR"/>
        <w:suppressAutoHyphens/>
        <w:rPr>
          <w:spacing w:val="0"/>
          <w:w w:val="100"/>
          <w:kern w:val="0"/>
        </w:rPr>
      </w:pPr>
      <w:bookmarkStart w:id="47" w:name="bookmark_56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 xml:space="preserve">GRSG, возможно, пожелает возобновить рассмотрение предложений Нидерландов о включении в Правила новых требований в отношении компонентов, используемых для систем СПГ/КПГ, таких как </w:t>
      </w:r>
      <w:r w:rsidR="00E52E26">
        <w:rPr>
          <w:spacing w:val="0"/>
          <w:w w:val="100"/>
          <w:kern w:val="0"/>
        </w:rPr>
        <w:t>«</w:t>
      </w:r>
      <w:r w:rsidR="00C0662E" w:rsidRPr="00672B67">
        <w:rPr>
          <w:spacing w:val="0"/>
          <w:w w:val="100"/>
          <w:kern w:val="0"/>
        </w:rPr>
        <w:t>аккумулятор КПГ</w:t>
      </w:r>
      <w:r w:rsidR="00E52E26">
        <w:rPr>
          <w:spacing w:val="0"/>
          <w:w w:val="100"/>
          <w:kern w:val="0"/>
        </w:rPr>
        <w:t>»</w:t>
      </w:r>
      <w:r w:rsidR="00C0662E" w:rsidRPr="00672B67">
        <w:rPr>
          <w:spacing w:val="0"/>
          <w:w w:val="100"/>
          <w:kern w:val="0"/>
        </w:rPr>
        <w:t xml:space="preserve"> и </w:t>
      </w:r>
      <w:r w:rsidR="00E52E26">
        <w:rPr>
          <w:spacing w:val="0"/>
          <w:w w:val="100"/>
          <w:kern w:val="0"/>
        </w:rPr>
        <w:t>«</w:t>
      </w:r>
      <w:r w:rsidR="00C0662E" w:rsidRPr="00672B67">
        <w:rPr>
          <w:spacing w:val="0"/>
          <w:w w:val="100"/>
          <w:kern w:val="0"/>
        </w:rPr>
        <w:t>компрессор КПГ</w:t>
      </w:r>
      <w:r w:rsidR="00E52E26">
        <w:rPr>
          <w:spacing w:val="0"/>
          <w:w w:val="100"/>
          <w:kern w:val="0"/>
        </w:rPr>
        <w:t>»</w:t>
      </w:r>
      <w:r w:rsidR="00C0662E" w:rsidRPr="00672B67">
        <w:rPr>
          <w:spacing w:val="0"/>
          <w:w w:val="100"/>
          <w:kern w:val="0"/>
        </w:rPr>
        <w:t>, и уточнении ссылок на приложение 5Q в Правилах № 110 ООН, если таковые будут представлены.</w:t>
      </w:r>
      <w:bookmarkEnd w:id="47"/>
    </w:p>
    <w:p w:rsidR="004F5F7C" w:rsidRPr="003368BB" w:rsidRDefault="00C0662E" w:rsidP="00672B67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48" w:name="bookmark_57"/>
      <w:r w:rsidRPr="00672B67">
        <w:rPr>
          <w:b/>
          <w:bCs/>
          <w:spacing w:val="0"/>
          <w:w w:val="100"/>
          <w:kern w:val="0"/>
        </w:rPr>
        <w:t>Документация</w:t>
      </w:r>
      <w:r w:rsidRPr="003368BB">
        <w:rPr>
          <w:spacing w:val="0"/>
          <w:w w:val="100"/>
          <w:kern w:val="0"/>
        </w:rPr>
        <w:t>:</w:t>
      </w:r>
      <w:r w:rsidRPr="003368BB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  <w:lang w:val="en-US"/>
        </w:rPr>
        <w:t>ECE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3368BB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3368BB">
        <w:rPr>
          <w:spacing w:val="0"/>
          <w:w w:val="100"/>
          <w:kern w:val="0"/>
        </w:rPr>
        <w:t xml:space="preserve">/2017/17 </w:t>
      </w:r>
    </w:p>
    <w:p w:rsidR="00C0662E" w:rsidRPr="00672B67" w:rsidRDefault="00C0662E" w:rsidP="00672B67">
      <w:pPr>
        <w:pStyle w:val="SingleTxtGR"/>
        <w:suppressAutoHyphens/>
        <w:spacing w:after="0"/>
        <w:ind w:left="2842"/>
        <w:rPr>
          <w:spacing w:val="0"/>
          <w:w w:val="100"/>
          <w:kern w:val="0"/>
          <w:lang w:val="en-US"/>
        </w:rPr>
      </w:pPr>
      <w:r w:rsidRPr="00672B67">
        <w:rPr>
          <w:spacing w:val="0"/>
          <w:w w:val="100"/>
          <w:kern w:val="0"/>
          <w:lang w:val="en-US"/>
        </w:rPr>
        <w:t xml:space="preserve">ECE/TRANS/WP.29/GRSG/2017/29 ECE/TRANS/WP.29/GRSG/2018/3 </w:t>
      </w:r>
    </w:p>
    <w:p w:rsidR="00292B5C" w:rsidRDefault="00C0662E" w:rsidP="00672B67">
      <w:pPr>
        <w:pStyle w:val="SingleTxtGR"/>
        <w:suppressAutoHyphens/>
        <w:spacing w:after="0"/>
        <w:ind w:left="2842"/>
        <w:rPr>
          <w:spacing w:val="0"/>
          <w:w w:val="100"/>
          <w:kern w:val="0"/>
        </w:rPr>
      </w:pPr>
      <w:r w:rsidRPr="00672B67">
        <w:rPr>
          <w:spacing w:val="0"/>
          <w:w w:val="100"/>
          <w:kern w:val="0"/>
        </w:rPr>
        <w:t>(</w:t>
      </w:r>
      <w:r w:rsidRPr="003368BB">
        <w:rPr>
          <w:spacing w:val="0"/>
          <w:w w:val="100"/>
          <w:kern w:val="0"/>
        </w:rPr>
        <w:t>неофициальные</w:t>
      </w:r>
      <w:r w:rsidRPr="00672B67">
        <w:rPr>
          <w:spacing w:val="0"/>
          <w:w w:val="100"/>
          <w:kern w:val="0"/>
        </w:rPr>
        <w:t xml:space="preserve"> документы GRSG-113-24, GRSG-113-25 </w:t>
      </w:r>
    </w:p>
    <w:p w:rsidR="00C0662E" w:rsidRPr="00672B67" w:rsidRDefault="00C0662E" w:rsidP="00672B67">
      <w:pPr>
        <w:pStyle w:val="SingleTxtGR"/>
        <w:suppressAutoHyphens/>
        <w:spacing w:after="0"/>
        <w:ind w:left="2842"/>
        <w:rPr>
          <w:spacing w:val="0"/>
          <w:w w:val="100"/>
          <w:kern w:val="0"/>
        </w:rPr>
      </w:pPr>
      <w:r w:rsidRPr="00672B67">
        <w:rPr>
          <w:spacing w:val="0"/>
          <w:w w:val="100"/>
          <w:kern w:val="0"/>
        </w:rPr>
        <w:t>и GRSG-113-26)</w:t>
      </w:r>
      <w:bookmarkEnd w:id="48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49" w:name="bookmark_58"/>
      <w:r w:rsidRPr="00672B67">
        <w:rPr>
          <w:spacing w:val="0"/>
          <w:w w:val="100"/>
          <w:kern w:val="0"/>
        </w:rPr>
        <w:tab/>
        <w:t>7.</w:t>
      </w:r>
      <w:r w:rsidRPr="00672B67">
        <w:rPr>
          <w:spacing w:val="0"/>
          <w:w w:val="100"/>
          <w:kern w:val="0"/>
        </w:rPr>
        <w:tab/>
        <w:t>Правила № 73 ООН (боковые защитные устройства)</w:t>
      </w:r>
      <w:bookmarkEnd w:id="49"/>
    </w:p>
    <w:p w:rsidR="00C0662E" w:rsidRPr="00672B67" w:rsidRDefault="00FD6590" w:rsidP="00672B67">
      <w:pPr>
        <w:pStyle w:val="SingleTxtGR"/>
        <w:suppressAutoHyphens/>
        <w:rPr>
          <w:spacing w:val="0"/>
          <w:w w:val="100"/>
          <w:kern w:val="0"/>
        </w:rPr>
      </w:pPr>
      <w:bookmarkStart w:id="50" w:name="bookmark_59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предложение Франции о внесении поправок в положения Правил № 73 ООН для повышения уровня эффективности боковых защитных устройств в отношении защиты уязвимых пользователей дорожного движения.</w:t>
      </w:r>
      <w:bookmarkEnd w:id="50"/>
    </w:p>
    <w:p w:rsidR="00C0662E" w:rsidRPr="00672B67" w:rsidRDefault="00C0662E" w:rsidP="00672B67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51" w:name="bookmark_60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 xml:space="preserve">ECE/TRANS/WP.29/GRSG/2018/5 </w:t>
      </w:r>
    </w:p>
    <w:p w:rsidR="00C0662E" w:rsidRPr="00672B67" w:rsidRDefault="008447D2" w:rsidP="00672B67">
      <w:pPr>
        <w:pStyle w:val="SingleTxtGR"/>
        <w:tabs>
          <w:tab w:val="clear" w:pos="1701"/>
          <w:tab w:val="clear" w:pos="2268"/>
          <w:tab w:val="clear" w:pos="3402"/>
        </w:tabs>
        <w:suppressAutoHyphens/>
        <w:spacing w:after="0"/>
        <w:ind w:left="2842" w:hanging="1708"/>
        <w:rPr>
          <w:i/>
          <w:spacing w:val="0"/>
          <w:w w:val="100"/>
          <w:kern w:val="0"/>
        </w:rPr>
      </w:pPr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 xml:space="preserve">неофициальный </w:t>
      </w:r>
      <w:r w:rsidR="00C0662E" w:rsidRPr="00292B5C">
        <w:rPr>
          <w:spacing w:val="0"/>
          <w:w w:val="100"/>
          <w:kern w:val="0"/>
        </w:rPr>
        <w:t>документ</w:t>
      </w:r>
      <w:r w:rsidR="00C0662E" w:rsidRPr="00672B67">
        <w:rPr>
          <w:spacing w:val="0"/>
          <w:w w:val="100"/>
          <w:kern w:val="0"/>
        </w:rPr>
        <w:t xml:space="preserve"> GRSG-113-11-Rev.1</w:t>
      </w:r>
      <w:bookmarkEnd w:id="51"/>
    </w:p>
    <w:p w:rsidR="00C0662E" w:rsidRPr="00672B67" w:rsidRDefault="00C0662E" w:rsidP="00672B67">
      <w:pPr>
        <w:pStyle w:val="H1GR"/>
        <w:rPr>
          <w:spacing w:val="0"/>
          <w:w w:val="100"/>
          <w:kern w:val="0"/>
        </w:rPr>
      </w:pPr>
      <w:bookmarkStart w:id="52" w:name="bookmark_61"/>
      <w:r w:rsidRPr="00672B67">
        <w:rPr>
          <w:spacing w:val="0"/>
          <w:w w:val="100"/>
          <w:kern w:val="0"/>
        </w:rPr>
        <w:lastRenderedPageBreak/>
        <w:tab/>
        <w:t>8.</w:t>
      </w:r>
      <w:r w:rsidRPr="00672B67">
        <w:rPr>
          <w:spacing w:val="0"/>
          <w:w w:val="100"/>
          <w:kern w:val="0"/>
        </w:rPr>
        <w:tab/>
        <w:t>Правила № 116 ООН (противоугонные системы и системы охранной сигнализации)</w:t>
      </w:r>
      <w:bookmarkEnd w:id="52"/>
    </w:p>
    <w:p w:rsidR="00C0662E" w:rsidRPr="00672B67" w:rsidRDefault="00311A5E" w:rsidP="00672B67">
      <w:pPr>
        <w:pStyle w:val="SingleTxtGR"/>
        <w:suppressAutoHyphens/>
        <w:rPr>
          <w:b/>
          <w:spacing w:val="0"/>
          <w:w w:val="100"/>
          <w:kern w:val="0"/>
        </w:rPr>
      </w:pPr>
      <w:bookmarkStart w:id="53" w:name="bookmark_62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рассмотреть документ МОПАП, которая по просьбе целевой группы по разделению положений Правил № 116 ООН представила предложения относительно исключения некоторых положений и их включения в два новых правила ООН.</w:t>
      </w:r>
      <w:bookmarkEnd w:id="53"/>
    </w:p>
    <w:p w:rsidR="00C0662E" w:rsidRPr="003368BB" w:rsidRDefault="00C0662E" w:rsidP="00672B67">
      <w:pPr>
        <w:pStyle w:val="SingleTxtGR"/>
        <w:tabs>
          <w:tab w:val="clear" w:pos="1701"/>
          <w:tab w:val="clear" w:pos="2268"/>
        </w:tabs>
        <w:suppressAutoHyphens/>
        <w:rPr>
          <w:spacing w:val="0"/>
          <w:w w:val="100"/>
          <w:kern w:val="0"/>
        </w:rPr>
      </w:pPr>
      <w:bookmarkStart w:id="54" w:name="bookmark_63"/>
      <w:r w:rsidRPr="00672B67">
        <w:rPr>
          <w:b/>
          <w:bCs/>
          <w:spacing w:val="0"/>
          <w:w w:val="100"/>
          <w:kern w:val="0"/>
        </w:rPr>
        <w:t>Документация</w:t>
      </w:r>
      <w:r w:rsidRPr="003368BB">
        <w:rPr>
          <w:spacing w:val="0"/>
          <w:w w:val="100"/>
          <w:kern w:val="0"/>
        </w:rPr>
        <w:t>:</w:t>
      </w:r>
      <w:r w:rsidRPr="003368BB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  <w:lang w:val="en-US"/>
        </w:rPr>
        <w:t>ECE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3368BB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3368BB">
        <w:rPr>
          <w:spacing w:val="0"/>
          <w:w w:val="100"/>
          <w:kern w:val="0"/>
        </w:rPr>
        <w:t xml:space="preserve">/2017/23 </w:t>
      </w:r>
      <w:r w:rsidR="00672B67" w:rsidRPr="003368BB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  <w:lang w:val="en-US"/>
        </w:rPr>
        <w:t>ECE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3368BB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3368BB">
        <w:rPr>
          <w:spacing w:val="0"/>
          <w:w w:val="100"/>
          <w:kern w:val="0"/>
        </w:rPr>
        <w:t xml:space="preserve">/2017/24 </w:t>
      </w:r>
      <w:r w:rsidR="00672B67" w:rsidRPr="003368BB">
        <w:rPr>
          <w:spacing w:val="0"/>
          <w:w w:val="100"/>
          <w:kern w:val="0"/>
        </w:rPr>
        <w:tab/>
      </w:r>
      <w:r w:rsidRPr="00672B67">
        <w:rPr>
          <w:spacing w:val="0"/>
          <w:w w:val="100"/>
          <w:kern w:val="0"/>
          <w:lang w:val="en-US"/>
        </w:rPr>
        <w:t>ECE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TRANS</w:t>
      </w:r>
      <w:r w:rsidRPr="003368BB">
        <w:rPr>
          <w:spacing w:val="0"/>
          <w:w w:val="100"/>
          <w:kern w:val="0"/>
        </w:rPr>
        <w:t>/</w:t>
      </w:r>
      <w:r w:rsidRPr="00672B67">
        <w:rPr>
          <w:spacing w:val="0"/>
          <w:w w:val="100"/>
          <w:kern w:val="0"/>
          <w:lang w:val="en-US"/>
        </w:rPr>
        <w:t>WP</w:t>
      </w:r>
      <w:r w:rsidRPr="003368BB">
        <w:rPr>
          <w:spacing w:val="0"/>
          <w:w w:val="100"/>
          <w:kern w:val="0"/>
        </w:rPr>
        <w:t>.29/</w:t>
      </w:r>
      <w:r w:rsidRPr="00672B67">
        <w:rPr>
          <w:spacing w:val="0"/>
          <w:w w:val="100"/>
          <w:kern w:val="0"/>
          <w:lang w:val="en-US"/>
        </w:rPr>
        <w:t>GRSG</w:t>
      </w:r>
      <w:r w:rsidRPr="003368BB">
        <w:rPr>
          <w:spacing w:val="0"/>
          <w:w w:val="100"/>
          <w:kern w:val="0"/>
        </w:rPr>
        <w:t xml:space="preserve">/2017/25 </w:t>
      </w:r>
      <w:r w:rsidRPr="00672B67">
        <w:rPr>
          <w:spacing w:val="0"/>
          <w:w w:val="100"/>
          <w:kern w:val="0"/>
        </w:rPr>
        <w:t>и</w:t>
      </w:r>
      <w:r w:rsidRPr="003368BB">
        <w:rPr>
          <w:spacing w:val="0"/>
          <w:w w:val="100"/>
          <w:kern w:val="0"/>
        </w:rPr>
        <w:t xml:space="preserve"> </w:t>
      </w:r>
      <w:r w:rsidRPr="00672B67">
        <w:rPr>
          <w:spacing w:val="0"/>
          <w:w w:val="100"/>
          <w:kern w:val="0"/>
          <w:lang w:val="en-US"/>
        </w:rPr>
        <w:t>Corr</w:t>
      </w:r>
      <w:r w:rsidRPr="003368BB">
        <w:rPr>
          <w:spacing w:val="0"/>
          <w:w w:val="100"/>
          <w:kern w:val="0"/>
        </w:rPr>
        <w:t>.1</w:t>
      </w:r>
      <w:bookmarkEnd w:id="54"/>
    </w:p>
    <w:p w:rsidR="00C0662E" w:rsidRPr="00672B67" w:rsidRDefault="00311A5E" w:rsidP="00672B67">
      <w:pPr>
        <w:pStyle w:val="H1GR"/>
        <w:rPr>
          <w:spacing w:val="0"/>
          <w:w w:val="100"/>
          <w:kern w:val="0"/>
        </w:rPr>
      </w:pPr>
      <w:bookmarkStart w:id="55" w:name="bookmark_64"/>
      <w:r w:rsidRPr="003368BB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9.</w:t>
      </w:r>
      <w:r w:rsidR="00C0662E" w:rsidRPr="00672B67">
        <w:rPr>
          <w:spacing w:val="0"/>
          <w:w w:val="100"/>
          <w:kern w:val="0"/>
        </w:rPr>
        <w:tab/>
        <w:t>Правила № 121 ООН (идентификация органов управления, контрольных сигналов и индикаторов)</w:t>
      </w:r>
      <w:bookmarkEnd w:id="55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56" w:name="bookmark_65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 решила возобновить рассмотрение предложения МОПАП (ECE/TRANS/WP.29/GRSG/2018/6) об упрощении порядка изменения цветового отображения органов управления, контрольных сигналов и индикаторов и исключении сноски 18 из таблицы.</w:t>
      </w:r>
      <w:bookmarkEnd w:id="56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57" w:name="bookmark_66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ECE/TRANS/WP.29/GRSG/2018/6</w:t>
      </w:r>
      <w:bookmarkEnd w:id="57"/>
    </w:p>
    <w:p w:rsidR="00C0662E" w:rsidRPr="00672B67" w:rsidRDefault="00311A5E" w:rsidP="00672B67">
      <w:pPr>
        <w:pStyle w:val="H1GR"/>
        <w:rPr>
          <w:spacing w:val="0"/>
          <w:w w:val="100"/>
          <w:kern w:val="0"/>
        </w:rPr>
      </w:pPr>
      <w:bookmarkStart w:id="58" w:name="bookmark_67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10.</w:t>
      </w:r>
      <w:r w:rsidR="00C0662E" w:rsidRPr="00672B67">
        <w:rPr>
          <w:spacing w:val="0"/>
          <w:w w:val="100"/>
          <w:kern w:val="0"/>
        </w:rPr>
        <w:tab/>
        <w:t>Правила № 122 ООН (системы отопления)</w:t>
      </w:r>
      <w:bookmarkEnd w:id="58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59" w:name="bookmark_68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предложение по поправкам к Правилам, если таковое будет представлено.</w:t>
      </w:r>
      <w:bookmarkEnd w:id="59"/>
    </w:p>
    <w:p w:rsidR="00C0662E" w:rsidRPr="00672B67" w:rsidRDefault="00311A5E" w:rsidP="00672B67">
      <w:pPr>
        <w:pStyle w:val="H1GR"/>
        <w:rPr>
          <w:spacing w:val="0"/>
          <w:w w:val="100"/>
          <w:kern w:val="0"/>
        </w:rPr>
      </w:pPr>
      <w:bookmarkStart w:id="60" w:name="bookmark_69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11.</w:t>
      </w:r>
      <w:r w:rsidR="00C0662E" w:rsidRPr="00672B67">
        <w:rPr>
          <w:spacing w:val="0"/>
          <w:w w:val="100"/>
          <w:kern w:val="0"/>
        </w:rPr>
        <w:tab/>
        <w:t>Системы вызова экстренных оперативных служб (АСВЭС)</w:t>
      </w:r>
      <w:bookmarkEnd w:id="60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61" w:name="bookmark_70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На предыдущей сессии GRSG полностью поддержала проект новых Правил ООН по АСВЭС и согласилась с необходимостью дальнейшей разработки их положений. Исходя из этого, GRSG, возможно, пожелает рассмотреть предложение по поправкам к Правилам, если таковое будет представлено.</w:t>
      </w:r>
      <w:bookmarkEnd w:id="61"/>
    </w:p>
    <w:p w:rsidR="00C0662E" w:rsidRPr="00672B67" w:rsidRDefault="00311A5E" w:rsidP="00672B67">
      <w:pPr>
        <w:pStyle w:val="H1GR"/>
        <w:rPr>
          <w:spacing w:val="0"/>
          <w:w w:val="100"/>
          <w:kern w:val="0"/>
        </w:rPr>
      </w:pPr>
      <w:bookmarkStart w:id="62" w:name="bookmark_71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12.</w:t>
      </w:r>
      <w:r w:rsidR="00C0662E" w:rsidRPr="00672B67">
        <w:rPr>
          <w:spacing w:val="0"/>
          <w:w w:val="100"/>
          <w:kern w:val="0"/>
        </w:rPr>
        <w:tab/>
        <w:t>Международное официальное утверждение типа комплектного транспортного средства (МОУТКТС)</w:t>
      </w:r>
      <w:bookmarkEnd w:id="62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63" w:name="bookmark_72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заслушать сообщение представителя по МОУТКТС об итогах последних совещаний НРГ по МОУТКТС.</w:t>
      </w:r>
      <w:bookmarkEnd w:id="63"/>
    </w:p>
    <w:p w:rsidR="00C0662E" w:rsidRPr="00672B67" w:rsidRDefault="00311A5E" w:rsidP="00672B67">
      <w:pPr>
        <w:pStyle w:val="H1GR"/>
        <w:rPr>
          <w:spacing w:val="0"/>
          <w:w w:val="100"/>
          <w:kern w:val="0"/>
        </w:rPr>
      </w:pPr>
      <w:bookmarkStart w:id="64" w:name="bookmark_73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13.</w:t>
      </w:r>
      <w:r w:rsidR="00C0662E" w:rsidRPr="00672B67">
        <w:rPr>
          <w:spacing w:val="0"/>
          <w:w w:val="100"/>
          <w:kern w:val="0"/>
        </w:rPr>
        <w:tab/>
        <w:t>Прочие вопросы</w:t>
      </w:r>
      <w:bookmarkEnd w:id="64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65" w:name="bookmark_74"/>
      <w:r w:rsidRPr="00672B67">
        <w:rPr>
          <w:spacing w:val="0"/>
          <w:w w:val="100"/>
          <w:kern w:val="0"/>
        </w:rPr>
        <w:tab/>
        <w:t>a)</w:t>
      </w:r>
      <w:r w:rsidRPr="00672B67">
        <w:rPr>
          <w:spacing w:val="0"/>
          <w:w w:val="100"/>
          <w:kern w:val="0"/>
        </w:rPr>
        <w:tab/>
        <w:t>Правила № 62 ООН (противоугонные системы для мопедов/мотоциклов)</w:t>
      </w:r>
      <w:bookmarkEnd w:id="65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66" w:name="bookmark_75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предложение Германии по поправкам к Правилам.</w:t>
      </w:r>
      <w:bookmarkEnd w:id="66"/>
    </w:p>
    <w:p w:rsidR="00C0662E" w:rsidRPr="00672B67" w:rsidRDefault="00C0662E" w:rsidP="00672B67">
      <w:pPr>
        <w:pStyle w:val="SingleTxtGR"/>
        <w:suppressAutoHyphens/>
        <w:rPr>
          <w:spacing w:val="0"/>
          <w:w w:val="100"/>
          <w:kern w:val="0"/>
        </w:rPr>
      </w:pPr>
      <w:bookmarkStart w:id="67" w:name="bookmark_76"/>
      <w:r w:rsidRPr="00672B67">
        <w:rPr>
          <w:b/>
          <w:bCs/>
          <w:spacing w:val="0"/>
          <w:w w:val="100"/>
          <w:kern w:val="0"/>
        </w:rPr>
        <w:t>Документация</w:t>
      </w:r>
      <w:r w:rsidRPr="00672B67">
        <w:rPr>
          <w:spacing w:val="0"/>
          <w:w w:val="100"/>
          <w:kern w:val="0"/>
        </w:rPr>
        <w:t>:</w:t>
      </w:r>
      <w:r w:rsidRPr="00672B67">
        <w:rPr>
          <w:spacing w:val="0"/>
          <w:w w:val="100"/>
          <w:kern w:val="0"/>
        </w:rPr>
        <w:tab/>
        <w:t>неофициальный документ GRSG-114-02</w:t>
      </w:r>
      <w:bookmarkEnd w:id="67"/>
    </w:p>
    <w:p w:rsidR="00C0662E" w:rsidRPr="00672B67" w:rsidRDefault="00C0662E" w:rsidP="00672B67">
      <w:pPr>
        <w:pStyle w:val="H23GR"/>
        <w:rPr>
          <w:spacing w:val="0"/>
          <w:w w:val="100"/>
          <w:kern w:val="0"/>
        </w:rPr>
      </w:pPr>
      <w:bookmarkStart w:id="68" w:name="bookmark_77"/>
      <w:r w:rsidRPr="00672B67">
        <w:rPr>
          <w:spacing w:val="0"/>
          <w:w w:val="100"/>
          <w:kern w:val="0"/>
        </w:rPr>
        <w:tab/>
        <w:t>b)</w:t>
      </w:r>
      <w:r w:rsidRPr="00672B67">
        <w:rPr>
          <w:spacing w:val="0"/>
          <w:w w:val="100"/>
          <w:kern w:val="0"/>
        </w:rPr>
        <w:tab/>
        <w:t>Прочие вопросы</w:t>
      </w:r>
      <w:bookmarkEnd w:id="68"/>
    </w:p>
    <w:p w:rsidR="00C0662E" w:rsidRPr="00672B67" w:rsidRDefault="00311A5E" w:rsidP="00672B67">
      <w:pPr>
        <w:pStyle w:val="SingleTxtGR"/>
        <w:suppressAutoHyphens/>
        <w:rPr>
          <w:spacing w:val="0"/>
          <w:w w:val="100"/>
          <w:kern w:val="0"/>
        </w:rPr>
      </w:pPr>
      <w:bookmarkStart w:id="69" w:name="bookmark_78"/>
      <w:r w:rsidRPr="00672B67">
        <w:rPr>
          <w:spacing w:val="0"/>
          <w:w w:val="100"/>
          <w:kern w:val="0"/>
        </w:rPr>
        <w:tab/>
      </w:r>
      <w:r w:rsidR="00C0662E" w:rsidRPr="00672B67">
        <w:rPr>
          <w:spacing w:val="0"/>
          <w:w w:val="100"/>
          <w:kern w:val="0"/>
        </w:rPr>
        <w:t>GRSG, возможно, пожелает рассмотреть другие предложения, если таковые будут представлены.</w:t>
      </w:r>
      <w:bookmarkEnd w:id="69"/>
    </w:p>
    <w:p w:rsidR="006F6637" w:rsidRPr="00672B67" w:rsidRDefault="00E6346D" w:rsidP="00672B6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672B67">
        <w:rPr>
          <w:spacing w:val="0"/>
          <w:w w:val="100"/>
          <w:kern w:val="0"/>
          <w:u w:val="single"/>
        </w:rPr>
        <w:tab/>
      </w:r>
      <w:r w:rsidRPr="00672B67">
        <w:rPr>
          <w:spacing w:val="0"/>
          <w:w w:val="100"/>
          <w:kern w:val="0"/>
          <w:u w:val="single"/>
        </w:rPr>
        <w:tab/>
      </w:r>
      <w:r w:rsidRPr="00672B67">
        <w:rPr>
          <w:spacing w:val="0"/>
          <w:w w:val="100"/>
          <w:kern w:val="0"/>
          <w:u w:val="single"/>
        </w:rPr>
        <w:tab/>
      </w:r>
    </w:p>
    <w:sectPr w:rsidR="006F6637" w:rsidRPr="00672B67" w:rsidSect="006F6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E8" w:rsidRPr="00A312BC" w:rsidRDefault="005E3BE8" w:rsidP="00A312BC"/>
  </w:endnote>
  <w:endnote w:type="continuationSeparator" w:id="0">
    <w:p w:rsidR="005E3BE8" w:rsidRPr="00A312BC" w:rsidRDefault="005E3B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7" w:rsidRPr="006F6637" w:rsidRDefault="006F6637">
    <w:pPr>
      <w:pStyle w:val="Footer"/>
    </w:pPr>
    <w:r w:rsidRPr="006F6637">
      <w:rPr>
        <w:b/>
        <w:sz w:val="18"/>
      </w:rPr>
      <w:fldChar w:fldCharType="begin"/>
    </w:r>
    <w:r w:rsidRPr="006F6637">
      <w:rPr>
        <w:b/>
        <w:sz w:val="18"/>
      </w:rPr>
      <w:instrText xml:space="preserve"> PAGE  \* MERGEFORMAT </w:instrText>
    </w:r>
    <w:r w:rsidRPr="006F6637">
      <w:rPr>
        <w:b/>
        <w:sz w:val="18"/>
      </w:rPr>
      <w:fldChar w:fldCharType="separate"/>
    </w:r>
    <w:r w:rsidR="00111649">
      <w:rPr>
        <w:b/>
        <w:noProof/>
        <w:sz w:val="18"/>
      </w:rPr>
      <w:t>2</w:t>
    </w:r>
    <w:r w:rsidRPr="006F6637">
      <w:rPr>
        <w:b/>
        <w:sz w:val="18"/>
      </w:rPr>
      <w:fldChar w:fldCharType="end"/>
    </w:r>
    <w:r>
      <w:rPr>
        <w:b/>
        <w:sz w:val="18"/>
      </w:rPr>
      <w:tab/>
    </w:r>
    <w:r>
      <w:t>GE.18-01250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7" w:rsidRPr="006F6637" w:rsidRDefault="006F6637" w:rsidP="006F663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GE.18-01250</w:t>
    </w:r>
    <w:r>
      <w:tab/>
    </w:r>
    <w:r w:rsidRPr="006F6637">
      <w:rPr>
        <w:b/>
        <w:sz w:val="18"/>
      </w:rPr>
      <w:fldChar w:fldCharType="begin"/>
    </w:r>
    <w:r w:rsidRPr="006F6637">
      <w:rPr>
        <w:b/>
        <w:sz w:val="18"/>
      </w:rPr>
      <w:instrText xml:space="preserve"> PAGE  \* MERGEFORMAT </w:instrText>
    </w:r>
    <w:r w:rsidRPr="006F6637">
      <w:rPr>
        <w:b/>
        <w:sz w:val="18"/>
      </w:rPr>
      <w:fldChar w:fldCharType="separate"/>
    </w:r>
    <w:r w:rsidR="00111649">
      <w:rPr>
        <w:b/>
        <w:noProof/>
        <w:sz w:val="18"/>
      </w:rPr>
      <w:t>3</w:t>
    </w:r>
    <w:r w:rsidRPr="006F66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F6637" w:rsidRDefault="006F6637" w:rsidP="006F663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18-01250  (R)</w:t>
    </w:r>
    <w:r w:rsidR="00AC4EDF">
      <w:rPr>
        <w:lang w:val="en-US"/>
      </w:rPr>
      <w:t xml:space="preserve">  310118  310118</w:t>
    </w:r>
    <w:r>
      <w:br/>
    </w:r>
    <w:r w:rsidRPr="006F6637">
      <w:rPr>
        <w:rFonts w:ascii="C39T30Lfz" w:hAnsi="C39T30Lfz"/>
        <w:spacing w:val="0"/>
        <w:w w:val="100"/>
        <w:sz w:val="56"/>
      </w:rPr>
      <w:t></w:t>
    </w:r>
    <w:r w:rsidRPr="006F6637">
      <w:rPr>
        <w:rFonts w:ascii="C39T30Lfz" w:hAnsi="C39T30Lfz"/>
        <w:spacing w:val="0"/>
        <w:w w:val="100"/>
        <w:sz w:val="56"/>
      </w:rPr>
      <w:t></w:t>
    </w:r>
    <w:r w:rsidRPr="006F6637">
      <w:rPr>
        <w:rFonts w:ascii="C39T30Lfz" w:hAnsi="C39T30Lfz"/>
        <w:spacing w:val="0"/>
        <w:w w:val="100"/>
        <w:sz w:val="56"/>
      </w:rPr>
      <w:t></w:t>
    </w:r>
    <w:r w:rsidRPr="006F6637">
      <w:rPr>
        <w:rFonts w:ascii="C39T30Lfz" w:hAnsi="C39T30Lfz"/>
        <w:spacing w:val="0"/>
        <w:w w:val="100"/>
        <w:sz w:val="56"/>
      </w:rPr>
      <w:t></w:t>
    </w:r>
    <w:r w:rsidRPr="006F6637">
      <w:rPr>
        <w:rFonts w:ascii="C39T30Lfz" w:hAnsi="C39T30Lfz"/>
        <w:spacing w:val="0"/>
        <w:w w:val="100"/>
        <w:sz w:val="56"/>
      </w:rPr>
      <w:t></w:t>
    </w:r>
    <w:r w:rsidRPr="006F6637">
      <w:rPr>
        <w:rFonts w:ascii="C39T30Lfz" w:hAnsi="C39T30Lfz"/>
        <w:spacing w:val="0"/>
        <w:w w:val="100"/>
        <w:sz w:val="56"/>
      </w:rPr>
      <w:t></w:t>
    </w:r>
    <w:r w:rsidRPr="006F6637">
      <w:rPr>
        <w:rFonts w:ascii="C39T30Lfz" w:hAnsi="C39T30Lfz"/>
        <w:spacing w:val="0"/>
        <w:w w:val="100"/>
        <w:sz w:val="56"/>
      </w:rPr>
      <w:t></w:t>
    </w:r>
    <w:r w:rsidRPr="006F6637">
      <w:rPr>
        <w:rFonts w:ascii="C39T30Lfz" w:hAnsi="C39T30Lfz"/>
        <w:spacing w:val="0"/>
        <w:w w:val="100"/>
        <w:sz w:val="56"/>
      </w:rPr>
      <w:t></w:t>
    </w:r>
    <w:r w:rsidRPr="006F663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E8" w:rsidRPr="001075E9" w:rsidRDefault="005E3B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3BE8" w:rsidRDefault="005E3B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7" w:rsidRPr="006F6637" w:rsidRDefault="001116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90A0C">
      <w:t>ECE/TRANS/WP.29/GRSG/2018/1/Add.1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7" w:rsidRPr="006F6637" w:rsidRDefault="00111649" w:rsidP="006F66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90A0C">
      <w:t>ECE/TRANS/WP.29/GRSG/2018/1/Add.1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DF" w:rsidRDefault="00AC4EDF" w:rsidP="00AC4ED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E8"/>
    <w:rsid w:val="00033EE1"/>
    <w:rsid w:val="00042B72"/>
    <w:rsid w:val="00043BE2"/>
    <w:rsid w:val="000558BD"/>
    <w:rsid w:val="000B57E7"/>
    <w:rsid w:val="000B6373"/>
    <w:rsid w:val="000E4E5B"/>
    <w:rsid w:val="000F09DF"/>
    <w:rsid w:val="000F61B2"/>
    <w:rsid w:val="001075E9"/>
    <w:rsid w:val="00111649"/>
    <w:rsid w:val="0014152F"/>
    <w:rsid w:val="00180183"/>
    <w:rsid w:val="0018024D"/>
    <w:rsid w:val="0018649F"/>
    <w:rsid w:val="00186FD1"/>
    <w:rsid w:val="00196389"/>
    <w:rsid w:val="001B3EF6"/>
    <w:rsid w:val="001C0C85"/>
    <w:rsid w:val="001C7A89"/>
    <w:rsid w:val="00255343"/>
    <w:rsid w:val="0027151D"/>
    <w:rsid w:val="00284AF0"/>
    <w:rsid w:val="00292B5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1A5E"/>
    <w:rsid w:val="00317339"/>
    <w:rsid w:val="00322004"/>
    <w:rsid w:val="003368BB"/>
    <w:rsid w:val="003402C2"/>
    <w:rsid w:val="00381C24"/>
    <w:rsid w:val="00387CD4"/>
    <w:rsid w:val="003958D0"/>
    <w:rsid w:val="003A0D43"/>
    <w:rsid w:val="003A48CE"/>
    <w:rsid w:val="003B00E5"/>
    <w:rsid w:val="003B7A91"/>
    <w:rsid w:val="00407B78"/>
    <w:rsid w:val="00424203"/>
    <w:rsid w:val="00452493"/>
    <w:rsid w:val="00453318"/>
    <w:rsid w:val="00454AF2"/>
    <w:rsid w:val="00454E07"/>
    <w:rsid w:val="00472C5C"/>
    <w:rsid w:val="00473DF3"/>
    <w:rsid w:val="004E05B7"/>
    <w:rsid w:val="004F5F7C"/>
    <w:rsid w:val="0050108D"/>
    <w:rsid w:val="00513081"/>
    <w:rsid w:val="00517901"/>
    <w:rsid w:val="00526683"/>
    <w:rsid w:val="005639C1"/>
    <w:rsid w:val="005709E0"/>
    <w:rsid w:val="00572E19"/>
    <w:rsid w:val="00590A0C"/>
    <w:rsid w:val="00590F10"/>
    <w:rsid w:val="005961C8"/>
    <w:rsid w:val="005966F1"/>
    <w:rsid w:val="005D7914"/>
    <w:rsid w:val="005E2B41"/>
    <w:rsid w:val="005E3BE8"/>
    <w:rsid w:val="005F0B42"/>
    <w:rsid w:val="006345DB"/>
    <w:rsid w:val="00640F49"/>
    <w:rsid w:val="00672B67"/>
    <w:rsid w:val="00680D03"/>
    <w:rsid w:val="00681A10"/>
    <w:rsid w:val="006A1ED8"/>
    <w:rsid w:val="006C2031"/>
    <w:rsid w:val="006D461A"/>
    <w:rsid w:val="006F35EE"/>
    <w:rsid w:val="006F6637"/>
    <w:rsid w:val="007021FF"/>
    <w:rsid w:val="00712895"/>
    <w:rsid w:val="00734ACB"/>
    <w:rsid w:val="00757357"/>
    <w:rsid w:val="00792497"/>
    <w:rsid w:val="00806737"/>
    <w:rsid w:val="00825F8D"/>
    <w:rsid w:val="00834B71"/>
    <w:rsid w:val="008447D2"/>
    <w:rsid w:val="0086445C"/>
    <w:rsid w:val="00894693"/>
    <w:rsid w:val="008A08D7"/>
    <w:rsid w:val="008A37C8"/>
    <w:rsid w:val="008B6909"/>
    <w:rsid w:val="008D1D06"/>
    <w:rsid w:val="008D53B6"/>
    <w:rsid w:val="008F7609"/>
    <w:rsid w:val="00906890"/>
    <w:rsid w:val="00911BE4"/>
    <w:rsid w:val="00951972"/>
    <w:rsid w:val="009608F3"/>
    <w:rsid w:val="00972998"/>
    <w:rsid w:val="009A24AC"/>
    <w:rsid w:val="009C6FE6"/>
    <w:rsid w:val="009D7E7D"/>
    <w:rsid w:val="00A14DA8"/>
    <w:rsid w:val="00A312BC"/>
    <w:rsid w:val="00A84021"/>
    <w:rsid w:val="00A84D35"/>
    <w:rsid w:val="00A85D40"/>
    <w:rsid w:val="00A917B3"/>
    <w:rsid w:val="00AB4B51"/>
    <w:rsid w:val="00AC4EDF"/>
    <w:rsid w:val="00B10CC7"/>
    <w:rsid w:val="00B36DF7"/>
    <w:rsid w:val="00B539E7"/>
    <w:rsid w:val="00B62458"/>
    <w:rsid w:val="00BC18B2"/>
    <w:rsid w:val="00BD33EE"/>
    <w:rsid w:val="00BE1CC7"/>
    <w:rsid w:val="00C0662E"/>
    <w:rsid w:val="00C106D6"/>
    <w:rsid w:val="00C119AE"/>
    <w:rsid w:val="00C60F0C"/>
    <w:rsid w:val="00C760A9"/>
    <w:rsid w:val="00C805C9"/>
    <w:rsid w:val="00C92939"/>
    <w:rsid w:val="00CA1679"/>
    <w:rsid w:val="00CB151C"/>
    <w:rsid w:val="00CD72B1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DF72C8"/>
    <w:rsid w:val="00E12C5F"/>
    <w:rsid w:val="00E52E26"/>
    <w:rsid w:val="00E6346D"/>
    <w:rsid w:val="00E73F76"/>
    <w:rsid w:val="00EA2C9F"/>
    <w:rsid w:val="00EA420E"/>
    <w:rsid w:val="00EB4E86"/>
    <w:rsid w:val="00ED0BDA"/>
    <w:rsid w:val="00EE142A"/>
    <w:rsid w:val="00EF1360"/>
    <w:rsid w:val="00EF3220"/>
    <w:rsid w:val="00F2523A"/>
    <w:rsid w:val="00F43903"/>
    <w:rsid w:val="00F729BC"/>
    <w:rsid w:val="00F94155"/>
    <w:rsid w:val="00F9783F"/>
    <w:rsid w:val="00FA3775"/>
    <w:rsid w:val="00FD2EF7"/>
    <w:rsid w:val="00FD659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DD1C976-63C3-404B-9EA5-200B21D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7308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ECE/TRANS/WP.29/GRSG/2018/1/Add.1</vt:lpstr>
      <vt:lpstr>ECE/TRANS/WP.29/GRSG/2018/1/Add.1</vt:lpstr>
      <vt:lpstr>A/</vt:lpstr>
    </vt:vector>
  </TitlesOfParts>
  <Company>DCM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ECE/TRANS/WP.29/GRSG/2018/1/Add.1</dc:title>
  <dc:subject/>
  <dc:creator>Nina STEPANOVA</dc:creator>
  <cp:keywords/>
  <cp:lastModifiedBy>Benedicte Boudol</cp:lastModifiedBy>
  <cp:revision>2</cp:revision>
  <cp:lastPrinted>2018-01-31T15:29:00Z</cp:lastPrinted>
  <dcterms:created xsi:type="dcterms:W3CDTF">2018-02-01T08:39:00Z</dcterms:created>
  <dcterms:modified xsi:type="dcterms:W3CDTF">2018-02-01T08:39:00Z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