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86E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86EF5" w:rsidP="008E07B1">
            <w:pPr>
              <w:jc w:val="right"/>
            </w:pPr>
            <w:r w:rsidRPr="00886EF5">
              <w:rPr>
                <w:sz w:val="40"/>
              </w:rPr>
              <w:t>ECE</w:t>
            </w:r>
            <w:r>
              <w:t>/TRANS/WP.29/GRSG/2018/</w:t>
            </w:r>
            <w:r w:rsidR="00B3111A">
              <w:t>2</w:t>
            </w:r>
            <w:r w:rsidR="008E07B1">
              <w:t>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C58B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 : Générale</w:t>
            </w:r>
          </w:p>
          <w:p w:rsidR="00886EF5" w:rsidRDefault="006539CB" w:rsidP="00886EF5">
            <w:pPr>
              <w:spacing w:line="240" w:lineRule="exact"/>
            </w:pPr>
            <w:r>
              <w:t>20</w:t>
            </w:r>
            <w:r w:rsidR="00024BBF">
              <w:t xml:space="preserve"> juillet</w:t>
            </w:r>
            <w:r w:rsidR="00886EF5">
              <w:t xml:space="preserve"> 2018</w:t>
            </w:r>
          </w:p>
          <w:p w:rsidR="00886EF5" w:rsidRDefault="00886EF5" w:rsidP="00886EF5">
            <w:pPr>
              <w:spacing w:line="240" w:lineRule="exact"/>
            </w:pPr>
          </w:p>
          <w:p w:rsidR="00886EF5" w:rsidRPr="00DB58B5" w:rsidRDefault="00886EF5" w:rsidP="00B3111A">
            <w:pPr>
              <w:spacing w:line="240" w:lineRule="exact"/>
            </w:pPr>
            <w:r>
              <w:t xml:space="preserve">Original : </w:t>
            </w:r>
            <w:r w:rsidR="00024BBF">
              <w:t>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86EF5" w:rsidRDefault="00886EF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86EF5" w:rsidRDefault="00886EF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886EF5" w:rsidRDefault="00CC58B6" w:rsidP="00257168">
      <w:pPr>
        <w:spacing w:before="120" w:line="240" w:lineRule="exact"/>
        <w:rPr>
          <w:b/>
        </w:rPr>
      </w:pPr>
      <w:r>
        <w:rPr>
          <w:b/>
        </w:rPr>
        <w:t>115</w:t>
      </w:r>
      <w:r w:rsidR="00886EF5" w:rsidRPr="00886EF5">
        <w:rPr>
          <w:b/>
          <w:vertAlign w:val="superscript"/>
        </w:rPr>
        <w:t>e</w:t>
      </w:r>
      <w:r w:rsidR="00886EF5">
        <w:rPr>
          <w:b/>
        </w:rPr>
        <w:t> session</w:t>
      </w:r>
    </w:p>
    <w:p w:rsidR="00886EF5" w:rsidRDefault="00CC58B6" w:rsidP="00257168">
      <w:pPr>
        <w:spacing w:line="240" w:lineRule="exact"/>
      </w:pPr>
      <w:r>
        <w:t>Genève, 9-12 octobre</w:t>
      </w:r>
      <w:r w:rsidR="00886EF5">
        <w:t xml:space="preserve"> 2018</w:t>
      </w:r>
    </w:p>
    <w:p w:rsidR="00886EF5" w:rsidRDefault="00797904" w:rsidP="00257168">
      <w:pPr>
        <w:spacing w:line="240" w:lineRule="exact"/>
      </w:pPr>
      <w:r>
        <w:t>Point 1</w:t>
      </w:r>
      <w:r w:rsidR="00B3111A">
        <w:t>4</w:t>
      </w:r>
      <w:r w:rsidR="00886EF5">
        <w:t xml:space="preserve"> de l’ordre du jour provisoire</w:t>
      </w:r>
    </w:p>
    <w:p w:rsidR="00886EF5" w:rsidRPr="00886EF5" w:rsidRDefault="00B3111A" w:rsidP="00886EF5">
      <w:pPr>
        <w:rPr>
          <w:b/>
        </w:rPr>
      </w:pPr>
      <w:r w:rsidRPr="00027CB6">
        <w:rPr>
          <w:b/>
          <w:bCs/>
          <w:lang w:val="fr-FR"/>
        </w:rPr>
        <w:t xml:space="preserve">Règlement ONU </w:t>
      </w:r>
      <w:r w:rsidRPr="00027CB6">
        <w:rPr>
          <w:rFonts w:eastAsia="MS Mincho"/>
          <w:b/>
          <w:bCs/>
          <w:szCs w:val="22"/>
          <w:lang w:val="fr-FR"/>
        </w:rPr>
        <w:t>n</w:t>
      </w:r>
      <w:r w:rsidRPr="00027CB6">
        <w:rPr>
          <w:rFonts w:eastAsia="MS Mincho"/>
          <w:b/>
          <w:bCs/>
          <w:szCs w:val="22"/>
          <w:vertAlign w:val="superscript"/>
          <w:lang w:val="fr-FR"/>
        </w:rPr>
        <w:t>o</w:t>
      </w:r>
      <w:r w:rsidRPr="00027CB6">
        <w:rPr>
          <w:b/>
          <w:bCs/>
          <w:lang w:val="fr-FR"/>
        </w:rPr>
        <w:t> 122 (</w:t>
      </w:r>
      <w:r w:rsidRPr="00027CB6">
        <w:rPr>
          <w:rFonts w:eastAsia="Times New Roman"/>
          <w:b/>
          <w:lang w:val="fr-FR"/>
        </w:rPr>
        <w:t>Système de chauffage</w:t>
      </w:r>
      <w:r w:rsidRPr="00027CB6">
        <w:rPr>
          <w:b/>
          <w:bCs/>
          <w:lang w:val="fr-FR"/>
        </w:rPr>
        <w:t>)</w:t>
      </w:r>
    </w:p>
    <w:p w:rsidR="00886EF5" w:rsidRPr="0099324A" w:rsidRDefault="00886EF5" w:rsidP="00886EF5">
      <w:pPr>
        <w:pStyle w:val="HChG"/>
        <w:rPr>
          <w:sz w:val="26"/>
          <w:szCs w:val="26"/>
        </w:rPr>
      </w:pPr>
      <w:r w:rsidRPr="0099324A">
        <w:rPr>
          <w:lang w:val="fr-FR"/>
        </w:rPr>
        <w:tab/>
      </w:r>
      <w:r w:rsidRPr="0099324A">
        <w:rPr>
          <w:lang w:val="fr-FR"/>
        </w:rPr>
        <w:tab/>
      </w:r>
      <w:r w:rsidR="00B3111A" w:rsidRPr="00027CB6">
        <w:rPr>
          <w:lang w:val="fr-FR"/>
        </w:rPr>
        <w:t xml:space="preserve">Proposition de complément 5 à la version initiale du Règlement ONU </w:t>
      </w:r>
      <w:r w:rsidR="00B3111A" w:rsidRPr="00027CB6">
        <w:rPr>
          <w:rFonts w:eastAsia="MS Mincho"/>
          <w:szCs w:val="22"/>
          <w:lang w:val="fr-FR"/>
        </w:rPr>
        <w:t>n</w:t>
      </w:r>
      <w:r w:rsidR="00B3111A" w:rsidRPr="00027CB6">
        <w:rPr>
          <w:rFonts w:eastAsia="MS Mincho"/>
          <w:szCs w:val="22"/>
          <w:vertAlign w:val="superscript"/>
          <w:lang w:val="fr-FR"/>
        </w:rPr>
        <w:t>o</w:t>
      </w:r>
      <w:r w:rsidR="00B3111A" w:rsidRPr="00027CB6">
        <w:rPr>
          <w:lang w:val="fr-FR"/>
        </w:rPr>
        <w:t> 122 (</w:t>
      </w:r>
      <w:r w:rsidR="00B3111A" w:rsidRPr="00027CB6">
        <w:rPr>
          <w:rFonts w:eastAsia="Times New Roman"/>
          <w:lang w:val="fr-FR"/>
        </w:rPr>
        <w:t>Système de chauffage</w:t>
      </w:r>
      <w:r w:rsidR="00B3111A" w:rsidRPr="00027CB6">
        <w:rPr>
          <w:lang w:val="fr-FR"/>
        </w:rPr>
        <w:t>)</w:t>
      </w:r>
    </w:p>
    <w:p w:rsidR="00886EF5" w:rsidRPr="0099324A" w:rsidRDefault="00886EF5" w:rsidP="00886EF5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324A">
        <w:rPr>
          <w:lang w:val="fr-FR"/>
        </w:rPr>
        <w:t>Communication de l</w:t>
      </w:r>
      <w:r>
        <w:rPr>
          <w:lang w:val="fr-FR"/>
        </w:rPr>
        <w:t>’</w:t>
      </w:r>
      <w:r w:rsidRPr="0099324A">
        <w:rPr>
          <w:lang w:val="fr-FR"/>
        </w:rPr>
        <w:t>expert de la France</w:t>
      </w:r>
      <w:r w:rsidRPr="00886EF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8E07B1" w:rsidP="00886EF5">
      <w:pPr>
        <w:pStyle w:val="SingleTxtG"/>
        <w:ind w:firstLine="567"/>
        <w:rPr>
          <w:lang w:val="fr-FR"/>
        </w:rPr>
      </w:pPr>
      <w:r w:rsidRPr="00027CB6">
        <w:rPr>
          <w:lang w:val="fr-FR"/>
        </w:rPr>
        <w:t>Dans le texte ci-après, établi par l’expert de la France, il est proposé de modifier le Règlement ONU n</w:t>
      </w:r>
      <w:r w:rsidRPr="00027CB6">
        <w:rPr>
          <w:vertAlign w:val="superscript"/>
          <w:lang w:val="fr-FR"/>
        </w:rPr>
        <w:t>o</w:t>
      </w:r>
      <w:r w:rsidRPr="00027CB6">
        <w:rPr>
          <w:lang w:val="fr-FR"/>
        </w:rPr>
        <w:t xml:space="preserve"> 122 </w:t>
      </w:r>
      <w:r>
        <w:rPr>
          <w:lang w:val="fr-FR"/>
        </w:rPr>
        <w:t xml:space="preserve">afin </w:t>
      </w:r>
      <w:r w:rsidRPr="00F9475B">
        <w:rPr>
          <w:lang w:val="fr-FR"/>
        </w:rPr>
        <w:t>d</w:t>
      </w:r>
      <w:r>
        <w:rPr>
          <w:lang w:val="fr-FR"/>
        </w:rPr>
        <w:t>e limiter les exemptions potentielles des dispositifs électriques de chauffage participant au chauffage de l’habitacle</w:t>
      </w:r>
      <w:r w:rsidRPr="00027CB6">
        <w:rPr>
          <w:lang w:val="fr-FR"/>
        </w:rPr>
        <w:t xml:space="preserve">. Les modifications qu’il est proposé d’apporter au texte actuel du Règlement ONU </w:t>
      </w:r>
      <w:r w:rsidRPr="00027CB6">
        <w:rPr>
          <w:rFonts w:eastAsia="MS Mincho"/>
          <w:szCs w:val="22"/>
          <w:lang w:val="fr-FR"/>
        </w:rPr>
        <w:t>n</w:t>
      </w:r>
      <w:r w:rsidRPr="00027CB6">
        <w:rPr>
          <w:rFonts w:eastAsia="MS Mincho"/>
          <w:szCs w:val="22"/>
          <w:vertAlign w:val="superscript"/>
          <w:lang w:val="fr-FR"/>
        </w:rPr>
        <w:t>o</w:t>
      </w:r>
      <w:r w:rsidRPr="00027CB6">
        <w:rPr>
          <w:lang w:val="fr-FR"/>
        </w:rPr>
        <w:t> 122 sont signalées en caractères gras.</w:t>
      </w:r>
    </w:p>
    <w:p w:rsidR="00886EF5" w:rsidRPr="0067386A" w:rsidRDefault="00886EF5" w:rsidP="00886EF5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67386A">
        <w:t>I.</w:t>
      </w:r>
      <w:r w:rsidRPr="0067386A">
        <w:tab/>
        <w:t>Proposition</w:t>
      </w:r>
    </w:p>
    <w:p w:rsidR="008E07B1" w:rsidRPr="00027CB6" w:rsidRDefault="006C645F" w:rsidP="008E07B1">
      <w:pPr>
        <w:pStyle w:val="SingleTxtG"/>
        <w:rPr>
          <w:lang w:val="fr-FR"/>
        </w:rPr>
      </w:pPr>
      <w:r>
        <w:rPr>
          <w:i/>
          <w:lang w:val="fr-FR" w:eastAsia="fr-FR"/>
        </w:rPr>
        <w:t>Paragraphe</w:t>
      </w:r>
      <w:r w:rsidR="008E07B1" w:rsidRPr="00027CB6">
        <w:rPr>
          <w:i/>
          <w:lang w:val="fr-FR" w:eastAsia="fr-FR"/>
        </w:rPr>
        <w:t xml:space="preserve"> 6.1.</w:t>
      </w:r>
      <w:r w:rsidR="00BE1E07">
        <w:rPr>
          <w:i/>
          <w:lang w:val="fr-FR" w:eastAsia="fr-FR"/>
        </w:rPr>
        <w:t>5</w:t>
      </w:r>
      <w:r w:rsidR="008E07B1" w:rsidRPr="00027CB6">
        <w:rPr>
          <w:i/>
          <w:lang w:val="fr-FR" w:eastAsia="fr-FR"/>
        </w:rPr>
        <w:t>,</w:t>
      </w:r>
      <w:r w:rsidR="00BE1E07">
        <w:rPr>
          <w:lang w:val="fr-FR" w:eastAsia="fr-FR"/>
        </w:rPr>
        <w:t xml:space="preserve"> modifier</w:t>
      </w:r>
      <w:r w:rsidR="008E07B1" w:rsidRPr="00027CB6">
        <w:rPr>
          <w:lang w:val="fr-FR" w:eastAsia="fr-FR"/>
        </w:rPr>
        <w:t xml:space="preserve"> comme suit </w:t>
      </w:r>
      <w:r w:rsidR="008E07B1" w:rsidRPr="00027CB6">
        <w:rPr>
          <w:lang w:val="fr-FR"/>
        </w:rPr>
        <w:t>:</w:t>
      </w:r>
    </w:p>
    <w:p w:rsidR="008E07B1" w:rsidRPr="00027CB6" w:rsidRDefault="008E07B1" w:rsidP="008E07B1">
      <w:pPr>
        <w:pStyle w:val="SingleTxtG"/>
        <w:ind w:left="2268" w:hanging="1134"/>
        <w:rPr>
          <w:lang w:val="fr-FR" w:eastAsia="fr-FR"/>
        </w:rPr>
      </w:pPr>
      <w:r w:rsidRPr="00027CB6">
        <w:rPr>
          <w:lang w:val="fr-FR" w:eastAsia="fr-FR"/>
        </w:rPr>
        <w:t>« </w:t>
      </w:r>
      <w:r w:rsidRPr="00F4296D">
        <w:rPr>
          <w:lang w:val="fr-FR" w:eastAsia="fr-FR"/>
        </w:rPr>
        <w:t>6.1.5</w:t>
      </w:r>
      <w:r w:rsidRPr="00027CB6">
        <w:rPr>
          <w:b/>
          <w:lang w:val="fr-FR" w:eastAsia="fr-FR"/>
        </w:rPr>
        <w:tab/>
      </w:r>
      <w:r w:rsidR="006C645F" w:rsidRPr="006C645F">
        <w:rPr>
          <w:bCs/>
          <w:i/>
          <w:lang w:val="fr-FR"/>
        </w:rPr>
        <w:t>«Chauffage électrique</w:t>
      </w:r>
      <w:r w:rsidRPr="006C645F">
        <w:rPr>
          <w:bCs/>
          <w:i/>
          <w:lang w:val="fr-FR"/>
        </w:rPr>
        <w:t>»</w:t>
      </w:r>
      <w:r w:rsidRPr="00E5114C">
        <w:rPr>
          <w:bCs/>
          <w:lang w:val="fr-FR"/>
        </w:rPr>
        <w:t>, un dispositif utilisant l’énergie électrique d’une source embarquée ou externe pour augmenter la température à l’intérieur du véhicule. Les dispositifs électriques qui sont</w:t>
      </w:r>
      <w:r>
        <w:rPr>
          <w:bCs/>
          <w:lang w:val="fr-FR"/>
        </w:rPr>
        <w:t xml:space="preserve"> installés en plus du système de</w:t>
      </w:r>
      <w:r w:rsidRPr="00E5114C">
        <w:rPr>
          <w:bCs/>
          <w:lang w:val="fr-FR"/>
        </w:rPr>
        <w:t xml:space="preserve"> chauffage </w:t>
      </w:r>
      <w:r w:rsidRPr="00B63131">
        <w:rPr>
          <w:bCs/>
          <w:lang w:val="fr-FR"/>
        </w:rPr>
        <w:t xml:space="preserve">principal </w:t>
      </w:r>
      <w:r w:rsidRPr="00B63131">
        <w:rPr>
          <w:b/>
          <w:bCs/>
          <w:lang w:val="fr-FR"/>
        </w:rPr>
        <w:t>et</w:t>
      </w:r>
      <w:r w:rsidRPr="00E5114C">
        <w:rPr>
          <w:b/>
          <w:bCs/>
          <w:lang w:val="fr-FR"/>
        </w:rPr>
        <w:t xml:space="preserve"> dont la fonction principale</w:t>
      </w:r>
      <w:r>
        <w:rPr>
          <w:b/>
          <w:bCs/>
          <w:lang w:val="fr-FR"/>
        </w:rPr>
        <w:t xml:space="preserve"> n’est pas de</w:t>
      </w:r>
      <w:r w:rsidRPr="00E5114C">
        <w:rPr>
          <w:b/>
          <w:bCs/>
          <w:lang w:val="fr-FR"/>
        </w:rPr>
        <w:t xml:space="preserve"> chauffer l’intérieur du véhicule</w:t>
      </w:r>
      <w:r>
        <w:rPr>
          <w:bCs/>
          <w:lang w:val="fr-FR"/>
        </w:rPr>
        <w:t xml:space="preserve"> </w:t>
      </w:r>
      <w:r w:rsidRPr="00E5114C">
        <w:rPr>
          <w:bCs/>
          <w:lang w:val="fr-FR"/>
        </w:rPr>
        <w:t xml:space="preserve">ne sont pas considérés comme des chauffages électriques au titre du présent Règlement. </w:t>
      </w:r>
      <w:r w:rsidRPr="00B63131">
        <w:rPr>
          <w:b/>
          <w:bCs/>
          <w:lang w:val="fr-FR"/>
        </w:rPr>
        <w:t>Par exemple</w:t>
      </w:r>
      <w:r w:rsidRPr="00E5114C">
        <w:rPr>
          <w:bCs/>
          <w:lang w:val="fr-FR"/>
        </w:rPr>
        <w:t>, les dispositifs électriques installés dans un composant aux seules fins de chauffage de ce composant ne sont pas considérés comme étant des chauffages électrique</w:t>
      </w:r>
      <w:r>
        <w:rPr>
          <w:bCs/>
          <w:lang w:val="fr-FR"/>
        </w:rPr>
        <w:t>s au titre du présent Règlement</w:t>
      </w:r>
      <w:r w:rsidRPr="00027CB6">
        <w:rPr>
          <w:lang w:val="fr-FR" w:eastAsia="fr-FR"/>
        </w:rPr>
        <w:t>. ».</w:t>
      </w:r>
    </w:p>
    <w:p w:rsidR="00886EF5" w:rsidRPr="00D320B1" w:rsidRDefault="00886EF5" w:rsidP="00BC3495">
      <w:pPr>
        <w:pStyle w:val="HChG"/>
      </w:pPr>
      <w:r w:rsidRPr="00CB0835">
        <w:tab/>
      </w:r>
      <w:r w:rsidRPr="00D320B1">
        <w:t>II.</w:t>
      </w:r>
      <w:r w:rsidRPr="00D320B1">
        <w:tab/>
        <w:t>Justification</w:t>
      </w:r>
    </w:p>
    <w:p w:rsidR="00B3111A" w:rsidRPr="00027CB6" w:rsidRDefault="008E07B1" w:rsidP="00B3111A">
      <w:pPr>
        <w:pStyle w:val="SingleTxtG"/>
        <w:ind w:firstLine="567"/>
        <w:rPr>
          <w:spacing w:val="4"/>
          <w:lang w:val="fr-FR"/>
        </w:rPr>
      </w:pPr>
      <w:r>
        <w:rPr>
          <w:spacing w:val="4"/>
        </w:rPr>
        <w:t xml:space="preserve">Afin de clarifier le champ d’application du présent Règlement en ce qui concerne les chauffages électriques, une clarification est apportée au paragraphe 6.1.5. </w:t>
      </w:r>
      <w:proofErr w:type="gramStart"/>
      <w:r>
        <w:rPr>
          <w:spacing w:val="4"/>
        </w:rPr>
        <w:t>afin</w:t>
      </w:r>
      <w:proofErr w:type="gramEnd"/>
      <w:r>
        <w:rPr>
          <w:spacing w:val="4"/>
        </w:rPr>
        <w:t xml:space="preserve"> de limiter les exemptions potentielles pouvant s’appliquer à un système de chauffage composée de plusieurs dispositifs électriques contribuant à chauffer l’intérieur du véhicule</w:t>
      </w:r>
      <w:r w:rsidRPr="00027CB6">
        <w:rPr>
          <w:spacing w:val="4"/>
          <w:lang w:val="fr-FR"/>
        </w:rPr>
        <w:t>.</w:t>
      </w:r>
    </w:p>
    <w:p w:rsidR="00BC3495" w:rsidRPr="00BC3495" w:rsidRDefault="00BC3495" w:rsidP="00BC349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3495" w:rsidRPr="00BC3495" w:rsidSect="00027C6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7" w:right="1134" w:bottom="1985" w:left="1134" w:header="850" w:footer="1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B7" w:rsidRDefault="00F748B7" w:rsidP="00F95C08">
      <w:pPr>
        <w:spacing w:line="240" w:lineRule="auto"/>
      </w:pPr>
    </w:p>
  </w:endnote>
  <w:endnote w:type="continuationSeparator" w:id="0">
    <w:p w:rsidR="00F748B7" w:rsidRPr="00AC3823" w:rsidRDefault="00F748B7" w:rsidP="00AC3823">
      <w:pPr>
        <w:pStyle w:val="Footer"/>
      </w:pPr>
    </w:p>
  </w:endnote>
  <w:endnote w:type="continuationNotice" w:id="1">
    <w:p w:rsidR="00F748B7" w:rsidRDefault="00F748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86EF5" w:rsidRDefault="00886EF5" w:rsidP="00886EF5">
    <w:pPr>
      <w:pStyle w:val="Footer"/>
      <w:tabs>
        <w:tab w:val="right" w:pos="9638"/>
      </w:tabs>
    </w:pPr>
    <w:r w:rsidRPr="00886EF5">
      <w:rPr>
        <w:b/>
        <w:sz w:val="18"/>
      </w:rPr>
      <w:fldChar w:fldCharType="begin"/>
    </w:r>
    <w:r w:rsidRPr="00886EF5">
      <w:rPr>
        <w:b/>
        <w:sz w:val="18"/>
      </w:rPr>
      <w:instrText xml:space="preserve"> PAGE  \* MERGEFORMAT </w:instrText>
    </w:r>
    <w:r w:rsidRPr="00886EF5">
      <w:rPr>
        <w:b/>
        <w:sz w:val="18"/>
      </w:rPr>
      <w:fldChar w:fldCharType="separate"/>
    </w:r>
    <w:r w:rsidR="00027C6A">
      <w:rPr>
        <w:b/>
        <w:noProof/>
        <w:sz w:val="18"/>
      </w:rPr>
      <w:t>2</w:t>
    </w:r>
    <w:r w:rsidRPr="00886EF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86EF5" w:rsidRDefault="00886EF5" w:rsidP="00886EF5">
    <w:pPr>
      <w:pStyle w:val="Footer"/>
      <w:tabs>
        <w:tab w:val="right" w:pos="9638"/>
      </w:tabs>
      <w:rPr>
        <w:b/>
        <w:sz w:val="18"/>
      </w:rPr>
    </w:pPr>
    <w:r>
      <w:tab/>
    </w:r>
    <w:r w:rsidRPr="00886EF5">
      <w:rPr>
        <w:b/>
        <w:sz w:val="18"/>
      </w:rPr>
      <w:fldChar w:fldCharType="begin"/>
    </w:r>
    <w:r w:rsidRPr="00886EF5">
      <w:rPr>
        <w:b/>
        <w:sz w:val="18"/>
      </w:rPr>
      <w:instrText xml:space="preserve"> PAGE  \* MERGEFORMAT </w:instrText>
    </w:r>
    <w:r w:rsidRPr="00886EF5">
      <w:rPr>
        <w:b/>
        <w:sz w:val="18"/>
      </w:rPr>
      <w:fldChar w:fldCharType="separate"/>
    </w:r>
    <w:r w:rsidR="008554EE">
      <w:rPr>
        <w:b/>
        <w:noProof/>
        <w:sz w:val="18"/>
      </w:rPr>
      <w:t>2</w:t>
    </w:r>
    <w:r w:rsidRPr="00886EF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B7" w:rsidRPr="00AC3823" w:rsidRDefault="00F748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48B7" w:rsidRPr="00AC3823" w:rsidRDefault="00F748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48B7" w:rsidRPr="00AC3823" w:rsidRDefault="00F748B7">
      <w:pPr>
        <w:spacing w:line="240" w:lineRule="auto"/>
        <w:rPr>
          <w:sz w:val="2"/>
          <w:szCs w:val="2"/>
        </w:rPr>
      </w:pPr>
    </w:p>
  </w:footnote>
  <w:footnote w:id="2">
    <w:p w:rsidR="00886EF5" w:rsidRPr="00886EF5" w:rsidRDefault="00886EF5">
      <w:pPr>
        <w:pStyle w:val="FootnoteText"/>
      </w:pPr>
      <w:r w:rsidRPr="00886EF5">
        <w:rPr>
          <w:rStyle w:val="FootnoteReference"/>
          <w:spacing w:val="-2"/>
        </w:rPr>
        <w:tab/>
      </w:r>
      <w:r w:rsidRPr="00886EF5">
        <w:rPr>
          <w:rStyle w:val="FootnoteReference"/>
          <w:spacing w:val="-2"/>
          <w:sz w:val="20"/>
          <w:vertAlign w:val="baseline"/>
        </w:rPr>
        <w:t>*</w:t>
      </w:r>
      <w:r w:rsidRPr="00886EF5">
        <w:rPr>
          <w:rStyle w:val="FootnoteReference"/>
          <w:spacing w:val="-2"/>
          <w:sz w:val="20"/>
          <w:vertAlign w:val="baseline"/>
        </w:rPr>
        <w:tab/>
      </w:r>
      <w:r w:rsidRPr="00886EF5">
        <w:rPr>
          <w:spacing w:val="-2"/>
          <w:lang w:val="fr-FR"/>
        </w:rPr>
        <w:t>Conformément au programme de travail du Comité des transports intérieurs pour la période 2014-2018</w:t>
      </w:r>
      <w:r>
        <w:rPr>
          <w:lang w:val="fr-FR"/>
        </w:rPr>
        <w:t xml:space="preserve"> </w:t>
      </w:r>
      <w:r w:rsidRPr="00886EF5">
        <w:rPr>
          <w:spacing w:val="-2"/>
          <w:lang w:val="fr-FR"/>
        </w:rPr>
        <w:t>(ECE/TRANS/240, par.</w:t>
      </w:r>
      <w:r>
        <w:rPr>
          <w:spacing w:val="-2"/>
          <w:lang w:val="fr-FR"/>
        </w:rPr>
        <w:t> </w:t>
      </w:r>
      <w:r w:rsidRPr="00886EF5">
        <w:rPr>
          <w:spacing w:val="-2"/>
          <w:lang w:val="fr-FR"/>
        </w:rPr>
        <w:t>105, et ECE/TRANS/2014/26, activité 02.4), le Forum mondial a pour mission</w:t>
      </w:r>
      <w:r>
        <w:rPr>
          <w:lang w:val="fr-FR"/>
        </w:rPr>
        <w:t xml:space="preserve"> d’élaborer, d’harmoniser et de mettre à jour les </w:t>
      </w:r>
      <w:r w:rsidR="00797904">
        <w:rPr>
          <w:lang w:val="fr-FR"/>
        </w:rPr>
        <w:t>r</w:t>
      </w:r>
      <w:r>
        <w:rPr>
          <w:lang w:val="fr-FR"/>
        </w:rPr>
        <w:t>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D75F9" w:rsidRDefault="008D75F9" w:rsidP="008D75F9">
    <w:pPr>
      <w:pStyle w:val="Header"/>
    </w:pPr>
    <w:r>
      <w:t>ECE/TRANS/WP.29/GRSG/2018/</w:t>
    </w:r>
    <w:r w:rsidR="00B3111A">
      <w:t>2</w:t>
    </w:r>
    <w:r w:rsidR="006C645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D75F9" w:rsidRDefault="008D75F9" w:rsidP="008D75F9">
    <w:pPr>
      <w:pStyle w:val="Header"/>
      <w:jc w:val="right"/>
    </w:pPr>
    <w:r w:rsidRPr="008D75F9">
      <w:t>ECE/TRANS/WP.29/GRSG/2018/18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B7"/>
    <w:rsid w:val="00017F94"/>
    <w:rsid w:val="00023842"/>
    <w:rsid w:val="00024BBF"/>
    <w:rsid w:val="00027C6A"/>
    <w:rsid w:val="000334F9"/>
    <w:rsid w:val="00045FEB"/>
    <w:rsid w:val="0007796D"/>
    <w:rsid w:val="00083FA3"/>
    <w:rsid w:val="00092973"/>
    <w:rsid w:val="000A1B4E"/>
    <w:rsid w:val="000B7790"/>
    <w:rsid w:val="000D4F1F"/>
    <w:rsid w:val="00104377"/>
    <w:rsid w:val="00111F2F"/>
    <w:rsid w:val="0014365E"/>
    <w:rsid w:val="00143C66"/>
    <w:rsid w:val="00176178"/>
    <w:rsid w:val="001917BE"/>
    <w:rsid w:val="001F525A"/>
    <w:rsid w:val="00223272"/>
    <w:rsid w:val="0024779E"/>
    <w:rsid w:val="00257168"/>
    <w:rsid w:val="00257ACA"/>
    <w:rsid w:val="00263443"/>
    <w:rsid w:val="00265D20"/>
    <w:rsid w:val="002744B8"/>
    <w:rsid w:val="002832AC"/>
    <w:rsid w:val="002C6D44"/>
    <w:rsid w:val="002D7C93"/>
    <w:rsid w:val="00305801"/>
    <w:rsid w:val="003916DE"/>
    <w:rsid w:val="00441C3B"/>
    <w:rsid w:val="00446FE5"/>
    <w:rsid w:val="00452396"/>
    <w:rsid w:val="004837D8"/>
    <w:rsid w:val="00487768"/>
    <w:rsid w:val="004A2957"/>
    <w:rsid w:val="004E468C"/>
    <w:rsid w:val="005505B7"/>
    <w:rsid w:val="00573BE5"/>
    <w:rsid w:val="00586ED3"/>
    <w:rsid w:val="00596AA9"/>
    <w:rsid w:val="005A2036"/>
    <w:rsid w:val="0063794B"/>
    <w:rsid w:val="006539CB"/>
    <w:rsid w:val="006C645F"/>
    <w:rsid w:val="0071601D"/>
    <w:rsid w:val="00797904"/>
    <w:rsid w:val="007A62E6"/>
    <w:rsid w:val="007B1B84"/>
    <w:rsid w:val="007F20FA"/>
    <w:rsid w:val="0080684C"/>
    <w:rsid w:val="00807A7F"/>
    <w:rsid w:val="008554EE"/>
    <w:rsid w:val="0086347B"/>
    <w:rsid w:val="00871C75"/>
    <w:rsid w:val="008776DC"/>
    <w:rsid w:val="00886EF5"/>
    <w:rsid w:val="008D75F9"/>
    <w:rsid w:val="008E07B1"/>
    <w:rsid w:val="008F0E8C"/>
    <w:rsid w:val="009446C0"/>
    <w:rsid w:val="009705C8"/>
    <w:rsid w:val="009C1CF4"/>
    <w:rsid w:val="009F6B74"/>
    <w:rsid w:val="00A30353"/>
    <w:rsid w:val="00AC1671"/>
    <w:rsid w:val="00AC3823"/>
    <w:rsid w:val="00AE323C"/>
    <w:rsid w:val="00AF0CB5"/>
    <w:rsid w:val="00B00181"/>
    <w:rsid w:val="00B00B0D"/>
    <w:rsid w:val="00B3111A"/>
    <w:rsid w:val="00B765F7"/>
    <w:rsid w:val="00BA0CA9"/>
    <w:rsid w:val="00BC3495"/>
    <w:rsid w:val="00BE1E07"/>
    <w:rsid w:val="00BE6E84"/>
    <w:rsid w:val="00C02897"/>
    <w:rsid w:val="00C51E44"/>
    <w:rsid w:val="00C81D1E"/>
    <w:rsid w:val="00C97039"/>
    <w:rsid w:val="00CC58B6"/>
    <w:rsid w:val="00CD112D"/>
    <w:rsid w:val="00CE6F7E"/>
    <w:rsid w:val="00D3439C"/>
    <w:rsid w:val="00DB1831"/>
    <w:rsid w:val="00DD3BFD"/>
    <w:rsid w:val="00DF6678"/>
    <w:rsid w:val="00E0299A"/>
    <w:rsid w:val="00E65909"/>
    <w:rsid w:val="00E84763"/>
    <w:rsid w:val="00E85C74"/>
    <w:rsid w:val="00EA6547"/>
    <w:rsid w:val="00EF2E22"/>
    <w:rsid w:val="00F35BAF"/>
    <w:rsid w:val="00F37CF9"/>
    <w:rsid w:val="00F660DF"/>
    <w:rsid w:val="00F748B7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ED1B2D6-0219-4712-A8E4-3536FECE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B3111A"/>
    <w:pPr>
      <w:spacing w:after="0" w:line="240" w:lineRule="atLeast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ECE/TRANS/WP.29/GRSG/2018/5</vt:lpstr>
      <vt:lpstr>ECE/TRANS/WP.29/GRSG/2018/5</vt:lpstr>
    </vt:vector>
  </TitlesOfParts>
  <Company>DCM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ECE/TRANS/WP.29/GRSG/2018/5</dc:title>
  <dc:creator>Marie DESCHAMPS</dc:creator>
  <cp:lastModifiedBy>Benedicte Boudol</cp:lastModifiedBy>
  <cp:revision>2</cp:revision>
  <cp:lastPrinted>2018-07-18T12:36:00Z</cp:lastPrinted>
  <dcterms:created xsi:type="dcterms:W3CDTF">2018-07-20T13:52:00Z</dcterms:created>
  <dcterms:modified xsi:type="dcterms:W3CDTF">2018-07-20T13:52:00Z</dcterms:modified>
</cp:coreProperties>
</file>