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954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954E2" w:rsidP="00F954E2">
            <w:pPr>
              <w:jc w:val="right"/>
            </w:pPr>
            <w:r w:rsidRPr="00F954E2">
              <w:rPr>
                <w:sz w:val="40"/>
              </w:rPr>
              <w:t>ECE</w:t>
            </w:r>
            <w:r>
              <w:t>/TRANS/WP.29/GRSG/2018/20</w:t>
            </w:r>
          </w:p>
        </w:tc>
      </w:tr>
      <w:tr w:rsidR="002D5AAC" w:rsidRPr="00F954E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954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954E2" w:rsidRDefault="00F954E2" w:rsidP="00F954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F954E2" w:rsidRDefault="00F954E2" w:rsidP="00F954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954E2" w:rsidRPr="008D53B6" w:rsidRDefault="00F954E2" w:rsidP="00F954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D56B9" w:rsidRPr="000A4377" w:rsidRDefault="007D56B9" w:rsidP="007D56B9">
      <w:pPr>
        <w:spacing w:before="120"/>
        <w:rPr>
          <w:b/>
          <w:sz w:val="28"/>
          <w:szCs w:val="28"/>
        </w:rPr>
      </w:pPr>
      <w:r w:rsidRPr="000A4377">
        <w:rPr>
          <w:b/>
          <w:sz w:val="28"/>
          <w:szCs w:val="28"/>
        </w:rPr>
        <w:t>Европейская экономическая комиссия</w:t>
      </w:r>
    </w:p>
    <w:p w:rsidR="007D56B9" w:rsidRPr="00C405A1" w:rsidRDefault="007D56B9" w:rsidP="007D56B9">
      <w:pPr>
        <w:spacing w:before="120"/>
        <w:rPr>
          <w:sz w:val="28"/>
          <w:szCs w:val="28"/>
        </w:rPr>
      </w:pPr>
      <w:r w:rsidRPr="000A4377">
        <w:rPr>
          <w:sz w:val="28"/>
          <w:szCs w:val="28"/>
        </w:rPr>
        <w:t>Комитет по внутреннему транспорту</w:t>
      </w:r>
    </w:p>
    <w:p w:rsidR="007D56B9" w:rsidRPr="00C405A1" w:rsidRDefault="007D56B9" w:rsidP="007D56B9">
      <w:pPr>
        <w:spacing w:before="120"/>
        <w:rPr>
          <w:b/>
          <w:sz w:val="24"/>
          <w:szCs w:val="24"/>
        </w:rPr>
      </w:pPr>
      <w:r w:rsidRPr="00C405A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405A1">
        <w:rPr>
          <w:b/>
          <w:bCs/>
          <w:sz w:val="24"/>
          <w:szCs w:val="24"/>
        </w:rPr>
        <w:br/>
        <w:t>в области транспортных средств</w:t>
      </w:r>
    </w:p>
    <w:p w:rsidR="007D56B9" w:rsidRDefault="007D56B9" w:rsidP="007D56B9">
      <w:pPr>
        <w:spacing w:before="120"/>
        <w:rPr>
          <w:b/>
        </w:rPr>
      </w:pPr>
      <w:r w:rsidRPr="00C405A1">
        <w:rPr>
          <w:b/>
          <w:bCs/>
        </w:rPr>
        <w:t xml:space="preserve">Рабочая группа по общим предписаниям, </w:t>
      </w:r>
      <w:r w:rsidRPr="00C405A1">
        <w:rPr>
          <w:b/>
          <w:bCs/>
        </w:rPr>
        <w:br/>
        <w:t>касающимся безопасности</w:t>
      </w:r>
    </w:p>
    <w:p w:rsidR="007D56B9" w:rsidRPr="00692998" w:rsidRDefault="007D56B9" w:rsidP="007D56B9">
      <w:pPr>
        <w:spacing w:before="120"/>
        <w:rPr>
          <w:b/>
        </w:rPr>
      </w:pPr>
      <w:r w:rsidRPr="00692998">
        <w:rPr>
          <w:b/>
        </w:rPr>
        <w:t>115</w:t>
      </w:r>
      <w:r w:rsidRPr="00692998">
        <w:rPr>
          <w:b/>
          <w:bCs/>
        </w:rPr>
        <w:t>-я сессия</w:t>
      </w:r>
      <w:r w:rsidRPr="00692998">
        <w:rPr>
          <w:b/>
        </w:rPr>
        <w:t xml:space="preserve"> </w:t>
      </w:r>
    </w:p>
    <w:p w:rsidR="007D56B9" w:rsidRPr="00692998" w:rsidRDefault="007D56B9" w:rsidP="007D56B9">
      <w:r>
        <w:t>Женева</w:t>
      </w:r>
      <w:r w:rsidRPr="00692998">
        <w:t>, 9</w:t>
      </w:r>
      <w:r w:rsidR="00767CA0">
        <w:t>–</w:t>
      </w:r>
      <w:r w:rsidRPr="00692998">
        <w:t xml:space="preserve">12 </w:t>
      </w:r>
      <w:r>
        <w:t>октября</w:t>
      </w:r>
      <w:r w:rsidRPr="00692998">
        <w:t xml:space="preserve"> 2018 </w:t>
      </w:r>
      <w:r>
        <w:t>года</w:t>
      </w:r>
    </w:p>
    <w:p w:rsidR="007D56B9" w:rsidRPr="00C405A1" w:rsidRDefault="007D56B9" w:rsidP="007D56B9">
      <w:r>
        <w:t>Пункт</w:t>
      </w:r>
      <w:r w:rsidRPr="00C405A1">
        <w:t xml:space="preserve"> 9 </w:t>
      </w:r>
      <w:r>
        <w:t>a</w:t>
      </w:r>
      <w:r w:rsidRPr="00C405A1">
        <w:t>) предварительной повестки дня</w:t>
      </w:r>
    </w:p>
    <w:p w:rsidR="007D56B9" w:rsidRPr="00C405A1" w:rsidRDefault="007D56B9" w:rsidP="00C740FE">
      <w:r w:rsidRPr="00C405A1">
        <w:rPr>
          <w:b/>
          <w:bCs/>
        </w:rPr>
        <w:t xml:space="preserve">Поправки к правилам, касающимся транспортных </w:t>
      </w:r>
      <w:r w:rsidRPr="00C405A1">
        <w:rPr>
          <w:b/>
          <w:bCs/>
        </w:rPr>
        <w:br/>
        <w:t>средств, работающих на газе:</w:t>
      </w:r>
      <w:r w:rsidRPr="00C405A1">
        <w:t xml:space="preserve"> </w:t>
      </w:r>
      <w:r w:rsidRPr="00C405A1">
        <w:rPr>
          <w:b/>
          <w:bCs/>
        </w:rPr>
        <w:t xml:space="preserve">Правила № 67 ООН </w:t>
      </w:r>
      <w:r w:rsidR="00C740FE">
        <w:rPr>
          <w:b/>
          <w:bCs/>
        </w:rPr>
        <w:br/>
      </w:r>
      <w:r w:rsidRPr="00C405A1">
        <w:rPr>
          <w:b/>
          <w:bCs/>
        </w:rPr>
        <w:t>(транспортные средства, работающие на СНГ)</w:t>
      </w:r>
    </w:p>
    <w:p w:rsidR="007D56B9" w:rsidRDefault="007D56B9" w:rsidP="007D56B9">
      <w:pPr>
        <w:pStyle w:val="HChG"/>
        <w:rPr>
          <w:lang w:val="ru-RU"/>
        </w:rPr>
      </w:pPr>
      <w:r w:rsidRPr="00C405A1">
        <w:rPr>
          <w:sz w:val="26"/>
          <w:szCs w:val="26"/>
          <w:lang w:val="ru-RU"/>
        </w:rPr>
        <w:tab/>
      </w:r>
      <w:r w:rsidRPr="00C405A1">
        <w:rPr>
          <w:sz w:val="26"/>
          <w:szCs w:val="26"/>
          <w:lang w:val="ru-RU"/>
        </w:rPr>
        <w:tab/>
      </w:r>
      <w:r w:rsidRPr="00C405A1">
        <w:rPr>
          <w:lang w:val="ru-RU"/>
        </w:rPr>
        <w:t xml:space="preserve">Предложение по дополнению 16 к поправкам серии 01 </w:t>
      </w:r>
      <w:r>
        <w:rPr>
          <w:lang w:val="ru-RU"/>
        </w:rPr>
        <w:t xml:space="preserve">и по дополнению 1 к поправкам серии 02 </w:t>
      </w:r>
      <w:r w:rsidRPr="00C405A1">
        <w:rPr>
          <w:lang w:val="ru-RU"/>
        </w:rPr>
        <w:t>к</w:t>
      </w:r>
      <w:r>
        <w:t> </w:t>
      </w:r>
      <w:r w:rsidRPr="00C405A1">
        <w:rPr>
          <w:lang w:val="ru-RU"/>
        </w:rPr>
        <w:t>Правилам № 67 ООН (транспортные средства, работающие на СНГ)</w:t>
      </w:r>
    </w:p>
    <w:p w:rsidR="007D56B9" w:rsidRDefault="000F7807" w:rsidP="000F7807">
      <w:pPr>
        <w:pStyle w:val="H1GR"/>
        <w:rPr>
          <w:vertAlign w:val="superscript"/>
        </w:rPr>
      </w:pPr>
      <w:r>
        <w:tab/>
      </w:r>
      <w:r>
        <w:tab/>
      </w:r>
      <w:r w:rsidR="007D56B9" w:rsidRPr="00C405A1">
        <w:t xml:space="preserve">Представлено экспертом от </w:t>
      </w:r>
      <w:r>
        <w:t>Европейской ассоциации по </w:t>
      </w:r>
      <w:r w:rsidR="007D56B9">
        <w:t>сжиженным нефтяным газам</w:t>
      </w:r>
      <w:r w:rsidR="007D56B9" w:rsidRPr="000F7807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</w:p>
    <w:p w:rsidR="007D56B9" w:rsidRPr="000F7807" w:rsidRDefault="000F7807" w:rsidP="000F7807">
      <w:pPr>
        <w:pStyle w:val="SingleTxtGR"/>
      </w:pPr>
      <w:r>
        <w:tab/>
      </w:r>
      <w:r w:rsidR="007D56B9" w:rsidRPr="000F7807">
        <w:t>Воспроизведенный ниже текст был подготовлен экспертом от Европейской ассоциации по сжиженным нефтяным газам (ЕАСНГ) для упрощения и корректировки положений Правил № 67 ООН с учетом технического прогресса; в частности, речь идет об определении типа баллона и приложении 2B. В его основу положен главным образом документ, представленный на 114-ой сессии Рабочей группы по общим предписаниям, касающимся безопасности (GRSG). Изменения к действующему тексту Правил № 67 ООН выделены жирным шрифтом.</w:t>
      </w:r>
    </w:p>
    <w:p w:rsidR="007D56B9" w:rsidRPr="00DF418A" w:rsidRDefault="007D56B9" w:rsidP="007D56B9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Pr="00DF418A">
        <w:rPr>
          <w:b/>
          <w:sz w:val="28"/>
        </w:rPr>
        <w:lastRenderedPageBreak/>
        <w:t>I.</w:t>
      </w:r>
      <w:r w:rsidRPr="00DF418A">
        <w:rPr>
          <w:b/>
          <w:sz w:val="28"/>
        </w:rPr>
        <w:tab/>
      </w:r>
      <w:r w:rsidRPr="00A95DED">
        <w:rPr>
          <w:b/>
          <w:bCs/>
          <w:sz w:val="28"/>
          <w:szCs w:val="28"/>
        </w:rPr>
        <w:t>Предложение</w:t>
      </w:r>
      <w:r w:rsidRPr="00DF418A">
        <w:rPr>
          <w:b/>
          <w:sz w:val="28"/>
        </w:rPr>
        <w:t xml:space="preserve"> </w:t>
      </w:r>
    </w:p>
    <w:p w:rsidR="007D56B9" w:rsidRPr="00A95DED" w:rsidRDefault="007D56B9" w:rsidP="007D56B9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r>
        <w:rPr>
          <w:i/>
        </w:rPr>
        <w:t>Пункт</w:t>
      </w:r>
      <w:r w:rsidRPr="00A95DED">
        <w:rPr>
          <w:i/>
        </w:rPr>
        <w:t xml:space="preserve"> 2.4,</w:t>
      </w:r>
      <w:r w:rsidRPr="00A95DED">
        <w:t xml:space="preserve"> </w:t>
      </w:r>
      <w:r>
        <w:t>текст не изменяется</w:t>
      </w:r>
      <w:r w:rsidRPr="00A95DED">
        <w:t>:</w:t>
      </w:r>
    </w:p>
    <w:p w:rsidR="007D56B9" w:rsidRPr="000A4377" w:rsidRDefault="007D56B9" w:rsidP="007D56B9">
      <w:pPr>
        <w:pStyle w:val="SingleTxtGR"/>
        <w:tabs>
          <w:tab w:val="clear" w:pos="1701"/>
        </w:tabs>
        <w:ind w:left="2268" w:hanging="1134"/>
      </w:pPr>
      <w:r w:rsidRPr="000A4377">
        <w:t>«2.4</w:t>
      </w:r>
      <w:r w:rsidRPr="000A4377">
        <w:tab/>
        <w:t>"</w:t>
      </w:r>
      <w:r w:rsidRPr="008A1D95">
        <w:rPr>
          <w:i/>
        </w:rPr>
        <w:t>Тип</w:t>
      </w:r>
      <w:r w:rsidRPr="000A4377">
        <w:t xml:space="preserve"> </w:t>
      </w:r>
      <w:r w:rsidRPr="008A1D95">
        <w:rPr>
          <w:i/>
        </w:rPr>
        <w:t>баллона</w:t>
      </w:r>
      <w:r w:rsidRPr="000A4377">
        <w:t>" означает баллоны, не имеющие между собой различий в отношении следующих характеристик, определенных в приложении 10:</w:t>
      </w:r>
    </w:p>
    <w:p w:rsidR="007D56B9" w:rsidRPr="00A95DED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>
        <w:tab/>
        <w:t>a</w:t>
      </w:r>
      <w:r w:rsidRPr="00A95DED">
        <w:t>)</w:t>
      </w:r>
      <w:r w:rsidRPr="00A95DED">
        <w:tab/>
        <w:t>торговое(</w:t>
      </w:r>
      <w:proofErr w:type="spellStart"/>
      <w:r w:rsidRPr="00A95DED">
        <w:t>ые</w:t>
      </w:r>
      <w:proofErr w:type="spellEnd"/>
      <w:r w:rsidRPr="00A95DED">
        <w:t>) наименование(я) или товарный(е) знак(и);</w:t>
      </w:r>
    </w:p>
    <w:p w:rsidR="007D56B9" w:rsidRPr="00A95DED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A95DED">
        <w:tab/>
      </w:r>
      <w:r>
        <w:t>b</w:t>
      </w:r>
      <w:r w:rsidRPr="00A95DED">
        <w:t>)</w:t>
      </w:r>
      <w:r w:rsidRPr="00A95DED">
        <w:tab/>
        <w:t>форма (цилиндрическая, специальная форма);</w:t>
      </w:r>
    </w:p>
    <w:p w:rsidR="007D56B9" w:rsidRPr="00A95DED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829" w:right="1134" w:hanging="1695"/>
        <w:jc w:val="both"/>
      </w:pPr>
      <w:r w:rsidRPr="00A95DED">
        <w:tab/>
      </w:r>
      <w:r>
        <w:t>c</w:t>
      </w:r>
      <w:r w:rsidRPr="00A95DED">
        <w:t>)</w:t>
      </w:r>
      <w:r w:rsidRPr="00A95DED">
        <w:tab/>
        <w:t>отверстия (табличка для вспомогательного оборудования/</w:t>
      </w:r>
      <w:r w:rsidR="002534BE">
        <w:br/>
      </w:r>
      <w:r w:rsidRPr="00A95DED">
        <w:t>металлическое кольцо);</w:t>
      </w:r>
    </w:p>
    <w:p w:rsidR="007D56B9" w:rsidRPr="00A95DED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A95DED">
        <w:tab/>
      </w:r>
      <w:r>
        <w:t>d</w:t>
      </w:r>
      <w:r w:rsidRPr="00A95DED">
        <w:t>)</w:t>
      </w:r>
      <w:r w:rsidRPr="00A95DED">
        <w:tab/>
        <w:t>материал;</w:t>
      </w:r>
    </w:p>
    <w:p w:rsidR="007D56B9" w:rsidRPr="00A95DED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A95DED">
        <w:tab/>
      </w:r>
      <w:r>
        <w:t>e</w:t>
      </w:r>
      <w:r w:rsidRPr="00A95DED">
        <w:t>)</w:t>
      </w:r>
      <w:r w:rsidRPr="00A95DED">
        <w:tab/>
        <w:t>технология сварки (в случае металлических баллонов);</w:t>
      </w:r>
    </w:p>
    <w:p w:rsidR="007D56B9" w:rsidRPr="00805938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A95DED">
        <w:tab/>
      </w:r>
      <w:r>
        <w:t>f</w:t>
      </w:r>
      <w:r w:rsidRPr="00805938">
        <w:t>)</w:t>
      </w:r>
      <w:r w:rsidRPr="00805938">
        <w:tab/>
        <w:t>термическая обработка (в случае металлических баллонов);</w:t>
      </w:r>
    </w:p>
    <w:p w:rsidR="007D56B9" w:rsidRPr="00805938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805938">
        <w:tab/>
      </w:r>
      <w:r>
        <w:t>g</w:t>
      </w:r>
      <w:r w:rsidRPr="00805938">
        <w:t>)</w:t>
      </w:r>
      <w:r w:rsidRPr="00805938">
        <w:tab/>
        <w:t>технологическая линия;</w:t>
      </w:r>
    </w:p>
    <w:p w:rsidR="007D56B9" w:rsidRPr="00805938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805938">
        <w:tab/>
      </w:r>
      <w:r>
        <w:t>h</w:t>
      </w:r>
      <w:r w:rsidRPr="00805938">
        <w:t>)</w:t>
      </w:r>
      <w:r w:rsidRPr="00805938">
        <w:tab/>
        <w:t>номинальная толщина стенок;</w:t>
      </w:r>
    </w:p>
    <w:p w:rsidR="007D56B9" w:rsidRPr="00805938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805938">
        <w:tab/>
      </w:r>
      <w:r>
        <w:t>i</w:t>
      </w:r>
      <w:r w:rsidRPr="00805938">
        <w:t>)</w:t>
      </w:r>
      <w:r w:rsidRPr="00805938">
        <w:tab/>
        <w:t>диаметр;</w:t>
      </w:r>
    </w:p>
    <w:p w:rsidR="007D56B9" w:rsidRPr="00805938" w:rsidRDefault="007D56B9" w:rsidP="007D56B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805938">
        <w:tab/>
      </w:r>
      <w:r>
        <w:t>j</w:t>
      </w:r>
      <w:r w:rsidRPr="00805938">
        <w:t>)</w:t>
      </w:r>
      <w:r w:rsidRPr="00805938">
        <w:tab/>
        <w:t>высота (в случае специальных баллонов)».</w:t>
      </w:r>
    </w:p>
    <w:p w:rsidR="007D56B9" w:rsidRPr="000A4377" w:rsidRDefault="007D56B9" w:rsidP="007D56B9">
      <w:pPr>
        <w:pStyle w:val="SingleTxtGR"/>
      </w:pPr>
      <w:bookmarkStart w:id="1" w:name="_Toc387935177"/>
      <w:bookmarkStart w:id="2" w:name="_Toc397517967"/>
      <w:r w:rsidRPr="000A4377">
        <w:rPr>
          <w:i/>
          <w:iCs/>
        </w:rPr>
        <w:t>Приложение 2B</w:t>
      </w:r>
      <w:r w:rsidRPr="000A4377">
        <w:t xml:space="preserve"> изменить следующим образом:</w:t>
      </w:r>
    </w:p>
    <w:p w:rsidR="007D56B9" w:rsidRPr="00805938" w:rsidRDefault="00E82457" w:rsidP="007D56B9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rPr>
          <w:b/>
          <w:bCs/>
          <w:sz w:val="28"/>
        </w:rPr>
      </w:pPr>
      <w:r w:rsidRPr="00E82457">
        <w:rPr>
          <w:sz w:val="28"/>
        </w:rPr>
        <w:t>«</w:t>
      </w:r>
      <w:r w:rsidR="007D56B9">
        <w:rPr>
          <w:b/>
          <w:sz w:val="28"/>
        </w:rPr>
        <w:t>Приложение</w:t>
      </w:r>
      <w:r w:rsidR="007D56B9" w:rsidRPr="00805938">
        <w:rPr>
          <w:b/>
          <w:sz w:val="28"/>
        </w:rPr>
        <w:t xml:space="preserve"> 2</w:t>
      </w:r>
      <w:r w:rsidR="007D56B9" w:rsidRPr="0028276F">
        <w:rPr>
          <w:b/>
          <w:sz w:val="28"/>
        </w:rPr>
        <w:t>B</w:t>
      </w:r>
      <w:bookmarkEnd w:id="1"/>
      <w:bookmarkEnd w:id="2"/>
    </w:p>
    <w:p w:rsidR="007D56B9" w:rsidRPr="00805938" w:rsidRDefault="007D56B9" w:rsidP="007D56B9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rPr>
          <w:b/>
          <w:sz w:val="28"/>
        </w:rPr>
      </w:pPr>
      <w:r w:rsidRPr="00805938">
        <w:rPr>
          <w:b/>
          <w:sz w:val="28"/>
        </w:rPr>
        <w:tab/>
      </w:r>
      <w:r w:rsidRPr="00805938">
        <w:rPr>
          <w:b/>
          <w:sz w:val="28"/>
        </w:rPr>
        <w:tab/>
      </w:r>
      <w:bookmarkStart w:id="3" w:name="_Toc387935178"/>
      <w:bookmarkStart w:id="4" w:name="_Toc397517968"/>
      <w:proofErr w:type="spellStart"/>
      <w:r w:rsidRPr="0028276F">
        <w:rPr>
          <w:b/>
          <w:sz w:val="28"/>
        </w:rPr>
        <w:t>Co</w:t>
      </w:r>
      <w:r>
        <w:rPr>
          <w:b/>
          <w:sz w:val="28"/>
        </w:rPr>
        <w:t>общение</w:t>
      </w:r>
      <w:bookmarkEnd w:id="3"/>
      <w:bookmarkEnd w:id="4"/>
      <w:proofErr w:type="spellEnd"/>
    </w:p>
    <w:p w:rsidR="007D56B9" w:rsidRPr="00805938" w:rsidRDefault="007D56B9" w:rsidP="007D56B9">
      <w:pPr>
        <w:tabs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268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suppressAutoHyphens w:val="0"/>
        <w:spacing w:after="160" w:line="259" w:lineRule="auto"/>
        <w:rPr>
          <w:rFonts w:ascii="Calibri" w:eastAsia="Calibri" w:hAnsi="Calibri"/>
          <w:sz w:val="22"/>
        </w:rPr>
      </w:pPr>
      <w:r>
        <w:tab/>
      </w:r>
      <w:r>
        <w:tab/>
      </w:r>
      <w:r w:rsidRPr="00805938">
        <w:t xml:space="preserve">(максимальный формат: </w:t>
      </w:r>
      <w:r w:rsidRPr="000A4377">
        <w:t>A</w:t>
      </w:r>
      <w:r w:rsidRPr="00805938">
        <w:t xml:space="preserve">4 (210 </w:t>
      </w:r>
      <w:r w:rsidRPr="000A4377">
        <w:t>x</w:t>
      </w:r>
      <w:r w:rsidRPr="00805938">
        <w:t xml:space="preserve"> 297 мм))</w:t>
      </w:r>
    </w:p>
    <w:p w:rsidR="007D56B9" w:rsidRPr="0028276F" w:rsidRDefault="007D56B9" w:rsidP="007D56B9">
      <w:pPr>
        <w:tabs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68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suppressAutoHyphens w:val="0"/>
        <w:spacing w:after="160" w:line="259" w:lineRule="auto"/>
        <w:ind w:firstLine="1134"/>
        <w:rPr>
          <w:rFonts w:ascii="Calibri" w:eastAsia="Calibri" w:hAnsi="Calibri"/>
          <w:sz w:val="22"/>
        </w:rPr>
      </w:pPr>
      <w:r w:rsidRPr="0028276F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8B0E" wp14:editId="115D52D5">
                <wp:simplePos x="0" y="0"/>
                <wp:positionH relativeFrom="column">
                  <wp:posOffset>2289810</wp:posOffset>
                </wp:positionH>
                <wp:positionV relativeFrom="paragraph">
                  <wp:posOffset>1905</wp:posOffset>
                </wp:positionV>
                <wp:extent cx="3710940" cy="1120140"/>
                <wp:effectExtent l="0" t="0" r="3810" b="381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B9" w:rsidRPr="006833F8" w:rsidRDefault="007D56B9" w:rsidP="007D56B9">
                            <w:pPr>
                              <w:tabs>
                                <w:tab w:val="left" w:pos="-720"/>
                                <w:tab w:val="left" w:pos="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119" w:hanging="1985"/>
                            </w:pPr>
                            <w:r>
                              <w:t>направлено:</w:t>
                            </w:r>
                            <w:r>
                              <w:tab/>
                              <w:t>название административного органа:</w:t>
                            </w:r>
                          </w:p>
                          <w:p w:rsidR="007D56B9" w:rsidRPr="006037D7" w:rsidRDefault="007D56B9" w:rsidP="006037D7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136" w:hanging="2427"/>
                            </w:pPr>
                            <w:r w:rsidRPr="008B5595">
                              <w:tab/>
                            </w:r>
                            <w:r w:rsidRPr="006833F8">
                              <w:rPr>
                                <w:lang w:val="fr-FR"/>
                              </w:rPr>
                              <w:t>..................</w:t>
                            </w:r>
                            <w:r>
                              <w:rPr>
                                <w:lang w:val="fr-FR"/>
                              </w:rPr>
                              <w:t>...</w:t>
                            </w:r>
                            <w:r w:rsidRPr="006833F8">
                              <w:rPr>
                                <w:lang w:val="fr-FR"/>
                              </w:rPr>
                              <w:t>....................</w:t>
                            </w:r>
                            <w:r>
                              <w:t>...........................................</w:t>
                            </w:r>
                            <w:r w:rsidRPr="006833F8">
                              <w:rPr>
                                <w:lang w:val="fr-FR"/>
                              </w:rPr>
                              <w:t>..........</w:t>
                            </w:r>
                            <w:r>
                              <w:rPr>
                                <w:lang w:val="fr-FR"/>
                              </w:rPr>
                              <w:t>...</w:t>
                            </w:r>
                            <w:r w:rsidRPr="006833F8">
                              <w:rPr>
                                <w:lang w:val="fr-FR"/>
                              </w:rPr>
                              <w:t>..............</w:t>
                            </w:r>
                            <w:r w:rsidR="006037D7">
                              <w:t>.................................</w:t>
                            </w:r>
                          </w:p>
                          <w:p w:rsidR="007D56B9" w:rsidRPr="006833F8" w:rsidRDefault="007D56B9" w:rsidP="007D56B9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686" w:hanging="297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28B0E" id="_x0000_t202" coordsize="21600,21600" o:spt="202" path="m,l,21600r21600,l21600,xe">
                <v:stroke joinstyle="miter"/>
                <v:path gradientshapeok="t" o:connecttype="rect"/>
              </v:shapetype>
              <v:shape id="Pole tekstowe 88" o:spid="_x0000_s1026" type="#_x0000_t202" style="position:absolute;left:0;text-align:left;margin-left:180.3pt;margin-top:.15pt;width:292.2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" stroked="f">
                <v:textbox>
                  <w:txbxContent>
                    <w:p w:rsidR="007D56B9" w:rsidRPr="006833F8" w:rsidRDefault="007D56B9" w:rsidP="007D56B9">
                      <w:pPr>
                        <w:tabs>
                          <w:tab w:val="left" w:pos="-720"/>
                          <w:tab w:val="left" w:pos="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119" w:hanging="1985"/>
                      </w:pPr>
                      <w:r>
                        <w:t>направлено:</w:t>
                      </w:r>
                      <w:r>
                        <w:tab/>
                        <w:t>название административного органа:</w:t>
                      </w:r>
                    </w:p>
                    <w:p w:rsidR="007D56B9" w:rsidRPr="006037D7" w:rsidRDefault="007D56B9" w:rsidP="006037D7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136" w:hanging="2427"/>
                      </w:pPr>
                      <w:r w:rsidRPr="008B5595">
                        <w:tab/>
                      </w:r>
                      <w:r w:rsidRPr="006833F8">
                        <w:rPr>
                          <w:lang w:val="fr-FR"/>
                        </w:rPr>
                        <w:t>..................</w:t>
                      </w:r>
                      <w:r>
                        <w:rPr>
                          <w:lang w:val="fr-FR"/>
                        </w:rPr>
                        <w:t>...</w:t>
                      </w:r>
                      <w:r w:rsidRPr="006833F8">
                        <w:rPr>
                          <w:lang w:val="fr-FR"/>
                        </w:rPr>
                        <w:t>....................</w:t>
                      </w:r>
                      <w:r>
                        <w:t>...........................................</w:t>
                      </w:r>
                      <w:r w:rsidRPr="006833F8">
                        <w:rPr>
                          <w:lang w:val="fr-FR"/>
                        </w:rPr>
                        <w:t>..........</w:t>
                      </w:r>
                      <w:r>
                        <w:rPr>
                          <w:lang w:val="fr-FR"/>
                        </w:rPr>
                        <w:t>...</w:t>
                      </w:r>
                      <w:r w:rsidRPr="006833F8">
                        <w:rPr>
                          <w:lang w:val="fr-FR"/>
                        </w:rPr>
                        <w:t>..............</w:t>
                      </w:r>
                      <w:r w:rsidR="006037D7">
                        <w:t>.................................</w:t>
                      </w:r>
                    </w:p>
                    <w:p w:rsidR="007D56B9" w:rsidRPr="006833F8" w:rsidRDefault="007D56B9" w:rsidP="007D56B9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686" w:hanging="2977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8276F">
        <w:rPr>
          <w:rFonts w:ascii="Calibri" w:eastAsia="Calibri" w:hAnsi="Calibri"/>
          <w:noProof/>
          <w:sz w:val="22"/>
          <w:lang w:eastAsia="ru-RU"/>
        </w:rPr>
        <w:drawing>
          <wp:inline distT="0" distB="0" distL="0" distR="0" wp14:anchorId="443F7871" wp14:editId="51FC5054">
            <wp:extent cx="908050" cy="90805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B9" w:rsidRPr="00987186" w:rsidRDefault="00987186" w:rsidP="007D56B9">
      <w:pPr>
        <w:suppressAutoHyphens w:val="0"/>
        <w:spacing w:after="120" w:line="240" w:lineRule="auto"/>
        <w:ind w:left="1134" w:right="1134"/>
        <w:jc w:val="both"/>
        <w:rPr>
          <w:color w:val="FFFFFF" w:themeColor="background1"/>
        </w:rPr>
      </w:pPr>
      <w:r w:rsidRPr="00987186">
        <w:rPr>
          <w:rStyle w:val="FootnoteReference"/>
          <w:color w:val="FFFFFF" w:themeColor="background1"/>
        </w:rPr>
        <w:footnoteReference w:id="2"/>
      </w:r>
      <w:r w:rsidRPr="00987186">
        <w:rPr>
          <w:rStyle w:val="FootnoteReference"/>
          <w:color w:val="FFFFFF" w:themeColor="background1"/>
        </w:rPr>
        <w:sym w:font="Symbol" w:char="F02A"/>
      </w:r>
    </w:p>
    <w:p w:rsidR="007D56B9" w:rsidRPr="000A4377" w:rsidRDefault="007D56B9" w:rsidP="007D56B9">
      <w:pPr>
        <w:pStyle w:val="SingleTxtGR"/>
        <w:spacing w:after="0"/>
      </w:pPr>
      <w:r w:rsidRPr="000A4377">
        <w:t>касающееся</w:t>
      </w:r>
      <w:r w:rsidRPr="0028276F">
        <w:rPr>
          <w:rFonts w:eastAsia="Calibri"/>
          <w:sz w:val="18"/>
          <w:vertAlign w:val="superscript"/>
        </w:rPr>
        <w:footnoteReference w:id="3"/>
      </w:r>
      <w:r w:rsidR="00E82457" w:rsidRPr="0028276F">
        <w:rPr>
          <w:rFonts w:eastAsia="Calibri"/>
        </w:rPr>
        <w:t>:</w:t>
      </w:r>
      <w:r w:rsidRPr="0028276F">
        <w:rPr>
          <w:rFonts w:eastAsia="Calibri"/>
        </w:rPr>
        <w:tab/>
      </w:r>
      <w:r w:rsidRPr="000A4377">
        <w:t>предоставления официального утверждения</w:t>
      </w:r>
    </w:p>
    <w:p w:rsidR="007D56B9" w:rsidRPr="000A4377" w:rsidRDefault="007D56B9" w:rsidP="007D56B9">
      <w:pPr>
        <w:pStyle w:val="SingleTxtGR"/>
        <w:tabs>
          <w:tab w:val="clear" w:pos="1701"/>
          <w:tab w:val="clear" w:pos="2268"/>
        </w:tabs>
        <w:spacing w:after="0"/>
      </w:pPr>
      <w:r w:rsidRPr="000A4377">
        <w:tab/>
        <w:t>распространения официального утверждения</w:t>
      </w:r>
    </w:p>
    <w:p w:rsidR="007D56B9" w:rsidRPr="000A4377" w:rsidRDefault="007D56B9" w:rsidP="007D56B9">
      <w:pPr>
        <w:pStyle w:val="SingleTxtGR"/>
        <w:tabs>
          <w:tab w:val="clear" w:pos="1701"/>
          <w:tab w:val="clear" w:pos="2268"/>
        </w:tabs>
        <w:spacing w:after="0"/>
      </w:pPr>
      <w:r w:rsidRPr="000A4377">
        <w:tab/>
        <w:t>отказа в официальном утверждении</w:t>
      </w:r>
    </w:p>
    <w:p w:rsidR="007D56B9" w:rsidRPr="000A4377" w:rsidRDefault="007D56B9" w:rsidP="007D56B9">
      <w:pPr>
        <w:pStyle w:val="SingleTxtGR"/>
        <w:tabs>
          <w:tab w:val="clear" w:pos="1701"/>
          <w:tab w:val="clear" w:pos="2268"/>
        </w:tabs>
        <w:spacing w:after="0"/>
      </w:pPr>
      <w:r w:rsidRPr="000A4377">
        <w:tab/>
        <w:t>отмены официального утверждения</w:t>
      </w:r>
    </w:p>
    <w:p w:rsidR="007D56B9" w:rsidRPr="007D56B9" w:rsidRDefault="007D56B9" w:rsidP="007D56B9">
      <w:pPr>
        <w:pStyle w:val="SingleTxtGR"/>
        <w:tabs>
          <w:tab w:val="clear" w:pos="1701"/>
          <w:tab w:val="clear" w:pos="2268"/>
        </w:tabs>
      </w:pPr>
      <w:r w:rsidRPr="000A4377">
        <w:tab/>
        <w:t>окончательного</w:t>
      </w:r>
      <w:r w:rsidRPr="007D56B9">
        <w:t xml:space="preserve"> </w:t>
      </w:r>
      <w:r w:rsidRPr="000A4377">
        <w:t>прекращения</w:t>
      </w:r>
      <w:r w:rsidRPr="007D56B9">
        <w:t xml:space="preserve"> </w:t>
      </w:r>
      <w:r w:rsidRPr="000A4377">
        <w:t>производства</w:t>
      </w:r>
    </w:p>
    <w:p w:rsidR="007D56B9" w:rsidRPr="000A4377" w:rsidRDefault="007D56B9" w:rsidP="007D56B9">
      <w:pPr>
        <w:pStyle w:val="SingleTxtGR"/>
      </w:pPr>
      <w:r w:rsidRPr="000A4377">
        <w:t>типа оборудования СНГ на основании Правил № 67</w:t>
      </w:r>
    </w:p>
    <w:p w:rsidR="007D56B9" w:rsidRPr="00805938" w:rsidRDefault="007D56B9" w:rsidP="007D56B9">
      <w:pPr>
        <w:suppressAutoHyphens w:val="0"/>
        <w:spacing w:after="120" w:line="240" w:lineRule="auto"/>
        <w:ind w:left="1134" w:right="1134"/>
        <w:jc w:val="both"/>
      </w:pPr>
      <w:r w:rsidRPr="00805938">
        <w:t xml:space="preserve">Официальное утверждение </w:t>
      </w:r>
      <w:r>
        <w:t>№</w:t>
      </w:r>
      <w:r w:rsidRPr="00805938">
        <w:t xml:space="preserve">: ................................... 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t>1.</w:t>
      </w:r>
      <w:r w:rsidRPr="00805938">
        <w:tab/>
        <w:t>Рассматриваемое оборудование СНГ</w:t>
      </w:r>
      <w:r w:rsidRPr="00805938">
        <w:rPr>
          <w:vertAlign w:val="superscript"/>
        </w:rPr>
        <w:t>2</w:t>
      </w:r>
      <w:r w:rsidR="00E82457" w:rsidRPr="00805938">
        <w:t>: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701" w:right="1134" w:hanging="567"/>
        <w:jc w:val="both"/>
      </w:pPr>
      <w:r w:rsidRPr="00805938">
        <w:tab/>
        <w:t>баллон, включая конфигурацию вспомогательного оборудования баллона, предусмотренного в добавлении 1 к настоящему приложению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tab/>
        <w:t>80-процентный стопорный клапан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lastRenderedPageBreak/>
        <w:tab/>
        <w:t>указатель уровня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tab/>
        <w:t>предохранительный клапан (разгрузочный клапан)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tab/>
        <w:t>ограничитель давления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tab/>
        <w:t>дистанционно регулируемый рабочий клапан с ограничительным клапаном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700" w:right="1134"/>
        <w:jc w:val="both"/>
      </w:pPr>
      <w:r w:rsidRPr="00805938">
        <w:t>клапанн</w:t>
      </w:r>
      <w:r>
        <w:t>ая</w:t>
      </w:r>
      <w:r w:rsidRPr="00805938">
        <w:t xml:space="preserve"> групп</w:t>
      </w:r>
      <w:r>
        <w:t>а, включающая</w:t>
      </w:r>
      <w:r w:rsidRPr="00805938">
        <w:t xml:space="preserve"> следующее вспомогательное </w:t>
      </w:r>
      <w:r w:rsidRPr="00805938">
        <w:br/>
        <w:t>оборудование:</w:t>
      </w:r>
      <w:r w:rsidRPr="00805938">
        <w:tab/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tab/>
        <w:t xml:space="preserve">газонепроницаемый кожух </w:t>
      </w:r>
    </w:p>
    <w:p w:rsidR="007D56B9" w:rsidRPr="00805938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tab/>
        <w:t>заизолированный переходник системы питания (насос/пускатели)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805938">
        <w:tab/>
      </w:r>
      <w:r w:rsidRPr="00A317C2">
        <w:t>топливный насос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испаритель/регулятор давления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запорный клапан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обратный клапан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предохранительный клапан газопровода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соединительный патрубок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 xml:space="preserve">гибкий шланг 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вынесенный заправочный блок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</w:r>
      <w:proofErr w:type="spellStart"/>
      <w:r w:rsidRPr="00A317C2">
        <w:t>газонагнетатель</w:t>
      </w:r>
      <w:proofErr w:type="spellEnd"/>
      <w:r w:rsidRPr="00A317C2">
        <w:t xml:space="preserve"> или инжектор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топливопровод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газовый дозатор</w:t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</w:r>
      <w:proofErr w:type="spellStart"/>
      <w:r w:rsidRPr="00A317C2">
        <w:t>газосмеситель</w:t>
      </w:r>
      <w:proofErr w:type="spellEnd"/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ab/>
        <w:t>электронный блок управления</w:t>
      </w:r>
    </w:p>
    <w:p w:rsidR="007D56B9" w:rsidRPr="000A4377" w:rsidRDefault="007D56B9" w:rsidP="007D56B9">
      <w:pPr>
        <w:pStyle w:val="SingleTxtGR"/>
      </w:pPr>
      <w:r w:rsidRPr="00A317C2">
        <w:tab/>
      </w:r>
      <w:r w:rsidRPr="000A4377">
        <w:t>датчик давления/температуры</w:t>
      </w:r>
    </w:p>
    <w:p w:rsidR="007D56B9" w:rsidRPr="000A4377" w:rsidRDefault="007D56B9" w:rsidP="007D56B9">
      <w:pPr>
        <w:pStyle w:val="SingleTxtGR"/>
      </w:pPr>
      <w:r w:rsidRPr="000A4377">
        <w:tab/>
        <w:t>фильтр СНГ</w:t>
      </w:r>
    </w:p>
    <w:p w:rsidR="007D56B9" w:rsidRPr="000A4377" w:rsidRDefault="007D56B9" w:rsidP="007D56B9">
      <w:pPr>
        <w:pStyle w:val="SingleTxtGR"/>
      </w:pPr>
      <w:r w:rsidRPr="000A4377">
        <w:tab/>
        <w:t>комбинаци</w:t>
      </w:r>
      <w:r>
        <w:t>я</w:t>
      </w:r>
      <w:r w:rsidRPr="000A4377">
        <w:t xml:space="preserve"> элементов </w:t>
      </w:r>
    </w:p>
    <w:p w:rsidR="007D56B9" w:rsidRPr="0028276F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b/>
        </w:rPr>
      </w:pPr>
      <w:r w:rsidRPr="0028276F">
        <w:rPr>
          <w:b/>
        </w:rPr>
        <w:t>1.1</w:t>
      </w:r>
      <w:r w:rsidRPr="0028276F">
        <w:rPr>
          <w:b/>
        </w:rPr>
        <w:tab/>
      </w:r>
      <w:proofErr w:type="spellStart"/>
      <w:r w:rsidRPr="0028276F">
        <w:rPr>
          <w:b/>
        </w:rPr>
        <w:t>T</w:t>
      </w:r>
      <w:r>
        <w:rPr>
          <w:b/>
        </w:rPr>
        <w:t>ип</w:t>
      </w:r>
      <w:proofErr w:type="spellEnd"/>
      <w:r>
        <w:rPr>
          <w:b/>
        </w:rPr>
        <w:t xml:space="preserve">: </w:t>
      </w:r>
      <w:r w:rsidRPr="0028276F">
        <w:rPr>
          <w:b/>
        </w:rPr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b/>
        </w:rPr>
      </w:pPr>
      <w:r w:rsidRPr="00A317C2">
        <w:rPr>
          <w:b/>
        </w:rPr>
        <w:t>1.2</w:t>
      </w:r>
      <w:r w:rsidRPr="00A317C2">
        <w:rPr>
          <w:b/>
        </w:rPr>
        <w:tab/>
      </w:r>
      <w:r w:rsidRPr="00A317C2">
        <w:rPr>
          <w:b/>
          <w:bCs/>
        </w:rPr>
        <w:t>Класс/РД (РД только для элементов оборудования класса 0):</w:t>
      </w:r>
      <w:r w:rsidRPr="00A317C2">
        <w:rPr>
          <w:b/>
        </w:rPr>
        <w:t xml:space="preserve"> </w:t>
      </w:r>
      <w:r w:rsidRPr="00A317C2">
        <w:rPr>
          <w:b/>
        </w:rPr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>2.</w:t>
      </w:r>
      <w:r w:rsidRPr="00A317C2">
        <w:tab/>
      </w:r>
      <w:r>
        <w:t>Т</w:t>
      </w:r>
      <w:r w:rsidRPr="00A95DED">
        <w:t>орговое(</w:t>
      </w:r>
      <w:proofErr w:type="spellStart"/>
      <w:r w:rsidRPr="00A95DED">
        <w:t>ые</w:t>
      </w:r>
      <w:proofErr w:type="spellEnd"/>
      <w:r w:rsidRPr="00A95DED">
        <w:t>) наименование(я) или товарный(е) знак(и)</w:t>
      </w:r>
      <w:r w:rsidRPr="00A317C2">
        <w:t xml:space="preserve">: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>3.</w:t>
      </w:r>
      <w:r w:rsidRPr="00A317C2">
        <w:tab/>
        <w:t>Наименование и адрес изготовителя: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689" w:right="1134" w:hanging="555"/>
        <w:jc w:val="both"/>
      </w:pPr>
      <w:r w:rsidRPr="00A317C2">
        <w:t>4.</w:t>
      </w:r>
      <w:r w:rsidRPr="00A317C2">
        <w:tab/>
        <w:t xml:space="preserve">В соответствующих случаях наименование и адрес представителя </w:t>
      </w:r>
      <w:r w:rsidR="007F4F25">
        <w:br/>
      </w:r>
      <w:r w:rsidRPr="00A317C2">
        <w:t>изготовителя: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>5.</w:t>
      </w:r>
      <w:r w:rsidRPr="00A317C2">
        <w:tab/>
        <w:t xml:space="preserve">Дата представления на официальное утверждение: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689" w:right="1134" w:hanging="555"/>
        <w:jc w:val="both"/>
      </w:pPr>
      <w:r w:rsidRPr="00A317C2">
        <w:t>6.</w:t>
      </w:r>
      <w:r w:rsidRPr="00A317C2">
        <w:tab/>
        <w:t xml:space="preserve">Техническая служба, уполномоченная проводить испытания </w:t>
      </w:r>
      <w:r>
        <w:t>на</w:t>
      </w:r>
      <w:r w:rsidRPr="00A317C2">
        <w:t xml:space="preserve"> официально</w:t>
      </w:r>
      <w:r>
        <w:t>е</w:t>
      </w:r>
      <w:r w:rsidRPr="00A317C2">
        <w:t xml:space="preserve"> утверждени</w:t>
      </w:r>
      <w:r>
        <w:t>е</w:t>
      </w:r>
      <w:r w:rsidRPr="00A317C2">
        <w:t>: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>7.</w:t>
      </w:r>
      <w:r w:rsidRPr="00A317C2">
        <w:tab/>
        <w:t xml:space="preserve">Дата составления протокола, выданного этой службой: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>8.</w:t>
      </w:r>
      <w:r w:rsidRPr="00A317C2">
        <w:tab/>
        <w:t xml:space="preserve">Номер протокола, выданного этой службой: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689" w:right="1134" w:hanging="555"/>
        <w:jc w:val="both"/>
      </w:pPr>
      <w:r w:rsidRPr="00A317C2">
        <w:t>9.</w:t>
      </w:r>
      <w:r w:rsidRPr="00A317C2">
        <w:tab/>
        <w:t>Официальное утверждение предоставлено/в официальном утверждении отказано/официальное утверждение распространено/официальное утверждение отменено</w:t>
      </w:r>
      <w:r w:rsidRPr="00A317C2">
        <w:rPr>
          <w:vertAlign w:val="superscript"/>
        </w:rPr>
        <w:t>2</w:t>
      </w:r>
      <w:r w:rsidR="007F4F25" w:rsidRPr="00A317C2">
        <w:t>:</w:t>
      </w:r>
      <w:r w:rsidRPr="00A317C2">
        <w:t xml:space="preserve">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689" w:right="1134" w:hanging="555"/>
        <w:jc w:val="both"/>
      </w:pPr>
      <w:r w:rsidRPr="00A317C2">
        <w:t>10.</w:t>
      </w:r>
      <w:r w:rsidRPr="00A317C2">
        <w:tab/>
        <w:t xml:space="preserve">Основание(я) для распространения официального утверждения </w:t>
      </w:r>
      <w:r w:rsidR="007F4F25">
        <w:br/>
      </w:r>
      <w:r w:rsidRPr="00A317C2">
        <w:t>(в</w:t>
      </w:r>
      <w:r w:rsidR="007F4F25" w:rsidRPr="007F4F25">
        <w:t xml:space="preserve"> </w:t>
      </w:r>
      <w:r w:rsidRPr="00A317C2">
        <w:t xml:space="preserve">соответствующих случаях):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>11.</w:t>
      </w:r>
      <w:r w:rsidRPr="00A317C2">
        <w:tab/>
        <w:t xml:space="preserve">Место: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t>12.</w:t>
      </w:r>
      <w:r w:rsidRPr="00A317C2">
        <w:tab/>
      </w:r>
      <w:r>
        <w:t>Дата</w:t>
      </w:r>
      <w:r w:rsidRPr="00A317C2">
        <w:t xml:space="preserve">: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A317C2">
        <w:lastRenderedPageBreak/>
        <w:t>13.</w:t>
      </w:r>
      <w:r w:rsidRPr="00A317C2">
        <w:tab/>
      </w:r>
      <w:r>
        <w:t>Подпись</w:t>
      </w:r>
      <w:r w:rsidRPr="00A317C2">
        <w:t xml:space="preserve">: </w:t>
      </w:r>
      <w:r w:rsidRPr="00A317C2">
        <w:tab/>
      </w:r>
    </w:p>
    <w:p w:rsidR="007D56B9" w:rsidRPr="00A317C2" w:rsidRDefault="007D56B9" w:rsidP="007D56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701" w:right="1134" w:hanging="567"/>
        <w:jc w:val="both"/>
      </w:pPr>
      <w:r w:rsidRPr="00A317C2">
        <w:t>14.</w:t>
      </w:r>
      <w:r w:rsidRPr="00A317C2">
        <w:tab/>
        <w:t xml:space="preserve">Документы, прилагаемые к заявке на официальное утверждение или на распространение официального утверждения, можно получить по </w:t>
      </w:r>
      <w:r>
        <w:t>запросу</w:t>
      </w:r>
      <w:r w:rsidRPr="00A317C2">
        <w:t>».</w:t>
      </w:r>
    </w:p>
    <w:p w:rsidR="007D56B9" w:rsidRPr="00EE22EE" w:rsidRDefault="007D56B9" w:rsidP="007D56B9">
      <w:pPr>
        <w:pStyle w:val="HChG"/>
        <w:rPr>
          <w:lang w:val="ru-RU"/>
        </w:rPr>
      </w:pPr>
      <w:r w:rsidRPr="00A317C2">
        <w:rPr>
          <w:lang w:val="ru-RU"/>
        </w:rPr>
        <w:tab/>
      </w:r>
      <w:r>
        <w:t>II</w:t>
      </w:r>
      <w:r w:rsidRPr="00EE22EE">
        <w:rPr>
          <w:lang w:val="ru-RU"/>
        </w:rPr>
        <w:t>.</w:t>
      </w:r>
      <w:r w:rsidRPr="00EE22EE">
        <w:rPr>
          <w:lang w:val="ru-RU"/>
        </w:rPr>
        <w:tab/>
      </w:r>
      <w:r>
        <w:rPr>
          <w:lang w:val="ru-RU"/>
        </w:rPr>
        <w:t>Обоснование</w:t>
      </w:r>
    </w:p>
    <w:p w:rsidR="007D56B9" w:rsidRPr="00EE22EE" w:rsidRDefault="007D56B9" w:rsidP="007D56B9">
      <w:pPr>
        <w:pStyle w:val="SingleTxtG"/>
        <w:tabs>
          <w:tab w:val="left" w:pos="1701"/>
        </w:tabs>
        <w:rPr>
          <w:lang w:val="ru-RU"/>
        </w:rPr>
      </w:pPr>
      <w:r w:rsidRPr="00EE22EE">
        <w:rPr>
          <w:lang w:val="ru-RU"/>
        </w:rPr>
        <w:t>1.</w:t>
      </w:r>
      <w:r w:rsidRPr="00EE22EE">
        <w:rPr>
          <w:lang w:val="ru-RU"/>
        </w:rPr>
        <w:tab/>
      </w:r>
      <w:r>
        <w:rPr>
          <w:lang w:val="ru-RU"/>
        </w:rPr>
        <w:t xml:space="preserve">Настоящее предложение предусматривает внесение поправок в Правила № 67 ООН, касающихся свидетельства об официальном утверждении типа оборудования СНГ, и усовершенствование текста документа </w:t>
      </w:r>
      <w:r w:rsidRPr="00CE50CC">
        <w:t>ECE</w:t>
      </w:r>
      <w:r w:rsidRPr="00EE22EE">
        <w:rPr>
          <w:lang w:val="ru-RU"/>
        </w:rPr>
        <w:t>/</w:t>
      </w:r>
      <w:r w:rsidRPr="00CE50CC">
        <w:t>TRANS</w:t>
      </w:r>
      <w:r w:rsidRPr="00EE22EE">
        <w:rPr>
          <w:lang w:val="ru-RU"/>
        </w:rPr>
        <w:t>/</w:t>
      </w:r>
      <w:r w:rsidRPr="00CE50CC">
        <w:t>WP</w:t>
      </w:r>
      <w:r w:rsidRPr="00EE22EE">
        <w:rPr>
          <w:lang w:val="ru-RU"/>
        </w:rPr>
        <w:t>.29/</w:t>
      </w:r>
      <w:r w:rsidRPr="00CE50CC">
        <w:t>GRSG</w:t>
      </w:r>
      <w:r w:rsidRPr="00EE22EE">
        <w:rPr>
          <w:lang w:val="ru-RU"/>
        </w:rPr>
        <w:t>/2018/8</w:t>
      </w:r>
      <w:r>
        <w:rPr>
          <w:lang w:val="ru-RU"/>
        </w:rPr>
        <w:t xml:space="preserve">, представленного экспертом от Польши в ходе </w:t>
      </w:r>
      <w:r w:rsidRPr="00EE22EE">
        <w:rPr>
          <w:lang w:val="ru-RU"/>
        </w:rPr>
        <w:t>114</w:t>
      </w:r>
      <w:r>
        <w:rPr>
          <w:lang w:val="ru-RU"/>
        </w:rPr>
        <w:t xml:space="preserve">-ой сессии </w:t>
      </w:r>
      <w:r>
        <w:t>GRSG</w:t>
      </w:r>
      <w:r w:rsidRPr="00EE22EE">
        <w:rPr>
          <w:lang w:val="ru-RU"/>
        </w:rPr>
        <w:t>.</w:t>
      </w:r>
    </w:p>
    <w:p w:rsidR="007D56B9" w:rsidRPr="001F4A92" w:rsidRDefault="007D56B9" w:rsidP="007D56B9">
      <w:pPr>
        <w:pStyle w:val="SingleTxtG"/>
        <w:tabs>
          <w:tab w:val="left" w:pos="1701"/>
        </w:tabs>
        <w:rPr>
          <w:lang w:val="ru-RU"/>
        </w:rPr>
      </w:pPr>
      <w:r w:rsidRPr="00EE22EE">
        <w:rPr>
          <w:lang w:val="ru-RU"/>
        </w:rPr>
        <w:t>2.</w:t>
      </w:r>
      <w:r w:rsidRPr="00EE22EE">
        <w:rPr>
          <w:lang w:val="ru-RU"/>
        </w:rPr>
        <w:tab/>
      </w:r>
      <w:r>
        <w:rPr>
          <w:lang w:val="ru-RU"/>
        </w:rPr>
        <w:t>Предложение</w:t>
      </w:r>
      <w:r w:rsidRPr="00EE22EE">
        <w:rPr>
          <w:lang w:val="ru-RU"/>
        </w:rPr>
        <w:t xml:space="preserve"> </w:t>
      </w:r>
      <w:r>
        <w:rPr>
          <w:lang w:val="ru-RU"/>
        </w:rPr>
        <w:t>об</w:t>
      </w:r>
      <w:r w:rsidRPr="00EE22EE">
        <w:rPr>
          <w:lang w:val="ru-RU"/>
        </w:rPr>
        <w:t xml:space="preserve"> </w:t>
      </w:r>
      <w:r>
        <w:rPr>
          <w:lang w:val="ru-RU"/>
        </w:rPr>
        <w:t>исключении</w:t>
      </w:r>
      <w:r w:rsidRPr="00EE22EE">
        <w:rPr>
          <w:lang w:val="ru-RU"/>
        </w:rPr>
        <w:t xml:space="preserve"> </w:t>
      </w:r>
      <w:r>
        <w:rPr>
          <w:lang w:val="ru-RU"/>
        </w:rPr>
        <w:t>упоминания</w:t>
      </w:r>
      <w:r w:rsidRPr="00EE22EE">
        <w:rPr>
          <w:lang w:val="ru-RU"/>
        </w:rPr>
        <w:t xml:space="preserve"> </w:t>
      </w:r>
      <w:r>
        <w:rPr>
          <w:lang w:val="ru-RU"/>
        </w:rPr>
        <w:t>о</w:t>
      </w:r>
      <w:r w:rsidRPr="00EE22EE">
        <w:rPr>
          <w:lang w:val="ru-RU"/>
        </w:rPr>
        <w:t xml:space="preserve"> </w:t>
      </w:r>
      <w:r>
        <w:rPr>
          <w:lang w:val="ru-RU"/>
        </w:rPr>
        <w:t>товарном знаке из пункта 2.4 (тип баллона) является неприемлемым, так как изготовитель может указывать более одного торгового наименования в одном и том же официальном утверждении типа (с учетом использования множественного числа в скобках к одному и тому же официальному утверждению может относиться более одного наименования</w:t>
      </w:r>
      <w:r w:rsidRPr="003457E5">
        <w:rPr>
          <w:lang w:val="ru-RU"/>
        </w:rPr>
        <w:t xml:space="preserve">). </w:t>
      </w:r>
      <w:r>
        <w:rPr>
          <w:lang w:val="ru-RU"/>
        </w:rPr>
        <w:t>С</w:t>
      </w:r>
      <w:r w:rsidRPr="003457E5">
        <w:rPr>
          <w:lang w:val="ru-RU"/>
        </w:rPr>
        <w:t xml:space="preserve"> </w:t>
      </w:r>
      <w:r>
        <w:rPr>
          <w:lang w:val="ru-RU"/>
        </w:rPr>
        <w:t>другой</w:t>
      </w:r>
      <w:r w:rsidRPr="003457E5">
        <w:rPr>
          <w:lang w:val="ru-RU"/>
        </w:rPr>
        <w:t xml:space="preserve"> </w:t>
      </w:r>
      <w:r>
        <w:rPr>
          <w:lang w:val="ru-RU"/>
        </w:rPr>
        <w:t>стороны</w:t>
      </w:r>
      <w:r w:rsidRPr="003457E5">
        <w:rPr>
          <w:lang w:val="ru-RU"/>
        </w:rPr>
        <w:t xml:space="preserve">, </w:t>
      </w:r>
      <w:r>
        <w:rPr>
          <w:lang w:val="ru-RU"/>
        </w:rPr>
        <w:t>включение</w:t>
      </w:r>
      <w:r w:rsidRPr="003457E5">
        <w:rPr>
          <w:lang w:val="ru-RU"/>
        </w:rPr>
        <w:t xml:space="preserve"> </w:t>
      </w:r>
      <w:r>
        <w:rPr>
          <w:lang w:val="ru-RU"/>
        </w:rPr>
        <w:t>нового</w:t>
      </w:r>
      <w:r w:rsidRPr="003457E5">
        <w:rPr>
          <w:lang w:val="ru-RU"/>
        </w:rPr>
        <w:t xml:space="preserve"> </w:t>
      </w:r>
      <w:r>
        <w:rPr>
          <w:lang w:val="ru-RU"/>
        </w:rPr>
        <w:t>торгового</w:t>
      </w:r>
      <w:r w:rsidRPr="003457E5">
        <w:rPr>
          <w:lang w:val="ru-RU"/>
        </w:rPr>
        <w:t xml:space="preserve"> </w:t>
      </w:r>
      <w:r>
        <w:rPr>
          <w:lang w:val="ru-RU"/>
        </w:rPr>
        <w:t>наименования</w:t>
      </w:r>
      <w:r w:rsidRPr="003457E5">
        <w:rPr>
          <w:lang w:val="ru-RU"/>
        </w:rPr>
        <w:t xml:space="preserve"> </w:t>
      </w:r>
      <w:r>
        <w:rPr>
          <w:lang w:val="ru-RU"/>
        </w:rPr>
        <w:t>в</w:t>
      </w:r>
      <w:r w:rsidRPr="003457E5">
        <w:rPr>
          <w:lang w:val="ru-RU"/>
        </w:rPr>
        <w:t xml:space="preserve"> </w:t>
      </w:r>
      <w:r>
        <w:rPr>
          <w:lang w:val="ru-RU"/>
        </w:rPr>
        <w:t>любом</w:t>
      </w:r>
      <w:r w:rsidRPr="003457E5">
        <w:rPr>
          <w:lang w:val="ru-RU"/>
        </w:rPr>
        <w:t xml:space="preserve"> </w:t>
      </w:r>
      <w:r>
        <w:rPr>
          <w:lang w:val="ru-RU"/>
        </w:rPr>
        <w:t>случае</w:t>
      </w:r>
      <w:r w:rsidRPr="003457E5">
        <w:rPr>
          <w:lang w:val="ru-RU"/>
        </w:rPr>
        <w:t xml:space="preserve"> </w:t>
      </w:r>
      <w:r>
        <w:rPr>
          <w:lang w:val="ru-RU"/>
        </w:rPr>
        <w:t>требует</w:t>
      </w:r>
      <w:r w:rsidRPr="003457E5">
        <w:rPr>
          <w:lang w:val="ru-RU"/>
        </w:rPr>
        <w:t xml:space="preserve"> </w:t>
      </w:r>
      <w:r>
        <w:rPr>
          <w:lang w:val="ru-RU"/>
        </w:rPr>
        <w:t>от</w:t>
      </w:r>
      <w:r w:rsidRPr="003457E5">
        <w:rPr>
          <w:lang w:val="ru-RU"/>
        </w:rPr>
        <w:t xml:space="preserve"> </w:t>
      </w:r>
      <w:r>
        <w:rPr>
          <w:lang w:val="ru-RU"/>
        </w:rPr>
        <w:t>изготовителя</w:t>
      </w:r>
      <w:r w:rsidRPr="003457E5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3457E5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3457E5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3457E5">
        <w:rPr>
          <w:lang w:val="ru-RU"/>
        </w:rPr>
        <w:t xml:space="preserve">, </w:t>
      </w:r>
      <w:r>
        <w:rPr>
          <w:lang w:val="ru-RU"/>
        </w:rPr>
        <w:t>поскольку следует обновить содержание пункта 2 свидетельства об официально</w:t>
      </w:r>
      <w:r w:rsidR="00BC55B0">
        <w:rPr>
          <w:lang w:val="ru-RU"/>
        </w:rPr>
        <w:t>м утверждении типа в приложении </w:t>
      </w:r>
      <w:r>
        <w:rPr>
          <w:lang w:val="ru-RU"/>
        </w:rPr>
        <w:t>2В</w:t>
      </w:r>
      <w:r w:rsidRPr="003457E5">
        <w:rPr>
          <w:lang w:val="ru-RU"/>
        </w:rPr>
        <w:t xml:space="preserve"> (</w:t>
      </w:r>
      <w:r>
        <w:rPr>
          <w:lang w:val="ru-RU"/>
        </w:rPr>
        <w:t>его нельзя исключить, так как оно относится ко всем элементам, а не только к баллону</w:t>
      </w:r>
      <w:r w:rsidRPr="003457E5">
        <w:rPr>
          <w:lang w:val="ru-RU"/>
        </w:rPr>
        <w:t xml:space="preserve">). </w:t>
      </w:r>
      <w:r>
        <w:rPr>
          <w:lang w:val="ru-RU"/>
        </w:rPr>
        <w:t>По этой причине упоминание о</w:t>
      </w:r>
      <w:r w:rsidR="0082411E">
        <w:rPr>
          <w:lang w:val="ru-RU"/>
        </w:rPr>
        <w:t xml:space="preserve"> торговом наименовании в пункте </w:t>
      </w:r>
      <w:r>
        <w:rPr>
          <w:lang w:val="ru-RU"/>
        </w:rPr>
        <w:t>2.4 должно быть сохранено</w:t>
      </w:r>
      <w:r w:rsidRPr="001F4A92">
        <w:rPr>
          <w:lang w:val="ru-RU"/>
        </w:rPr>
        <w:t>.</w:t>
      </w:r>
    </w:p>
    <w:p w:rsidR="007D56B9" w:rsidRPr="001045E6" w:rsidRDefault="007D56B9" w:rsidP="007D56B9">
      <w:pPr>
        <w:pStyle w:val="SingleTxtG"/>
        <w:tabs>
          <w:tab w:val="left" w:pos="1701"/>
        </w:tabs>
        <w:rPr>
          <w:lang w:val="ru-RU"/>
        </w:rPr>
      </w:pPr>
      <w:proofErr w:type="gramStart"/>
      <w:r w:rsidRPr="001F4A92">
        <w:rPr>
          <w:lang w:val="ru-RU"/>
        </w:rPr>
        <w:t>3.</w:t>
      </w:r>
      <w:r w:rsidRPr="001F4A92">
        <w:rPr>
          <w:lang w:val="ru-RU"/>
        </w:rPr>
        <w:tab/>
      </w:r>
      <w:r>
        <w:rPr>
          <w:lang w:val="ru-RU"/>
        </w:rPr>
        <w:t>В</w:t>
      </w:r>
      <w:proofErr w:type="gramEnd"/>
      <w:r>
        <w:rPr>
          <w:lang w:val="ru-RU"/>
        </w:rPr>
        <w:t xml:space="preserve"> настоящем документе в карточку сообщения (в приложении 2В) предлагается включить следующие дополнительные пункты</w:t>
      </w:r>
      <w:r w:rsidRPr="001F4A92">
        <w:rPr>
          <w:lang w:val="ru-RU"/>
        </w:rPr>
        <w:t xml:space="preserve">: </w:t>
      </w:r>
      <w:r>
        <w:rPr>
          <w:lang w:val="ru-RU"/>
        </w:rPr>
        <w:t>тип</w:t>
      </w:r>
      <w:r w:rsidRPr="001F4A92">
        <w:rPr>
          <w:lang w:val="ru-RU"/>
        </w:rPr>
        <w:t xml:space="preserve"> (</w:t>
      </w:r>
      <w:r>
        <w:rPr>
          <w:lang w:val="ru-RU"/>
        </w:rPr>
        <w:t>пункт</w:t>
      </w:r>
      <w:r w:rsidRPr="001F4A92">
        <w:rPr>
          <w:lang w:val="ru-RU"/>
        </w:rPr>
        <w:t xml:space="preserve"> 1.1) </w:t>
      </w:r>
      <w:r>
        <w:rPr>
          <w:lang w:val="ru-RU"/>
        </w:rPr>
        <w:t>и классификационное давление</w:t>
      </w:r>
      <w:r w:rsidRPr="001F4A92">
        <w:rPr>
          <w:lang w:val="ru-RU"/>
        </w:rPr>
        <w:t xml:space="preserve"> (</w:t>
      </w:r>
      <w:r>
        <w:rPr>
          <w:lang w:val="ru-RU"/>
        </w:rPr>
        <w:t>пункт</w:t>
      </w:r>
      <w:r w:rsidRPr="001F4A92">
        <w:rPr>
          <w:lang w:val="ru-RU"/>
        </w:rPr>
        <w:t xml:space="preserve"> 1.2). </w:t>
      </w:r>
      <w:r>
        <w:rPr>
          <w:lang w:val="ru-RU"/>
        </w:rPr>
        <w:t>Включение варианта/версии</w:t>
      </w:r>
      <w:r w:rsidRPr="00430D2C">
        <w:rPr>
          <w:lang w:val="ru-RU"/>
        </w:rPr>
        <w:t xml:space="preserve"> (</w:t>
      </w:r>
      <w:r>
        <w:rPr>
          <w:lang w:val="ru-RU"/>
        </w:rPr>
        <w:t>как это предлагается экспертом от Польши</w:t>
      </w:r>
      <w:r w:rsidRPr="00430D2C">
        <w:rPr>
          <w:lang w:val="ru-RU"/>
        </w:rPr>
        <w:t xml:space="preserve">) </w:t>
      </w:r>
      <w:r>
        <w:rPr>
          <w:lang w:val="ru-RU"/>
        </w:rPr>
        <w:t>создало бы прецедент по отношению к другим правилам ООН</w:t>
      </w:r>
      <w:r w:rsidRPr="00430D2C">
        <w:rPr>
          <w:lang w:val="ru-RU"/>
        </w:rPr>
        <w:t xml:space="preserve">. </w:t>
      </w:r>
      <w:r>
        <w:rPr>
          <w:lang w:val="ru-RU"/>
        </w:rPr>
        <w:t>Кроме</w:t>
      </w:r>
      <w:r w:rsidRPr="00430D2C">
        <w:rPr>
          <w:lang w:val="ru-RU"/>
        </w:rPr>
        <w:t xml:space="preserve"> </w:t>
      </w:r>
      <w:r>
        <w:rPr>
          <w:lang w:val="ru-RU"/>
        </w:rPr>
        <w:t>того</w:t>
      </w:r>
      <w:r w:rsidRPr="00430D2C">
        <w:rPr>
          <w:lang w:val="ru-RU"/>
        </w:rPr>
        <w:t xml:space="preserve">, </w:t>
      </w:r>
      <w:r>
        <w:rPr>
          <w:lang w:val="ru-RU"/>
        </w:rPr>
        <w:t>это</w:t>
      </w:r>
      <w:r w:rsidRPr="00430D2C">
        <w:rPr>
          <w:lang w:val="ru-RU"/>
        </w:rPr>
        <w:t xml:space="preserve"> </w:t>
      </w:r>
      <w:r>
        <w:rPr>
          <w:lang w:val="ru-RU"/>
        </w:rPr>
        <w:t>возложило</w:t>
      </w:r>
      <w:r w:rsidRPr="00430D2C">
        <w:rPr>
          <w:lang w:val="ru-RU"/>
        </w:rPr>
        <w:t xml:space="preserve"> </w:t>
      </w:r>
      <w:r>
        <w:rPr>
          <w:lang w:val="ru-RU"/>
        </w:rPr>
        <w:t>бы</w:t>
      </w:r>
      <w:r w:rsidRPr="00430D2C">
        <w:rPr>
          <w:lang w:val="ru-RU"/>
        </w:rPr>
        <w:t xml:space="preserve"> </w:t>
      </w:r>
      <w:r>
        <w:rPr>
          <w:lang w:val="ru-RU"/>
        </w:rPr>
        <w:t>административное</w:t>
      </w:r>
      <w:r w:rsidRPr="00430D2C">
        <w:rPr>
          <w:lang w:val="ru-RU"/>
        </w:rPr>
        <w:t xml:space="preserve"> </w:t>
      </w:r>
      <w:r>
        <w:rPr>
          <w:lang w:val="ru-RU"/>
        </w:rPr>
        <w:t>бремя</w:t>
      </w:r>
      <w:r w:rsidRPr="00430D2C">
        <w:rPr>
          <w:lang w:val="ru-RU"/>
        </w:rPr>
        <w:t xml:space="preserve"> </w:t>
      </w:r>
      <w:r>
        <w:rPr>
          <w:lang w:val="ru-RU"/>
        </w:rPr>
        <w:t>на</w:t>
      </w:r>
      <w:r w:rsidRPr="00430D2C">
        <w:rPr>
          <w:lang w:val="ru-RU"/>
        </w:rPr>
        <w:t xml:space="preserve"> </w:t>
      </w:r>
      <w:r>
        <w:rPr>
          <w:lang w:val="ru-RU"/>
        </w:rPr>
        <w:t>изготовителя</w:t>
      </w:r>
      <w:r w:rsidRPr="00430D2C">
        <w:rPr>
          <w:lang w:val="ru-RU"/>
        </w:rPr>
        <w:t xml:space="preserve"> (</w:t>
      </w:r>
      <w:r>
        <w:rPr>
          <w:lang w:val="ru-RU"/>
        </w:rPr>
        <w:t>в виде увеличения объема документации</w:t>
      </w:r>
      <w:r w:rsidRPr="00430D2C">
        <w:rPr>
          <w:lang w:val="ru-RU"/>
        </w:rPr>
        <w:t xml:space="preserve">) </w:t>
      </w:r>
      <w:r>
        <w:rPr>
          <w:lang w:val="ru-RU"/>
        </w:rPr>
        <w:t>без сколь-либо ощутимого повышения безопасности</w:t>
      </w:r>
      <w:r w:rsidRPr="00430D2C">
        <w:rPr>
          <w:lang w:val="ru-RU"/>
        </w:rPr>
        <w:t xml:space="preserve"> (</w:t>
      </w:r>
      <w:r>
        <w:rPr>
          <w:lang w:val="ru-RU"/>
        </w:rPr>
        <w:t>в отличие от предложения</w:t>
      </w:r>
      <w:r w:rsidRPr="00430D2C">
        <w:rPr>
          <w:lang w:val="ru-RU"/>
        </w:rPr>
        <w:t xml:space="preserve"> </w:t>
      </w:r>
      <w:r>
        <w:t>GRSG</w:t>
      </w:r>
      <w:r w:rsidRPr="00430D2C">
        <w:rPr>
          <w:lang w:val="ru-RU"/>
        </w:rPr>
        <w:t xml:space="preserve"> 113-36</w:t>
      </w:r>
      <w:r>
        <w:rPr>
          <w:lang w:val="ru-RU"/>
        </w:rPr>
        <w:t xml:space="preserve">, представленного ЕАСНГ в сотрудничестве с Нидерландами, одобренного в ходе </w:t>
      </w:r>
      <w:r w:rsidRPr="00430D2C">
        <w:rPr>
          <w:lang w:val="ru-RU"/>
        </w:rPr>
        <w:t>113</w:t>
      </w:r>
      <w:r>
        <w:rPr>
          <w:lang w:val="ru-RU"/>
        </w:rPr>
        <w:t>-ой сессии и способствовавшего усовершенствованию текста Правил № 67 ООН). Классификация по типу/варианту/версии характерна обычно для транспортных средств, а не для их компонентов</w:t>
      </w:r>
      <w:r w:rsidRPr="00312DAB">
        <w:rPr>
          <w:lang w:val="ru-RU"/>
        </w:rPr>
        <w:t xml:space="preserve">. </w:t>
      </w:r>
      <w:r>
        <w:rPr>
          <w:lang w:val="ru-RU"/>
        </w:rPr>
        <w:t>В</w:t>
      </w:r>
      <w:r w:rsidRPr="001045E6">
        <w:rPr>
          <w:lang w:val="ru-RU"/>
        </w:rPr>
        <w:t xml:space="preserve"> </w:t>
      </w:r>
      <w:r>
        <w:rPr>
          <w:lang w:val="ru-RU"/>
        </w:rPr>
        <w:t>данном</w:t>
      </w:r>
      <w:r w:rsidRPr="001045E6">
        <w:rPr>
          <w:lang w:val="ru-RU"/>
        </w:rPr>
        <w:t xml:space="preserve"> </w:t>
      </w:r>
      <w:r>
        <w:rPr>
          <w:lang w:val="ru-RU"/>
        </w:rPr>
        <w:t>случае</w:t>
      </w:r>
      <w:r w:rsidRPr="001045E6">
        <w:rPr>
          <w:lang w:val="ru-RU"/>
        </w:rPr>
        <w:t xml:space="preserve"> </w:t>
      </w:r>
      <w:r>
        <w:rPr>
          <w:lang w:val="ru-RU"/>
        </w:rPr>
        <w:t>разумно</w:t>
      </w:r>
      <w:r w:rsidRPr="001045E6">
        <w:rPr>
          <w:lang w:val="ru-RU"/>
        </w:rPr>
        <w:t xml:space="preserve"> </w:t>
      </w:r>
      <w:r>
        <w:rPr>
          <w:lang w:val="ru-RU"/>
        </w:rPr>
        <w:t>было бы добавить</w:t>
      </w:r>
      <w:r w:rsidRPr="001045E6">
        <w:rPr>
          <w:lang w:val="ru-RU"/>
        </w:rPr>
        <w:t xml:space="preserve"> </w:t>
      </w:r>
      <w:r>
        <w:rPr>
          <w:lang w:val="ru-RU"/>
        </w:rPr>
        <w:t>лишь</w:t>
      </w:r>
      <w:r w:rsidRPr="001045E6">
        <w:rPr>
          <w:lang w:val="ru-RU"/>
        </w:rPr>
        <w:t xml:space="preserve"> </w:t>
      </w:r>
      <w:r>
        <w:rPr>
          <w:lang w:val="ru-RU"/>
        </w:rPr>
        <w:t>обозначение</w:t>
      </w:r>
      <w:r w:rsidRPr="001045E6">
        <w:rPr>
          <w:lang w:val="ru-RU"/>
        </w:rPr>
        <w:t xml:space="preserve"> </w:t>
      </w:r>
      <w:r>
        <w:rPr>
          <w:lang w:val="ru-RU"/>
        </w:rPr>
        <w:t>типа</w:t>
      </w:r>
      <w:r w:rsidRPr="001045E6">
        <w:rPr>
          <w:lang w:val="ru-RU"/>
        </w:rPr>
        <w:t xml:space="preserve"> </w:t>
      </w:r>
      <w:r>
        <w:rPr>
          <w:lang w:val="ru-RU"/>
        </w:rPr>
        <w:t>и</w:t>
      </w:r>
      <w:r w:rsidRPr="001045E6">
        <w:rPr>
          <w:lang w:val="ru-RU"/>
        </w:rPr>
        <w:t xml:space="preserve"> </w:t>
      </w:r>
      <w:r>
        <w:rPr>
          <w:lang w:val="ru-RU"/>
        </w:rPr>
        <w:t>класс</w:t>
      </w:r>
      <w:r w:rsidRPr="001045E6">
        <w:rPr>
          <w:lang w:val="ru-RU"/>
        </w:rPr>
        <w:t xml:space="preserve"> </w:t>
      </w:r>
      <w:r>
        <w:rPr>
          <w:lang w:val="ru-RU"/>
        </w:rPr>
        <w:t>давления</w:t>
      </w:r>
      <w:r w:rsidRPr="001045E6">
        <w:rPr>
          <w:lang w:val="ru-RU"/>
        </w:rPr>
        <w:t>.</w:t>
      </w:r>
    </w:p>
    <w:p w:rsidR="00F954E2" w:rsidRPr="00767CA0" w:rsidRDefault="00767CA0" w:rsidP="00767CA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767CA0" w:rsidRDefault="00E12C5F" w:rsidP="00767CA0">
      <w:pPr>
        <w:pStyle w:val="SingleTxtGR"/>
        <w:jc w:val="center"/>
        <w:rPr>
          <w:u w:val="single"/>
        </w:rPr>
      </w:pPr>
    </w:p>
    <w:sectPr w:rsidR="00E12C5F" w:rsidRPr="00767CA0" w:rsidSect="00F954E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B41" w:rsidRPr="00A312BC" w:rsidRDefault="00C13B41" w:rsidP="00A312BC"/>
  </w:endnote>
  <w:endnote w:type="continuationSeparator" w:id="0">
    <w:p w:rsidR="00C13B41" w:rsidRPr="00A312BC" w:rsidRDefault="00C13B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E2" w:rsidRPr="00F954E2" w:rsidRDefault="00F954E2">
    <w:pPr>
      <w:pStyle w:val="Footer"/>
    </w:pPr>
    <w:r w:rsidRPr="00F954E2">
      <w:rPr>
        <w:b/>
        <w:sz w:val="18"/>
      </w:rPr>
      <w:fldChar w:fldCharType="begin"/>
    </w:r>
    <w:r w:rsidRPr="00F954E2">
      <w:rPr>
        <w:b/>
        <w:sz w:val="18"/>
      </w:rPr>
      <w:instrText xml:space="preserve"> PAGE  \* MERGEFORMAT </w:instrText>
    </w:r>
    <w:r w:rsidRPr="00F954E2">
      <w:rPr>
        <w:b/>
        <w:sz w:val="18"/>
      </w:rPr>
      <w:fldChar w:fldCharType="separate"/>
    </w:r>
    <w:r w:rsidR="00D37129">
      <w:rPr>
        <w:b/>
        <w:noProof/>
        <w:sz w:val="18"/>
      </w:rPr>
      <w:t>4</w:t>
    </w:r>
    <w:r w:rsidRPr="00F954E2">
      <w:rPr>
        <w:b/>
        <w:sz w:val="18"/>
      </w:rPr>
      <w:fldChar w:fldCharType="end"/>
    </w:r>
    <w:r>
      <w:rPr>
        <w:b/>
        <w:sz w:val="18"/>
      </w:rPr>
      <w:tab/>
    </w:r>
    <w:r>
      <w:t>GE.18-12073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E2" w:rsidRPr="00F954E2" w:rsidRDefault="00F954E2" w:rsidP="00F954E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GE.18-12073</w:t>
    </w:r>
    <w:r>
      <w:tab/>
    </w:r>
    <w:r w:rsidRPr="00F954E2">
      <w:rPr>
        <w:b/>
        <w:sz w:val="18"/>
      </w:rPr>
      <w:fldChar w:fldCharType="begin"/>
    </w:r>
    <w:r w:rsidRPr="00F954E2">
      <w:rPr>
        <w:b/>
        <w:sz w:val="18"/>
      </w:rPr>
      <w:instrText xml:space="preserve"> PAGE  \* MERGEFORMAT </w:instrText>
    </w:r>
    <w:r w:rsidRPr="00F954E2">
      <w:rPr>
        <w:b/>
        <w:sz w:val="18"/>
      </w:rPr>
      <w:fldChar w:fldCharType="separate"/>
    </w:r>
    <w:r w:rsidR="00D37129">
      <w:rPr>
        <w:b/>
        <w:noProof/>
        <w:sz w:val="18"/>
      </w:rPr>
      <w:t>3</w:t>
    </w:r>
    <w:r w:rsidRPr="00F954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954E2" w:rsidRDefault="00F954E2" w:rsidP="00F954E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5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18-12073  (R)</w:t>
    </w:r>
    <w:r>
      <w:rPr>
        <w:lang w:val="en-US"/>
      </w:rPr>
      <w:t xml:space="preserve">  240718  250718</w:t>
    </w:r>
    <w:r>
      <w:br/>
    </w:r>
    <w:r w:rsidRPr="00F954E2">
      <w:rPr>
        <w:rFonts w:ascii="C39T30Lfz" w:hAnsi="C39T30Lfz"/>
        <w:kern w:val="14"/>
        <w:sz w:val="56"/>
      </w:rPr>
      <w:t></w:t>
    </w:r>
    <w:r w:rsidRPr="00F954E2">
      <w:rPr>
        <w:rFonts w:ascii="C39T30Lfz" w:hAnsi="C39T30Lfz"/>
        <w:kern w:val="14"/>
        <w:sz w:val="56"/>
      </w:rPr>
      <w:t></w:t>
    </w:r>
    <w:r w:rsidRPr="00F954E2">
      <w:rPr>
        <w:rFonts w:ascii="C39T30Lfz" w:hAnsi="C39T30Lfz"/>
        <w:kern w:val="14"/>
        <w:sz w:val="56"/>
      </w:rPr>
      <w:t></w:t>
    </w:r>
    <w:r w:rsidRPr="00F954E2">
      <w:rPr>
        <w:rFonts w:ascii="C39T30Lfz" w:hAnsi="C39T30Lfz"/>
        <w:kern w:val="14"/>
        <w:sz w:val="56"/>
      </w:rPr>
      <w:t></w:t>
    </w:r>
    <w:r w:rsidRPr="00F954E2">
      <w:rPr>
        <w:rFonts w:ascii="C39T30Lfz" w:hAnsi="C39T30Lfz"/>
        <w:kern w:val="14"/>
        <w:sz w:val="56"/>
      </w:rPr>
      <w:t></w:t>
    </w:r>
    <w:r w:rsidRPr="00F954E2">
      <w:rPr>
        <w:rFonts w:ascii="C39T30Lfz" w:hAnsi="C39T30Lfz"/>
        <w:kern w:val="14"/>
        <w:sz w:val="56"/>
      </w:rPr>
      <w:t></w:t>
    </w:r>
    <w:r w:rsidRPr="00F954E2">
      <w:rPr>
        <w:rFonts w:ascii="C39T30Lfz" w:hAnsi="C39T30Lfz"/>
        <w:kern w:val="14"/>
        <w:sz w:val="56"/>
      </w:rPr>
      <w:t></w:t>
    </w:r>
    <w:r w:rsidRPr="00F954E2">
      <w:rPr>
        <w:rFonts w:ascii="C39T30Lfz" w:hAnsi="C39T30Lfz"/>
        <w:kern w:val="14"/>
        <w:sz w:val="56"/>
      </w:rPr>
      <w:t></w:t>
    </w:r>
    <w:r w:rsidRPr="00F954E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6" name="Рисунок 6" descr="https://undocs.org/m2/QRCode.ashx?DS=ECE/TRANS/WP.29/GRSG/2018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B41" w:rsidRPr="001075E9" w:rsidRDefault="00C13B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3B41" w:rsidRDefault="00C13B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D56B9" w:rsidRPr="00712997" w:rsidRDefault="007D56B9" w:rsidP="00E82457">
      <w:pPr>
        <w:pStyle w:val="FootnoteText"/>
        <w:rPr>
          <w:sz w:val="20"/>
        </w:rPr>
      </w:pPr>
      <w:r>
        <w:tab/>
      </w:r>
      <w:r w:rsidRPr="000F7807">
        <w:rPr>
          <w:rStyle w:val="FootnoteReference"/>
          <w:sz w:val="20"/>
          <w:vertAlign w:val="baseline"/>
        </w:rPr>
        <w:t>*</w:t>
      </w:r>
      <w:r w:rsidRPr="000A4377">
        <w:rPr>
          <w:rStyle w:val="FootnoteReference"/>
        </w:rPr>
        <w:tab/>
      </w:r>
      <w:r w:rsidRPr="000A4377">
        <w:t>В соответствии с программой работы Комитета по внутреннему транспорту на 2014–2018 годы (ECE/TRANS/240, пункт 105, и ECE/TRANS/201</w:t>
      </w:r>
      <w:r w:rsidRPr="00712997">
        <w:t>4</w:t>
      </w:r>
      <w:r w:rsidRPr="000A4377">
        <w:t>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 w:rsidRPr="000A4377">
        <w:rPr>
          <w:lang w:val="en-US"/>
        </w:rPr>
        <w:t> </w:t>
      </w:r>
      <w:r w:rsidRPr="000A4377">
        <w:t>в соответствии с этим мандатом.</w:t>
      </w:r>
    </w:p>
  </w:footnote>
  <w:footnote w:id="2">
    <w:p w:rsidR="00987186" w:rsidRPr="00805938" w:rsidRDefault="00987186" w:rsidP="00E82457">
      <w:pPr>
        <w:pStyle w:val="FootnoteText"/>
      </w:pPr>
      <w:r>
        <w:tab/>
      </w:r>
      <w:r w:rsidRPr="00987186">
        <w:rPr>
          <w:rStyle w:val="FootnoteReference"/>
          <w:sz w:val="20"/>
          <w:vertAlign w:val="baseline"/>
        </w:rPr>
        <w:sym w:font="Symbol" w:char="F02A"/>
      </w:r>
      <w:r>
        <w:t xml:space="preserve"> </w:t>
      </w:r>
      <w:r>
        <w:tab/>
      </w:r>
      <w:r w:rsidRPr="00805938">
        <w:tab/>
      </w:r>
      <w:r w:rsidRPr="000A4377">
        <w:t>Отличительный номер страны, которая предоставила/распространила/отменила официальное утверждение/отказала в официальном утверждении (см. положения Правил, касающиеся официального утверждения).</w:t>
      </w:r>
    </w:p>
  </w:footnote>
  <w:footnote w:id="3">
    <w:p w:rsidR="007D56B9" w:rsidRDefault="007D56B9" w:rsidP="00E82457">
      <w:pPr>
        <w:pStyle w:val="FootnoteText"/>
      </w:pPr>
      <w:r w:rsidRPr="00805938">
        <w:tab/>
      </w:r>
      <w:r w:rsidRPr="00E82457">
        <w:rPr>
          <w:rStyle w:val="FootnoteReference"/>
        </w:rPr>
        <w:footnoteRef/>
      </w:r>
      <w:r>
        <w:tab/>
      </w:r>
      <w:r w:rsidRPr="00805938">
        <w:t>Ненужное вычеркнуть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E2" w:rsidRPr="00F954E2" w:rsidRDefault="00CC5E3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37129">
      <w:t>ECE/TRANS/WP.29/GRSG/2018/20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E2" w:rsidRPr="00F954E2" w:rsidRDefault="00CC5E3B" w:rsidP="00F954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37129">
      <w:t>ECE/TRANS/WP.29/GRSG/2018/20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41"/>
    <w:rsid w:val="00033EE1"/>
    <w:rsid w:val="00042B72"/>
    <w:rsid w:val="000558BD"/>
    <w:rsid w:val="000B57E7"/>
    <w:rsid w:val="000B6373"/>
    <w:rsid w:val="000D5CED"/>
    <w:rsid w:val="000E4E5B"/>
    <w:rsid w:val="000F09DF"/>
    <w:rsid w:val="000F61B2"/>
    <w:rsid w:val="000F7807"/>
    <w:rsid w:val="001075E9"/>
    <w:rsid w:val="00132542"/>
    <w:rsid w:val="0014152F"/>
    <w:rsid w:val="00180183"/>
    <w:rsid w:val="0018024D"/>
    <w:rsid w:val="0018649F"/>
    <w:rsid w:val="00196389"/>
    <w:rsid w:val="001B3EF6"/>
    <w:rsid w:val="001C7A89"/>
    <w:rsid w:val="002534B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2932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37D7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7CA0"/>
    <w:rsid w:val="00792497"/>
    <w:rsid w:val="007D56B9"/>
    <w:rsid w:val="007F4F25"/>
    <w:rsid w:val="00806737"/>
    <w:rsid w:val="0082411E"/>
    <w:rsid w:val="00825F8D"/>
    <w:rsid w:val="00834B71"/>
    <w:rsid w:val="0086445C"/>
    <w:rsid w:val="00894693"/>
    <w:rsid w:val="008A08D7"/>
    <w:rsid w:val="008A1D95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8718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55B0"/>
    <w:rsid w:val="00BD33EE"/>
    <w:rsid w:val="00BE1CC7"/>
    <w:rsid w:val="00C106D6"/>
    <w:rsid w:val="00C119AE"/>
    <w:rsid w:val="00C13B41"/>
    <w:rsid w:val="00C60F0C"/>
    <w:rsid w:val="00C61086"/>
    <w:rsid w:val="00C740FE"/>
    <w:rsid w:val="00C805C9"/>
    <w:rsid w:val="00C92939"/>
    <w:rsid w:val="00CA1679"/>
    <w:rsid w:val="00CB151C"/>
    <w:rsid w:val="00CC5E3B"/>
    <w:rsid w:val="00CE5A1A"/>
    <w:rsid w:val="00CF55F6"/>
    <w:rsid w:val="00D33D63"/>
    <w:rsid w:val="00D37129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245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4E2"/>
    <w:rsid w:val="00F9783F"/>
    <w:rsid w:val="00FD06D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6817E6-9E10-4CA1-B1F6-5E008B1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7D56B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D56B9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7D56B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7D56B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7D56B9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ECE/TRANS/WP.29/GRSG/2018/20</vt:lpstr>
      <vt:lpstr>ECE/TRANS/WP.29/GRSG/2018/20</vt:lpstr>
      <vt:lpstr>A/</vt:lpstr>
    </vt:vector>
  </TitlesOfParts>
  <Company>DCM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ECE/TRANS/WP.29/GRSG/2018/20</dc:title>
  <dc:subject/>
  <dc:creator>Nina STEPANOVA</dc:creator>
  <cp:keywords/>
  <cp:lastModifiedBy>Secretariat</cp:lastModifiedBy>
  <cp:revision>2</cp:revision>
  <cp:lastPrinted>2018-07-25T13:21:00Z</cp:lastPrinted>
  <dcterms:created xsi:type="dcterms:W3CDTF">2018-08-28T13:00:00Z</dcterms:created>
  <dcterms:modified xsi:type="dcterms:W3CDTF">2018-08-28T13:00:00Z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