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C27D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C27D4" w:rsidP="007C27D4">
            <w:pPr>
              <w:jc w:val="right"/>
            </w:pPr>
            <w:r w:rsidRPr="007C27D4">
              <w:rPr>
                <w:sz w:val="40"/>
              </w:rPr>
              <w:t>ECE</w:t>
            </w:r>
            <w:r>
              <w:t>/TRANS/WP.29/GRSG/2018/16</w:t>
            </w:r>
          </w:p>
        </w:tc>
      </w:tr>
      <w:tr w:rsidR="002D5AAC" w:rsidRPr="00302C3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C27D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C27D4" w:rsidRDefault="007C27D4" w:rsidP="007C27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July 2018</w:t>
            </w:r>
          </w:p>
          <w:p w:rsidR="007C27D4" w:rsidRDefault="007C27D4" w:rsidP="007C27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C27D4" w:rsidRPr="008D53B6" w:rsidRDefault="007C27D4" w:rsidP="007C27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C27D4" w:rsidRPr="00BA028A" w:rsidRDefault="007C27D4" w:rsidP="00BA028A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BA028A">
        <w:rPr>
          <w:sz w:val="28"/>
          <w:szCs w:val="28"/>
        </w:rPr>
        <w:t>Комитет по внутреннему транспорту</w:t>
      </w:r>
    </w:p>
    <w:p w:rsidR="007C27D4" w:rsidRPr="00BA028A" w:rsidRDefault="007C27D4" w:rsidP="00BA028A">
      <w:pPr>
        <w:pStyle w:val="SingleTxtGR"/>
        <w:ind w:left="0"/>
        <w:jc w:val="left"/>
        <w:rPr>
          <w:b/>
          <w:bCs/>
          <w:sz w:val="24"/>
          <w:szCs w:val="24"/>
        </w:rPr>
      </w:pPr>
      <w:r w:rsidRPr="00BA028A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BA028A">
        <w:rPr>
          <w:b/>
          <w:bCs/>
          <w:sz w:val="24"/>
          <w:szCs w:val="24"/>
        </w:rPr>
        <w:br/>
        <w:t>в области транспортных средств</w:t>
      </w:r>
    </w:p>
    <w:p w:rsidR="007C27D4" w:rsidRPr="007C27D4" w:rsidRDefault="007C27D4" w:rsidP="00BA028A">
      <w:pPr>
        <w:pStyle w:val="SingleTxtGR"/>
        <w:ind w:left="0"/>
        <w:jc w:val="left"/>
        <w:rPr>
          <w:b/>
          <w:bCs/>
        </w:rPr>
      </w:pPr>
      <w:r w:rsidRPr="007C27D4">
        <w:rPr>
          <w:b/>
          <w:bCs/>
        </w:rPr>
        <w:t xml:space="preserve">Рабочая группа по общим предписаниям, </w:t>
      </w:r>
      <w:r w:rsidRPr="007C27D4">
        <w:rPr>
          <w:b/>
          <w:bCs/>
        </w:rPr>
        <w:br/>
        <w:t>касающимся безопасности</w:t>
      </w:r>
    </w:p>
    <w:p w:rsidR="007C27D4" w:rsidRPr="007C27D4" w:rsidRDefault="007C27D4" w:rsidP="007C27D4">
      <w:pPr>
        <w:pStyle w:val="SingleTxtGR"/>
        <w:spacing w:after="0"/>
        <w:ind w:left="0"/>
        <w:jc w:val="left"/>
        <w:rPr>
          <w:b/>
          <w:bCs/>
        </w:rPr>
      </w:pPr>
      <w:r w:rsidRPr="007C27D4">
        <w:rPr>
          <w:b/>
          <w:bCs/>
        </w:rPr>
        <w:t>115-я сессия</w:t>
      </w:r>
    </w:p>
    <w:p w:rsidR="007C27D4" w:rsidRPr="007C27D4" w:rsidRDefault="007C27D4" w:rsidP="007C27D4">
      <w:pPr>
        <w:pStyle w:val="SingleTxtGR"/>
        <w:spacing w:after="0"/>
        <w:ind w:left="0"/>
        <w:jc w:val="left"/>
      </w:pPr>
      <w:r w:rsidRPr="007C27D4">
        <w:t>Женева, 9–12 октября 2018 года</w:t>
      </w:r>
    </w:p>
    <w:p w:rsidR="007C27D4" w:rsidRPr="007C27D4" w:rsidRDefault="007C27D4" w:rsidP="007C27D4">
      <w:pPr>
        <w:pStyle w:val="SingleTxtGR"/>
        <w:spacing w:after="0"/>
        <w:ind w:left="0"/>
        <w:jc w:val="left"/>
      </w:pPr>
      <w:r w:rsidRPr="007C27D4">
        <w:t xml:space="preserve">Пункт 9 </w:t>
      </w:r>
      <w:r w:rsidRPr="007C27D4">
        <w:rPr>
          <w:lang w:val="en-GB"/>
        </w:rPr>
        <w:t>b</w:t>
      </w:r>
      <w:r w:rsidRPr="007C27D4">
        <w:t>) предварительной повестки дня</w:t>
      </w:r>
    </w:p>
    <w:p w:rsidR="007C27D4" w:rsidRPr="007C27D4" w:rsidRDefault="007C27D4" w:rsidP="007C27D4">
      <w:pPr>
        <w:pStyle w:val="SingleTxtGR"/>
        <w:spacing w:after="0"/>
        <w:ind w:left="0"/>
        <w:jc w:val="left"/>
        <w:rPr>
          <w:b/>
        </w:rPr>
      </w:pPr>
      <w:r w:rsidRPr="007C27D4">
        <w:rPr>
          <w:b/>
        </w:rPr>
        <w:t xml:space="preserve">Поправки к правилам, касающимся транспортных </w:t>
      </w:r>
      <w:r>
        <w:rPr>
          <w:b/>
        </w:rPr>
        <w:br/>
      </w:r>
      <w:r w:rsidRPr="007C27D4">
        <w:rPr>
          <w:b/>
        </w:rPr>
        <w:t xml:space="preserve">средств, работающих на газе: </w:t>
      </w:r>
    </w:p>
    <w:p w:rsidR="007C27D4" w:rsidRPr="007C27D4" w:rsidRDefault="007C27D4" w:rsidP="007C27D4">
      <w:pPr>
        <w:pStyle w:val="SingleTxtGR"/>
        <w:spacing w:after="0"/>
        <w:ind w:left="0"/>
        <w:jc w:val="left"/>
        <w:rPr>
          <w:b/>
        </w:rPr>
      </w:pPr>
      <w:r w:rsidRPr="007C27D4">
        <w:rPr>
          <w:b/>
        </w:rPr>
        <w:t xml:space="preserve">Правила № 110 ООН (транспортные средства, </w:t>
      </w:r>
      <w:r>
        <w:rPr>
          <w:b/>
        </w:rPr>
        <w:br/>
      </w:r>
      <w:r w:rsidRPr="007C27D4">
        <w:rPr>
          <w:b/>
        </w:rPr>
        <w:t>работающие на КПГ и СПГ)</w:t>
      </w:r>
    </w:p>
    <w:p w:rsidR="007C27D4" w:rsidRPr="007C27D4" w:rsidRDefault="007C27D4" w:rsidP="007C27D4">
      <w:pPr>
        <w:pStyle w:val="HChGR"/>
      </w:pPr>
      <w:r w:rsidRPr="007C27D4">
        <w:tab/>
      </w:r>
      <w:r w:rsidRPr="007C27D4">
        <w:tab/>
        <w:t>Предложение по поправкам к Правилам № 110 ООН (транспортные средства, работающие на КПГ и СПГ)</w:t>
      </w:r>
    </w:p>
    <w:p w:rsidR="007C27D4" w:rsidRPr="007C27D4" w:rsidRDefault="007C27D4" w:rsidP="007C27D4">
      <w:pPr>
        <w:pStyle w:val="H1GR"/>
        <w:rPr>
          <w:b w:val="0"/>
          <w:sz w:val="20"/>
        </w:rPr>
      </w:pPr>
      <w:r>
        <w:tab/>
      </w:r>
      <w:r>
        <w:tab/>
      </w:r>
      <w:r w:rsidRPr="007C27D4">
        <w:t>Представлено экспертом от Италии</w:t>
      </w:r>
      <w:r w:rsidRPr="007C27D4">
        <w:rPr>
          <w:b w:val="0"/>
          <w:sz w:val="20"/>
        </w:rPr>
        <w:footnoteReference w:customMarkFollows="1" w:id="1"/>
        <w:t>*</w:t>
      </w:r>
    </w:p>
    <w:p w:rsidR="007C27D4" w:rsidRPr="007C27D4" w:rsidRDefault="007C27D4" w:rsidP="007C27D4">
      <w:pPr>
        <w:pStyle w:val="SingleTxtGR"/>
      </w:pPr>
      <w:r>
        <w:tab/>
      </w:r>
      <w:r w:rsidRPr="007C27D4">
        <w:t>Воспроизведенный ниже текст был подготовлен экспертом от Италии в порядке внесения в приложение 3А к Правилам поправок, касающихся требований к испытаниям баллонов для компримированного природного газа (КПГ) на соответствие установленным требованиям во избежание повреждения конструкции баллонов в течение срока их службы. В его основу положен документ</w:t>
      </w:r>
      <w:r w:rsidR="00C14C6C">
        <w:t> </w:t>
      </w:r>
      <w:r w:rsidRPr="007C27D4">
        <w:t>ECE/TRANS/</w:t>
      </w:r>
      <w:r w:rsidR="00C14C6C">
        <w:t xml:space="preserve"> </w:t>
      </w:r>
      <w:r w:rsidRPr="007C27D4">
        <w:t>WP.29/GRSG/2017/29, распространенный в ходе 113-й и 114-й сессий Рабочей группы по общим предписаниям, касающимся безопасности (GRSG) (см. пункт 40 доклада ECE/TRANS/WP.29/GRSG/92 и пункт 31 доклада ECE/TRANS/WP.29/GRSG/93). Он</w:t>
      </w:r>
      <w:r w:rsidR="00C14C6C">
        <w:t> </w:t>
      </w:r>
      <w:r w:rsidRPr="007C27D4">
        <w:t>был дополнительно пересмотрен с учетом результатов обсуждений в целевой группе по правилам, касающимся транспортных средств, работающих на газе. Изменения к действующему тексту Правил № 110 ООН выделены жирным шрифтом, а текст, подлежащий исключению, − зачеркнут.</w:t>
      </w:r>
    </w:p>
    <w:p w:rsidR="007C27D4" w:rsidRPr="007C27D4" w:rsidRDefault="007C27D4" w:rsidP="007C27D4">
      <w:pPr>
        <w:pStyle w:val="SingleTxtGR"/>
      </w:pPr>
    </w:p>
    <w:p w:rsidR="007C27D4" w:rsidRPr="007C27D4" w:rsidRDefault="007C27D4" w:rsidP="007C27D4">
      <w:pPr>
        <w:pStyle w:val="HChGR"/>
      </w:pPr>
      <w:r w:rsidRPr="007C27D4">
        <w:br w:type="page"/>
      </w:r>
      <w:r>
        <w:lastRenderedPageBreak/>
        <w:tab/>
      </w:r>
      <w:r w:rsidRPr="007C27D4">
        <w:rPr>
          <w:lang w:val="en-GB"/>
        </w:rPr>
        <w:t>I</w:t>
      </w:r>
      <w:r w:rsidRPr="007C27D4">
        <w:t>.</w:t>
      </w:r>
      <w:r w:rsidRPr="007C27D4">
        <w:tab/>
        <w:t>Предложение</w:t>
      </w:r>
    </w:p>
    <w:p w:rsidR="007C27D4" w:rsidRPr="007C27D4" w:rsidRDefault="007C27D4" w:rsidP="007C27D4">
      <w:pPr>
        <w:pStyle w:val="SingleTxtGR"/>
      </w:pPr>
      <w:r w:rsidRPr="007C27D4">
        <w:rPr>
          <w:i/>
        </w:rPr>
        <w:t>Пункт 4.56</w:t>
      </w:r>
      <w:r w:rsidRPr="007C27D4">
        <w:t xml:space="preserve"> изменить следующим образом:</w:t>
      </w:r>
    </w:p>
    <w:p w:rsidR="007C27D4" w:rsidRPr="007C27D4" w:rsidRDefault="007C27D4" w:rsidP="007C27D4">
      <w:pPr>
        <w:pStyle w:val="SingleTxtGR"/>
        <w:tabs>
          <w:tab w:val="clear" w:pos="1701"/>
        </w:tabs>
        <w:ind w:left="2268" w:hanging="1134"/>
      </w:pPr>
      <w:r>
        <w:t>«</w:t>
      </w:r>
      <w:r w:rsidRPr="007C27D4">
        <w:t>4.56</w:t>
      </w:r>
      <w:r w:rsidRPr="007C27D4">
        <w:tab/>
        <w:t>"</w:t>
      </w:r>
      <w:r w:rsidRPr="007C27D4">
        <w:rPr>
          <w:i/>
          <w:iCs/>
        </w:rPr>
        <w:t>Готовые баллоны</w:t>
      </w:r>
      <w:r w:rsidRPr="007C27D4">
        <w:t xml:space="preserve">" означает полностью изготовленные баллоны, которые готовы для использования, типичные для нормального производства, с нанесенной на них отличительной маркировкой и внешним покрытием, включая встроенную изоляцию </w:t>
      </w:r>
      <w:r w:rsidRPr="007C27D4">
        <w:rPr>
          <w:b/>
          <w:bCs/>
        </w:rPr>
        <w:t>и/или защиту</w:t>
      </w:r>
      <w:r w:rsidRPr="007C27D4">
        <w:t xml:space="preserve">, указанную изготовителем </w:t>
      </w:r>
      <w:r w:rsidRPr="007C27D4">
        <w:rPr>
          <w:b/>
          <w:bCs/>
        </w:rPr>
        <w:t>на рабочем чертеже баллона</w:t>
      </w:r>
      <w:r w:rsidRPr="007C27D4">
        <w:t>, но без съемной изоляции или защиты.</w:t>
      </w:r>
      <w:r>
        <w:t>»</w:t>
      </w:r>
    </w:p>
    <w:p w:rsidR="007C27D4" w:rsidRPr="007C27D4" w:rsidRDefault="007C27D4" w:rsidP="007C27D4">
      <w:pPr>
        <w:pStyle w:val="SingleTxtGR"/>
        <w:rPr>
          <w:i/>
        </w:rPr>
      </w:pPr>
      <w:r w:rsidRPr="007C27D4">
        <w:rPr>
          <w:i/>
        </w:rPr>
        <w:t>Приложение 3</w:t>
      </w:r>
      <w:r w:rsidRPr="007C27D4">
        <w:rPr>
          <w:i/>
          <w:lang w:val="en-GB"/>
        </w:rPr>
        <w:t>A</w:t>
      </w:r>
    </w:p>
    <w:p w:rsidR="007C27D4" w:rsidRPr="007C27D4" w:rsidRDefault="007C27D4" w:rsidP="007C27D4">
      <w:pPr>
        <w:pStyle w:val="SingleTxtGR"/>
      </w:pPr>
      <w:r w:rsidRPr="007C27D4">
        <w:rPr>
          <w:i/>
        </w:rPr>
        <w:t xml:space="preserve">Пункт 6.12 </w:t>
      </w:r>
      <w:r w:rsidRPr="007C27D4">
        <w:t>изменить следующим образом:</w:t>
      </w:r>
    </w:p>
    <w:p w:rsidR="007C27D4" w:rsidRPr="007C27D4" w:rsidRDefault="007C27D4" w:rsidP="007C27D4">
      <w:pPr>
        <w:pStyle w:val="SingleTxtGR"/>
        <w:tabs>
          <w:tab w:val="clear" w:pos="1701"/>
        </w:tabs>
        <w:ind w:left="2268" w:hanging="1134"/>
        <w:rPr>
          <w:bCs/>
        </w:rPr>
      </w:pPr>
      <w:r>
        <w:t>«</w:t>
      </w:r>
      <w:r w:rsidRPr="007C27D4">
        <w:rPr>
          <w:bCs/>
        </w:rPr>
        <w:t>6.12</w:t>
      </w:r>
      <w:r w:rsidRPr="007C27D4">
        <w:rPr>
          <w:bCs/>
        </w:rPr>
        <w:tab/>
      </w:r>
      <w:r w:rsidRPr="007C27D4">
        <w:t>Защита</w:t>
      </w:r>
      <w:r w:rsidRPr="007C27D4">
        <w:rPr>
          <w:bCs/>
        </w:rPr>
        <w:t xml:space="preserve"> от действия внешних факторов</w:t>
      </w:r>
    </w:p>
    <w:p w:rsidR="007C27D4" w:rsidRPr="007C27D4" w:rsidRDefault="007C27D4" w:rsidP="007C27D4">
      <w:pPr>
        <w:pStyle w:val="SingleTxtGR"/>
        <w:tabs>
          <w:tab w:val="clear" w:pos="1701"/>
        </w:tabs>
        <w:rPr>
          <w:bCs/>
        </w:rPr>
      </w:pPr>
      <w:r w:rsidRPr="007C27D4">
        <w:rPr>
          <w:bCs/>
        </w:rPr>
        <w:tab/>
      </w:r>
      <w:r w:rsidRPr="007C27D4">
        <w:t>Внешняя поверхность</w:t>
      </w:r>
      <w:r w:rsidRPr="007C27D4">
        <w:rPr>
          <w:bCs/>
        </w:rPr>
        <w:t xml:space="preserve"> </w:t>
      </w:r>
      <w:r w:rsidR="008E324E">
        <w:rPr>
          <w:bCs/>
        </w:rPr>
        <w:t>…</w:t>
      </w:r>
    </w:p>
    <w:p w:rsidR="007C27D4" w:rsidRPr="007C27D4" w:rsidRDefault="007C27D4" w:rsidP="007C27D4">
      <w:pPr>
        <w:pStyle w:val="SingleTxtGR"/>
        <w:tabs>
          <w:tab w:val="clear" w:pos="1701"/>
        </w:tabs>
        <w:ind w:left="2835" w:hanging="1701"/>
        <w:rPr>
          <w:bCs/>
        </w:rPr>
      </w:pPr>
      <w:r w:rsidRPr="007C27D4">
        <w:rPr>
          <w:bCs/>
        </w:rPr>
        <w:tab/>
      </w:r>
      <w:r w:rsidRPr="007C27D4">
        <w:rPr>
          <w:bCs/>
          <w:lang w:val="en"/>
        </w:rPr>
        <w:t>c</w:t>
      </w:r>
      <w:r w:rsidRPr="007C27D4">
        <w:rPr>
          <w:bCs/>
        </w:rPr>
        <w:t>)</w:t>
      </w:r>
      <w:r w:rsidRPr="007C27D4">
        <w:rPr>
          <w:bCs/>
        </w:rPr>
        <w:tab/>
        <w:t>защитное покрытие</w:t>
      </w:r>
      <w:r w:rsidR="008E324E">
        <w:rPr>
          <w:bCs/>
        </w:rPr>
        <w:t> …</w:t>
      </w:r>
      <w:r w:rsidRPr="007C27D4">
        <w:rPr>
          <w:bCs/>
        </w:rPr>
        <w:t xml:space="preserve"> </w:t>
      </w:r>
      <w:r w:rsidRPr="007C27D4">
        <w:rPr>
          <w:bCs/>
          <w:lang w:val="en"/>
        </w:rPr>
        <w:t>A</w:t>
      </w:r>
      <w:r w:rsidRPr="007C27D4">
        <w:rPr>
          <w:bCs/>
        </w:rPr>
        <w:t xml:space="preserve">.9 (добавление </w:t>
      </w:r>
      <w:r w:rsidRPr="007C27D4">
        <w:rPr>
          <w:bCs/>
          <w:lang w:val="en"/>
        </w:rPr>
        <w:t>A</w:t>
      </w:r>
      <w:r w:rsidRPr="007C27D4">
        <w:rPr>
          <w:bCs/>
        </w:rPr>
        <w:t xml:space="preserve"> к настоящему приложению).</w:t>
      </w:r>
    </w:p>
    <w:p w:rsidR="007C27D4" w:rsidRPr="007C27D4" w:rsidRDefault="007C27D4" w:rsidP="007C27D4">
      <w:pPr>
        <w:pStyle w:val="SingleTxtGR"/>
        <w:tabs>
          <w:tab w:val="clear" w:pos="1701"/>
        </w:tabs>
        <w:ind w:left="2268" w:hanging="1134"/>
        <w:rPr>
          <w:bCs/>
        </w:rPr>
      </w:pPr>
      <w:r w:rsidRPr="007C27D4">
        <w:rPr>
          <w:bCs/>
        </w:rPr>
        <w:tab/>
        <w:t xml:space="preserve">Технология нанесения любых покрытий </w:t>
      </w:r>
      <w:r w:rsidRPr="007C27D4">
        <w:rPr>
          <w:b/>
        </w:rPr>
        <w:t>или защиты</w:t>
      </w:r>
      <w:r w:rsidRPr="007C27D4">
        <w:rPr>
          <w:bCs/>
        </w:rPr>
        <w:t xml:space="preserve"> на баллоны должна быть такой, чтобы не оказывать отрицательного воздействия на механические свойства баллона. Покрытие </w:t>
      </w:r>
      <w:r w:rsidRPr="007C27D4">
        <w:rPr>
          <w:b/>
        </w:rPr>
        <w:t>или защиту</w:t>
      </w:r>
      <w:r w:rsidRPr="007C27D4">
        <w:rPr>
          <w:bCs/>
        </w:rPr>
        <w:t xml:space="preserve"> выполняют таким образом, чтобы </w:t>
      </w:r>
      <w:r w:rsidRPr="007C27D4">
        <w:rPr>
          <w:b/>
        </w:rPr>
        <w:t>это</w:t>
      </w:r>
      <w:r w:rsidRPr="007C27D4">
        <w:rPr>
          <w:bCs/>
        </w:rPr>
        <w:t xml:space="preserve"> </w:t>
      </w:r>
      <w:r w:rsidRPr="007718CF">
        <w:rPr>
          <w:bCs/>
          <w:strike/>
        </w:rPr>
        <w:t>оно</w:t>
      </w:r>
      <w:r w:rsidRPr="007C27D4">
        <w:rPr>
          <w:bCs/>
        </w:rPr>
        <w:t xml:space="preserve"> облегчало последующую проверку баллонов в условиях эксплуатации. Изготовитель дает указания по обращению с покрытием </w:t>
      </w:r>
      <w:r w:rsidRPr="007C27D4">
        <w:rPr>
          <w:b/>
        </w:rPr>
        <w:t>или защитой</w:t>
      </w:r>
      <w:r w:rsidRPr="007C27D4">
        <w:rPr>
          <w:bCs/>
        </w:rPr>
        <w:t xml:space="preserve"> в ходе таких проверок, с тем чтобы не нарушить целостность баллона.</w:t>
      </w:r>
    </w:p>
    <w:p w:rsidR="007C27D4" w:rsidRPr="007C27D4" w:rsidRDefault="007C27D4" w:rsidP="007C27D4">
      <w:pPr>
        <w:pStyle w:val="SingleTxtGR"/>
        <w:tabs>
          <w:tab w:val="clear" w:pos="1701"/>
        </w:tabs>
        <w:rPr>
          <w:b/>
          <w:bCs/>
        </w:rPr>
      </w:pPr>
      <w:r w:rsidRPr="007C27D4">
        <w:rPr>
          <w:bCs/>
        </w:rPr>
        <w:tab/>
      </w:r>
      <w:r w:rsidRPr="007C27D4">
        <w:t xml:space="preserve">Изготовителям рекомендуется </w:t>
      </w:r>
      <w:r w:rsidR="008E324E">
        <w:t>…</w:t>
      </w:r>
      <w:r w:rsidRPr="007C27D4">
        <w:t xml:space="preserve"> приемлемость систем покрытия</w:t>
      </w:r>
      <w:r>
        <w:t>»</w:t>
      </w:r>
      <w:r w:rsidRPr="007C27D4">
        <w:t>.</w:t>
      </w:r>
    </w:p>
    <w:p w:rsidR="007C27D4" w:rsidRPr="007C27D4" w:rsidRDefault="007C27D4" w:rsidP="007C27D4">
      <w:pPr>
        <w:pStyle w:val="SingleTxtGR"/>
        <w:rPr>
          <w:bCs/>
          <w:i/>
        </w:rPr>
      </w:pPr>
      <w:r w:rsidRPr="007C27D4">
        <w:rPr>
          <w:i/>
        </w:rPr>
        <w:t xml:space="preserve">Пункт </w:t>
      </w:r>
      <w:r w:rsidRPr="007C27D4">
        <w:rPr>
          <w:bCs/>
          <w:i/>
        </w:rPr>
        <w:t>10.7.1</w:t>
      </w:r>
      <w:r w:rsidRPr="007C27D4">
        <w:rPr>
          <w:bCs/>
        </w:rPr>
        <w:t xml:space="preserve"> </w:t>
      </w:r>
      <w:r w:rsidRPr="007C27D4">
        <w:t>изменить следующим образом</w:t>
      </w:r>
      <w:r w:rsidRPr="007C27D4">
        <w:rPr>
          <w:bCs/>
        </w:rPr>
        <w:t>:</w:t>
      </w:r>
    </w:p>
    <w:p w:rsidR="007C27D4" w:rsidRPr="007C27D4" w:rsidRDefault="007C27D4" w:rsidP="007C27D4">
      <w:pPr>
        <w:pStyle w:val="SingleTxtGR"/>
        <w:rPr>
          <w:bCs/>
        </w:rPr>
      </w:pPr>
      <w:r>
        <w:rPr>
          <w:bCs/>
        </w:rPr>
        <w:t>«</w:t>
      </w:r>
      <w:r w:rsidRPr="007C27D4">
        <w:rPr>
          <w:bCs/>
        </w:rPr>
        <w:t>10.7.1</w:t>
      </w:r>
      <w:r w:rsidRPr="007C27D4">
        <w:rPr>
          <w:bCs/>
        </w:rPr>
        <w:tab/>
        <w:t>Общие положения</w:t>
      </w:r>
    </w:p>
    <w:p w:rsidR="007C27D4" w:rsidRPr="007C27D4" w:rsidRDefault="007C27D4" w:rsidP="007C27D4">
      <w:pPr>
        <w:pStyle w:val="SingleTxtGR"/>
        <w:tabs>
          <w:tab w:val="clear" w:pos="1701"/>
        </w:tabs>
        <w:ind w:left="2268" w:hanging="1134"/>
        <w:rPr>
          <w:bCs/>
        </w:rPr>
      </w:pPr>
      <w:r w:rsidRPr="007C27D4">
        <w:rPr>
          <w:bCs/>
        </w:rPr>
        <w:tab/>
        <w:t>Испытания конструкции баллона на соответствие установленным требованиям проводят в соответствии с требованиями пунктов 8.6, 10.7.2, 10.7.3</w:t>
      </w:r>
      <w:r w:rsidRPr="007C27D4">
        <w:rPr>
          <w:b/>
        </w:rPr>
        <w:t>, 10.7.4 и 10.7.05</w:t>
      </w:r>
      <w:r w:rsidRPr="007C27D4">
        <w:rPr>
          <w:bCs/>
        </w:rPr>
        <w:t xml:space="preserve"> настоящего приложения, за исключением испытания на герметичность до разрушения, предусмотренного в пункте</w:t>
      </w:r>
      <w:r w:rsidR="007A1660">
        <w:rPr>
          <w:bCs/>
        </w:rPr>
        <w:t> </w:t>
      </w:r>
      <w:r w:rsidRPr="007C27D4">
        <w:rPr>
          <w:bCs/>
        </w:rPr>
        <w:t>8.6.10 выше, которое в данном случае не требуется</w:t>
      </w:r>
      <w:r>
        <w:rPr>
          <w:bCs/>
        </w:rPr>
        <w:t>»</w:t>
      </w:r>
      <w:r w:rsidRPr="007C27D4">
        <w:rPr>
          <w:bCs/>
        </w:rPr>
        <w:t>.</w:t>
      </w:r>
    </w:p>
    <w:p w:rsidR="007C27D4" w:rsidRPr="007C27D4" w:rsidRDefault="007C27D4" w:rsidP="007C27D4">
      <w:pPr>
        <w:pStyle w:val="SingleTxtGR"/>
        <w:rPr>
          <w:bCs/>
          <w:i/>
        </w:rPr>
      </w:pPr>
      <w:r w:rsidRPr="007C27D4">
        <w:rPr>
          <w:bCs/>
          <w:i/>
        </w:rPr>
        <w:t>Добавить новый пункт 10.7.5</w:t>
      </w:r>
      <w:r w:rsidRPr="007C27D4">
        <w:rPr>
          <w:bCs/>
        </w:rPr>
        <w:t xml:space="preserve"> следующего содержания:</w:t>
      </w:r>
    </w:p>
    <w:p w:rsidR="007C27D4" w:rsidRPr="007C27D4" w:rsidRDefault="007C27D4" w:rsidP="007C27D4">
      <w:pPr>
        <w:pStyle w:val="SingleTxtGR"/>
        <w:rPr>
          <w:b/>
          <w:bCs/>
        </w:rPr>
      </w:pPr>
      <w:r>
        <w:rPr>
          <w:bCs/>
        </w:rPr>
        <w:t>«</w:t>
      </w:r>
      <w:r w:rsidRPr="007C27D4">
        <w:rPr>
          <w:b/>
          <w:bCs/>
        </w:rPr>
        <w:t>10.7.5</w:t>
      </w:r>
      <w:r w:rsidRPr="007C27D4">
        <w:rPr>
          <w:b/>
          <w:bCs/>
        </w:rPr>
        <w:tab/>
        <w:t>Испытание на повреждение в результате удара</w:t>
      </w:r>
    </w:p>
    <w:p w:rsidR="007C27D4" w:rsidRPr="007C27D4" w:rsidRDefault="007C27D4" w:rsidP="007C27D4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C27D4">
        <w:rPr>
          <w:b/>
          <w:bCs/>
        </w:rPr>
        <w:tab/>
        <w:t xml:space="preserve">Один или более готовых баллонов подвергают испытанию на повреждение в результате удара в соответствии пунктом </w:t>
      </w:r>
      <w:r w:rsidRPr="007C27D4">
        <w:rPr>
          <w:b/>
          <w:bCs/>
          <w:lang w:val="en"/>
        </w:rPr>
        <w:t>A</w:t>
      </w:r>
      <w:r w:rsidRPr="007C27D4">
        <w:rPr>
          <w:b/>
          <w:bCs/>
        </w:rPr>
        <w:t>.20 добавления А.</w:t>
      </w:r>
      <w:r>
        <w:rPr>
          <w:b/>
          <w:bCs/>
        </w:rPr>
        <w:t>»</w:t>
      </w:r>
    </w:p>
    <w:p w:rsidR="007C27D4" w:rsidRPr="007C27D4" w:rsidRDefault="007C27D4" w:rsidP="007C27D4">
      <w:pPr>
        <w:pStyle w:val="SingleTxtGR"/>
        <w:rPr>
          <w:bCs/>
        </w:rPr>
      </w:pPr>
      <w:r w:rsidRPr="007C27D4">
        <w:rPr>
          <w:bCs/>
          <w:i/>
        </w:rPr>
        <w:t>Пункт 6.17, таблица 6.7 (Изменение конструкции), двенадцатая строка</w:t>
      </w:r>
      <w:r w:rsidRPr="007C27D4">
        <w:rPr>
          <w:bCs/>
        </w:rPr>
        <w:t xml:space="preserve">, в первой колонке заменить </w:t>
      </w:r>
      <w:r w:rsidR="007A1660">
        <w:rPr>
          <w:bCs/>
        </w:rPr>
        <w:t>«</w:t>
      </w:r>
      <w:r w:rsidRPr="007C27D4">
        <w:rPr>
          <w:bCs/>
        </w:rPr>
        <w:t>Форма закруглений</w:t>
      </w:r>
      <w:r w:rsidR="007A1660">
        <w:rPr>
          <w:bCs/>
        </w:rPr>
        <w:t>»</w:t>
      </w:r>
      <w:r w:rsidRPr="007C27D4">
        <w:rPr>
          <w:bCs/>
        </w:rPr>
        <w:t xml:space="preserve"> на </w:t>
      </w:r>
      <w:r w:rsidR="007A1660">
        <w:rPr>
          <w:bCs/>
        </w:rPr>
        <w:t>«</w:t>
      </w:r>
      <w:r w:rsidRPr="007C27D4">
        <w:rPr>
          <w:b/>
        </w:rPr>
        <w:t xml:space="preserve">Эскиз </w:t>
      </w:r>
      <w:r w:rsidRPr="007C27D4">
        <w:rPr>
          <w:bCs/>
        </w:rPr>
        <w:t>закруглений</w:t>
      </w:r>
      <w:r w:rsidR="007A1660">
        <w:rPr>
          <w:bCs/>
        </w:rPr>
        <w:t>»</w:t>
      </w:r>
      <w:r w:rsidRPr="007C27D4">
        <w:rPr>
          <w:bCs/>
        </w:rPr>
        <w:t xml:space="preserve"> и в восьмую колонку вставить знак </w:t>
      </w:r>
      <w:r w:rsidR="007A1660">
        <w:rPr>
          <w:bCs/>
        </w:rPr>
        <w:t>«</w:t>
      </w:r>
      <w:r w:rsidRPr="007C27D4">
        <w:rPr>
          <w:b/>
          <w:bCs/>
          <w:lang w:val="en"/>
        </w:rPr>
        <w:t>X</w:t>
      </w:r>
      <w:r w:rsidRPr="007A1660">
        <w:rPr>
          <w:b/>
          <w:bCs/>
        </w:rPr>
        <w:t>**</w:t>
      </w:r>
      <w:r w:rsidR="007A1660">
        <w:rPr>
          <w:bCs/>
        </w:rPr>
        <w:t>»</w:t>
      </w:r>
      <w:r w:rsidRPr="007C27D4">
        <w:rPr>
          <w:bCs/>
        </w:rPr>
        <w:t>, включая новую сноску</w:t>
      </w:r>
      <w:r w:rsidRPr="00195424">
        <w:rPr>
          <w:b/>
          <w:bCs/>
        </w:rPr>
        <w:t>**</w:t>
      </w:r>
      <w:r w:rsidRPr="007C27D4">
        <w:rPr>
          <w:bCs/>
        </w:rPr>
        <w:t xml:space="preserve"> следующего содержания: </w:t>
      </w:r>
      <w:r w:rsidR="00195424">
        <w:rPr>
          <w:bCs/>
        </w:rPr>
        <w:br/>
        <w:t>«</w:t>
      </w:r>
      <w:r w:rsidRPr="007C27D4">
        <w:rPr>
          <w:b/>
          <w:bCs/>
        </w:rPr>
        <w:t xml:space="preserve">** Испытание на сбрасывание </w:t>
      </w:r>
      <w:r w:rsidRPr="007C27D4">
        <w:rPr>
          <w:b/>
          <w:bCs/>
          <w:lang w:val="en"/>
        </w:rPr>
        <w:t>A</w:t>
      </w:r>
      <w:r w:rsidRPr="007C27D4">
        <w:rPr>
          <w:b/>
          <w:bCs/>
        </w:rPr>
        <w:t>.20 требуется только для конструкций типа КПГ-3 и КПГ-4</w:t>
      </w:r>
      <w:r w:rsidR="00156818">
        <w:rPr>
          <w:b/>
          <w:bCs/>
        </w:rPr>
        <w:t>.</w:t>
      </w:r>
      <w:r w:rsidR="00195424">
        <w:rPr>
          <w:bCs/>
        </w:rPr>
        <w:t>»</w:t>
      </w:r>
      <w:r w:rsidRPr="007C27D4">
        <w:rPr>
          <w:bCs/>
        </w:rPr>
        <w:t>.</w:t>
      </w:r>
    </w:p>
    <w:p w:rsidR="007C27D4" w:rsidRPr="007C27D4" w:rsidRDefault="007C27D4" w:rsidP="007C27D4">
      <w:pPr>
        <w:pStyle w:val="SingleTxtGR"/>
        <w:rPr>
          <w:bCs/>
          <w:i/>
        </w:rPr>
      </w:pPr>
      <w:r w:rsidRPr="007C27D4">
        <w:rPr>
          <w:i/>
        </w:rPr>
        <w:t>Приложение 3</w:t>
      </w:r>
      <w:r w:rsidRPr="007C27D4">
        <w:rPr>
          <w:i/>
          <w:lang w:val="en-GB"/>
        </w:rPr>
        <w:t>A</w:t>
      </w:r>
      <w:r w:rsidRPr="007C27D4">
        <w:rPr>
          <w:i/>
        </w:rPr>
        <w:t xml:space="preserve">, добавление </w:t>
      </w:r>
      <w:r w:rsidRPr="007C27D4">
        <w:rPr>
          <w:i/>
          <w:lang w:val="en-GB"/>
        </w:rPr>
        <w:t>A</w:t>
      </w:r>
      <w:r w:rsidRPr="007C27D4">
        <w:rPr>
          <w:i/>
        </w:rPr>
        <w:t>, пункт</w:t>
      </w:r>
      <w:r w:rsidRPr="007C27D4">
        <w:rPr>
          <w:bCs/>
          <w:i/>
        </w:rPr>
        <w:t xml:space="preserve"> </w:t>
      </w:r>
      <w:r w:rsidRPr="007C27D4">
        <w:rPr>
          <w:bCs/>
          <w:i/>
          <w:lang w:val="en"/>
        </w:rPr>
        <w:t>A</w:t>
      </w:r>
      <w:r w:rsidRPr="007C27D4">
        <w:rPr>
          <w:bCs/>
          <w:i/>
        </w:rPr>
        <w:t xml:space="preserve">.17 </w:t>
      </w:r>
      <w:r w:rsidRPr="007C27D4">
        <w:rPr>
          <w:bCs/>
        </w:rPr>
        <w:t>изменить следующим образом:</w:t>
      </w:r>
    </w:p>
    <w:p w:rsidR="007C27D4" w:rsidRPr="007C27D4" w:rsidRDefault="007C27D4" w:rsidP="007C27D4">
      <w:pPr>
        <w:pStyle w:val="SingleTxtGR"/>
        <w:tabs>
          <w:tab w:val="clear" w:pos="1701"/>
        </w:tabs>
        <w:rPr>
          <w:bCs/>
        </w:rPr>
      </w:pPr>
      <w:r>
        <w:rPr>
          <w:bCs/>
        </w:rPr>
        <w:t>«</w:t>
      </w:r>
      <w:r w:rsidRPr="007C27D4">
        <w:rPr>
          <w:bCs/>
          <w:lang w:val="en"/>
        </w:rPr>
        <w:t>A</w:t>
      </w:r>
      <w:r w:rsidRPr="007C27D4">
        <w:rPr>
          <w:bCs/>
        </w:rPr>
        <w:t>.17</w:t>
      </w:r>
      <w:r w:rsidRPr="007C27D4">
        <w:rPr>
          <w:bCs/>
        </w:rPr>
        <w:tab/>
        <w:t>Испытание на трещиностойкость композиционных материалов</w:t>
      </w:r>
    </w:p>
    <w:p w:rsidR="007C27D4" w:rsidRPr="007C27D4" w:rsidRDefault="007C27D4" w:rsidP="007C27D4">
      <w:pPr>
        <w:pStyle w:val="SingleTxtGR"/>
        <w:tabs>
          <w:tab w:val="clear" w:pos="1701"/>
        </w:tabs>
        <w:ind w:left="2268" w:hanging="1134"/>
        <w:rPr>
          <w:b/>
        </w:rPr>
      </w:pPr>
      <w:r w:rsidRPr="007C27D4">
        <w:rPr>
          <w:bCs/>
        </w:rPr>
        <w:tab/>
        <w:t xml:space="preserve">В случае конструкций только типов КПГ-2, КПГ-3 и КПГ-4 </w:t>
      </w:r>
      <w:r w:rsidRPr="007C27D4">
        <w:rPr>
          <w:b/>
        </w:rPr>
        <w:t>испытание на трещиностойкость цилиндрической стенки, а также на мини</w:t>
      </w:r>
      <w:r w:rsidR="009506A5">
        <w:rPr>
          <w:b/>
        </w:rPr>
        <w:t>м</w:t>
      </w:r>
      <w:r w:rsidRPr="007C27D4">
        <w:rPr>
          <w:b/>
        </w:rPr>
        <w:t xml:space="preserve">альную толщину стенки из композиционного материала в самой(ых) слабой(ых) части(ях) сосуда, выявленной(ых) в результате соответствующего анализа напряжений или полномасштабных испытаний готовых баллонов, проводят </w:t>
      </w:r>
      <w:r w:rsidRPr="007C27D4">
        <w:rPr>
          <w:bCs/>
        </w:rPr>
        <w:t xml:space="preserve">только на одном готовом баллоне в сборе с защитным покрытием. Наличие трещин в продольном направлении в композиционном материале допускается. </w:t>
      </w:r>
      <w:r w:rsidRPr="007C27D4">
        <w:rPr>
          <w:bCs/>
        </w:rPr>
        <w:lastRenderedPageBreak/>
        <w:t>Размеры трещин должны быть больше предельных величин, установленных изготовителем для визуального осмотра.</w:t>
      </w:r>
    </w:p>
    <w:p w:rsidR="007C27D4" w:rsidRPr="007C27D4" w:rsidRDefault="007C27D4" w:rsidP="007C27D4">
      <w:pPr>
        <w:pStyle w:val="SingleTxtGR"/>
        <w:tabs>
          <w:tab w:val="clear" w:pos="1701"/>
        </w:tabs>
        <w:rPr>
          <w:bCs/>
        </w:rPr>
      </w:pPr>
      <w:r w:rsidRPr="007C27D4">
        <w:tab/>
        <w:t xml:space="preserve">Баллон с образовавшимися трещинами </w:t>
      </w:r>
      <w:r w:rsidR="008E324E">
        <w:t>…</w:t>
      </w:r>
      <w:r w:rsidRPr="007C27D4">
        <w:t xml:space="preserve"> подлежат разрушению.</w:t>
      </w:r>
      <w:r>
        <w:rPr>
          <w:bCs/>
        </w:rPr>
        <w:t>»</w:t>
      </w:r>
    </w:p>
    <w:p w:rsidR="007C27D4" w:rsidRPr="007C27D4" w:rsidRDefault="007C27D4" w:rsidP="007C27D4">
      <w:pPr>
        <w:pStyle w:val="HChGR"/>
      </w:pPr>
      <w:r w:rsidRPr="007C27D4">
        <w:tab/>
      </w:r>
      <w:r w:rsidRPr="007C27D4">
        <w:rPr>
          <w:lang w:val="en-GB"/>
        </w:rPr>
        <w:t>II</w:t>
      </w:r>
      <w:r w:rsidRPr="007C27D4">
        <w:t>.</w:t>
      </w:r>
      <w:r w:rsidRPr="007C27D4">
        <w:tab/>
        <w:t>Обоснование</w:t>
      </w:r>
    </w:p>
    <w:p w:rsidR="007C27D4" w:rsidRPr="007C27D4" w:rsidRDefault="007C27D4" w:rsidP="007C27D4">
      <w:pPr>
        <w:pStyle w:val="SingleTxtGR"/>
        <w:rPr>
          <w:bCs/>
        </w:rPr>
      </w:pPr>
      <w:r w:rsidRPr="007C27D4">
        <w:rPr>
          <w:bCs/>
        </w:rPr>
        <w:t>1.</w:t>
      </w:r>
      <w:r w:rsidRPr="007C27D4">
        <w:rPr>
          <w:bCs/>
        </w:rPr>
        <w:tab/>
        <w:t>К пункту 4.56: Представляется вполне очевидным, что «встроенную» защиту нельзя менять по желанию изготовителя, – ее следует полностью показать на «чертежах с конструкционными данными баллона», как описано в пункте 5.3.1 приложения 3А. Во избежание недопонимания этот момент необходимо изложить четко, как это сделано в пункте 3.10 стандарта ISO 11439.</w:t>
      </w:r>
    </w:p>
    <w:p w:rsidR="007C27D4" w:rsidRPr="007C27D4" w:rsidRDefault="007C27D4" w:rsidP="007C27D4">
      <w:pPr>
        <w:pStyle w:val="SingleTxtGR"/>
        <w:rPr>
          <w:bCs/>
        </w:rPr>
      </w:pPr>
      <w:r w:rsidRPr="007C27D4">
        <w:rPr>
          <w:bCs/>
        </w:rPr>
        <w:t>2.</w:t>
      </w:r>
      <w:r w:rsidRPr="007C27D4">
        <w:rPr>
          <w:bCs/>
        </w:rPr>
        <w:tab/>
        <w:t>К пункту 6.12 приложения 3А: В этом пункте речь идет о «системах защиты» в целом, а не только о «покрытиях». Как показали испытания, проведенные в Италии, необходимо четко указывать, что рассматриваемые здесь положения применяются к любому виду защиты, которые допускаются Правилами № 110 ООН, а не только к ограниченным видам покрытий.</w:t>
      </w:r>
    </w:p>
    <w:p w:rsidR="007C27D4" w:rsidRPr="007C27D4" w:rsidRDefault="007C27D4" w:rsidP="007C27D4">
      <w:pPr>
        <w:pStyle w:val="SingleTxtGR"/>
        <w:rPr>
          <w:bCs/>
        </w:rPr>
      </w:pPr>
      <w:r w:rsidRPr="007C27D4">
        <w:rPr>
          <w:bCs/>
        </w:rPr>
        <w:t>3.</w:t>
      </w:r>
      <w:r w:rsidRPr="007C27D4">
        <w:rPr>
          <w:bCs/>
        </w:rPr>
        <w:tab/>
        <w:t xml:space="preserve">К новому пункту 10.7.5 приложения 3А: Здесь речь идет просто об исправлении, поскольку испытание на повреждение в результате удара, которое обязательно в случае баллонов типа КПГ-4, не значится в перечне испытаний конструкции баллона на соответствие установленным требованиям, перечисленных в пункте 10.7. </w:t>
      </w:r>
    </w:p>
    <w:p w:rsidR="007C27D4" w:rsidRPr="007C27D4" w:rsidRDefault="007C27D4" w:rsidP="007C27D4">
      <w:pPr>
        <w:pStyle w:val="SingleTxtGR"/>
        <w:rPr>
          <w:bCs/>
        </w:rPr>
      </w:pPr>
      <w:r w:rsidRPr="007C27D4">
        <w:rPr>
          <w:bCs/>
        </w:rPr>
        <w:t>4.</w:t>
      </w:r>
      <w:r w:rsidRPr="007C27D4">
        <w:rPr>
          <w:bCs/>
        </w:rPr>
        <w:tab/>
        <w:t>К таблице 6.7 в приложении 3А. Прочность закруглений зависит от их конструкции (толщина, ориентация волокон, накладки для плечиков и т.</w:t>
      </w:r>
      <w:r w:rsidR="00F24738">
        <w:rPr>
          <w:bCs/>
        </w:rPr>
        <w:t> </w:t>
      </w:r>
      <w:r w:rsidRPr="007C27D4">
        <w:rPr>
          <w:bCs/>
        </w:rPr>
        <w:t>п.), а не только от их формы. Испытание на сбрасывание требуется для баллонов типа КПГ-3 и КПГ-4 с целью избежать такой ситуации, когда вследствие изменения конструкции закруглений будут изготовляться баллоны, допущенные в соответствии с Правилами</w:t>
      </w:r>
      <w:r w:rsidR="00644CA4">
        <w:rPr>
          <w:bCs/>
        </w:rPr>
        <w:t> </w:t>
      </w:r>
      <w:r w:rsidRPr="007C27D4">
        <w:rPr>
          <w:bCs/>
        </w:rPr>
        <w:t>№ 110 ООН, но не гарантирующие требуемую прочность при испытании на повреждение в результате удара, как это было обнаружено в ходе испытаний, проведенных в Италии.</w:t>
      </w:r>
    </w:p>
    <w:p w:rsidR="007C27D4" w:rsidRDefault="007C27D4" w:rsidP="007C27D4">
      <w:pPr>
        <w:pStyle w:val="SingleTxtGR"/>
        <w:rPr>
          <w:bCs/>
        </w:rPr>
      </w:pPr>
      <w:r w:rsidRPr="007C27D4">
        <w:rPr>
          <w:bCs/>
        </w:rPr>
        <w:t>5.</w:t>
      </w:r>
      <w:r w:rsidRPr="007C27D4">
        <w:rPr>
          <w:bCs/>
        </w:rPr>
        <w:tab/>
        <w:t>К пункту А.17 добавления А к приложению 3А: Совершенно очевидно, что наиболее опасной трещиной является та, которая проходит через самую слабую точку любой конструкции, и что в этом случае нет никакого смысла проверять надежность баллона методом испытания на «трещиностойкость» в самой прочной зоне баллона. Этот момент необходимо уточнить во избежание какого бы то ни было недопонимания. Как показали неисправности в процессе работы, которые проявились в Италии, это может привести к весьма опасному снижению надежности баллона. Все неисправности в процессе работы проявились в одной и той же зоне закруглений, в</w:t>
      </w:r>
      <w:r w:rsidR="00E333D2">
        <w:rPr>
          <w:bCs/>
        </w:rPr>
        <w:t> </w:t>
      </w:r>
      <w:r w:rsidRPr="007C27D4">
        <w:rPr>
          <w:bCs/>
        </w:rPr>
        <w:t>которой толщина стенки составляла около половины толщины в цилиндрической части стенки, и которая обычно никогда не подвергается испытанию на трещиностойкость композиционных материалов. Хотя уменьшение толщины и прочности закруглений приблизительно до половины толщины цилиндрической части соответствует действительности только в теории, предполагающей отсутствие трещин, все же при наличии трещин такое уменьшение недопустимо. Испытания, проведенные в Италии, показали, что неисправности в процессе работы могут происходить и что такое уменьшение приводит к тому, что самым слабым местом в баллонах КПГ-4 оказываются именно закругления. Таким образом, необходимо повысить трещиностойкость композиционных материалов и надежность баллонов типа КПГ-3 и КПГ-4, четко указав на необходимость оценки последствий образования трещин и в зоне минимальной толщины закруглений.</w:t>
      </w:r>
    </w:p>
    <w:p w:rsidR="00E12C5F" w:rsidRPr="008D53B6" w:rsidRDefault="007C27D4" w:rsidP="007C27D4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7C2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690" w:rsidRPr="00A312BC" w:rsidRDefault="002E5690" w:rsidP="00A312BC"/>
  </w:endnote>
  <w:endnote w:type="continuationSeparator" w:id="0">
    <w:p w:rsidR="002E5690" w:rsidRPr="00A312BC" w:rsidRDefault="002E569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7D4" w:rsidRPr="007C27D4" w:rsidRDefault="007C27D4">
    <w:pPr>
      <w:pStyle w:val="Footer"/>
    </w:pPr>
    <w:r w:rsidRPr="007C27D4">
      <w:rPr>
        <w:b/>
        <w:sz w:val="18"/>
      </w:rPr>
      <w:fldChar w:fldCharType="begin"/>
    </w:r>
    <w:r w:rsidRPr="007C27D4">
      <w:rPr>
        <w:b/>
        <w:sz w:val="18"/>
      </w:rPr>
      <w:instrText xml:space="preserve"> PAGE  \* MERGEFORMAT </w:instrText>
    </w:r>
    <w:r w:rsidRPr="007C27D4">
      <w:rPr>
        <w:b/>
        <w:sz w:val="18"/>
      </w:rPr>
      <w:fldChar w:fldCharType="separate"/>
    </w:r>
    <w:r w:rsidR="00302C3A">
      <w:rPr>
        <w:b/>
        <w:noProof/>
        <w:sz w:val="18"/>
      </w:rPr>
      <w:t>2</w:t>
    </w:r>
    <w:r w:rsidRPr="007C27D4">
      <w:rPr>
        <w:b/>
        <w:sz w:val="18"/>
      </w:rPr>
      <w:fldChar w:fldCharType="end"/>
    </w:r>
    <w:r>
      <w:rPr>
        <w:b/>
        <w:sz w:val="18"/>
      </w:rPr>
      <w:tab/>
    </w:r>
    <w:r>
      <w:t>GE.18-12067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7D4" w:rsidRPr="007C27D4" w:rsidRDefault="007C27D4" w:rsidP="007C27D4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GE.18-12067</w:t>
    </w:r>
    <w:r>
      <w:tab/>
    </w:r>
    <w:r w:rsidRPr="007C27D4">
      <w:rPr>
        <w:b/>
        <w:sz w:val="18"/>
      </w:rPr>
      <w:fldChar w:fldCharType="begin"/>
    </w:r>
    <w:r w:rsidRPr="007C27D4">
      <w:rPr>
        <w:b/>
        <w:sz w:val="18"/>
      </w:rPr>
      <w:instrText xml:space="preserve"> PAGE  \* MERGEFORMAT </w:instrText>
    </w:r>
    <w:r w:rsidRPr="007C27D4">
      <w:rPr>
        <w:b/>
        <w:sz w:val="18"/>
      </w:rPr>
      <w:fldChar w:fldCharType="separate"/>
    </w:r>
    <w:r w:rsidR="00302C3A">
      <w:rPr>
        <w:b/>
        <w:noProof/>
        <w:sz w:val="18"/>
      </w:rPr>
      <w:t>3</w:t>
    </w:r>
    <w:r w:rsidRPr="007C27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C27D4" w:rsidRDefault="007C27D4" w:rsidP="007C27D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18-12067  (R)</w:t>
    </w:r>
    <w:r>
      <w:rPr>
        <w:lang w:val="en-US"/>
      </w:rPr>
      <w:t xml:space="preserve">  140818  140818</w:t>
    </w:r>
    <w:r>
      <w:br/>
    </w:r>
    <w:r w:rsidRPr="007C27D4">
      <w:rPr>
        <w:rFonts w:ascii="C39T30Lfz" w:hAnsi="C39T30Lfz"/>
        <w:kern w:val="14"/>
        <w:sz w:val="56"/>
      </w:rPr>
      <w:t></w:t>
    </w:r>
    <w:r w:rsidRPr="007C27D4">
      <w:rPr>
        <w:rFonts w:ascii="C39T30Lfz" w:hAnsi="C39T30Lfz"/>
        <w:kern w:val="14"/>
        <w:sz w:val="56"/>
      </w:rPr>
      <w:t></w:t>
    </w:r>
    <w:r w:rsidRPr="007C27D4">
      <w:rPr>
        <w:rFonts w:ascii="C39T30Lfz" w:hAnsi="C39T30Lfz"/>
        <w:kern w:val="14"/>
        <w:sz w:val="56"/>
      </w:rPr>
      <w:t></w:t>
    </w:r>
    <w:r w:rsidRPr="007C27D4">
      <w:rPr>
        <w:rFonts w:ascii="C39T30Lfz" w:hAnsi="C39T30Lfz"/>
        <w:kern w:val="14"/>
        <w:sz w:val="56"/>
      </w:rPr>
      <w:t></w:t>
    </w:r>
    <w:r w:rsidRPr="007C27D4">
      <w:rPr>
        <w:rFonts w:ascii="C39T30Lfz" w:hAnsi="C39T30Lfz"/>
        <w:kern w:val="14"/>
        <w:sz w:val="56"/>
      </w:rPr>
      <w:t></w:t>
    </w:r>
    <w:r w:rsidRPr="007C27D4">
      <w:rPr>
        <w:rFonts w:ascii="C39T30Lfz" w:hAnsi="C39T30Lfz"/>
        <w:kern w:val="14"/>
        <w:sz w:val="56"/>
      </w:rPr>
      <w:t></w:t>
    </w:r>
    <w:r w:rsidRPr="007C27D4">
      <w:rPr>
        <w:rFonts w:ascii="C39T30Lfz" w:hAnsi="C39T30Lfz"/>
        <w:kern w:val="14"/>
        <w:sz w:val="56"/>
      </w:rPr>
      <w:t></w:t>
    </w:r>
    <w:r w:rsidRPr="007C27D4">
      <w:rPr>
        <w:rFonts w:ascii="C39T30Lfz" w:hAnsi="C39T30Lfz"/>
        <w:kern w:val="14"/>
        <w:sz w:val="56"/>
      </w:rPr>
      <w:t></w:t>
    </w:r>
    <w:r w:rsidRPr="007C27D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8/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690" w:rsidRPr="001075E9" w:rsidRDefault="002E569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E5690" w:rsidRDefault="002E569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C27D4" w:rsidRPr="00B14735" w:rsidRDefault="007C27D4" w:rsidP="007C27D4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C27D4">
        <w:rPr>
          <w:rStyle w:val="FootnoteReference"/>
          <w:sz w:val="20"/>
          <w:vertAlign w:val="baseline"/>
        </w:rPr>
        <w:t>*</w:t>
      </w:r>
      <w:r w:rsidRPr="00FF24EC">
        <w:tab/>
      </w:r>
      <w:r w:rsidRPr="00FF24EC">
        <w:rPr>
          <w:szCs w:val="18"/>
        </w:rPr>
        <w:t>В соответствии с программой работы Комитета по внутреннему транспорту на 2014–2018 годы (</w:t>
      </w:r>
      <w:r w:rsidRPr="00FF24EC">
        <w:rPr>
          <w:szCs w:val="18"/>
          <w:lang w:val="en-US"/>
        </w:rPr>
        <w:t>ECE</w:t>
      </w:r>
      <w:r w:rsidRPr="00FF24EC">
        <w:rPr>
          <w:szCs w:val="18"/>
        </w:rPr>
        <w:t>/</w:t>
      </w:r>
      <w:r w:rsidRPr="00FF24EC">
        <w:rPr>
          <w:szCs w:val="18"/>
          <w:lang w:val="en-US"/>
        </w:rPr>
        <w:t>TRANS</w:t>
      </w:r>
      <w:r w:rsidRPr="00FF24EC">
        <w:rPr>
          <w:szCs w:val="18"/>
        </w:rPr>
        <w:t xml:space="preserve">/240, пункт 105, и </w:t>
      </w:r>
      <w:r w:rsidRPr="00FF24EC">
        <w:rPr>
          <w:szCs w:val="18"/>
          <w:lang w:val="en-US"/>
        </w:rPr>
        <w:t>ECE</w:t>
      </w:r>
      <w:r w:rsidRPr="00FF24EC">
        <w:rPr>
          <w:szCs w:val="18"/>
        </w:rPr>
        <w:t>/</w:t>
      </w:r>
      <w:r w:rsidRPr="00FF24EC">
        <w:rPr>
          <w:szCs w:val="18"/>
          <w:lang w:val="en-US"/>
        </w:rPr>
        <w:t>TRANS</w:t>
      </w:r>
      <w:r w:rsidRPr="00FF24EC">
        <w:rPr>
          <w:szCs w:val="18"/>
        </w:rPr>
        <w:t>/201</w:t>
      </w:r>
      <w:r w:rsidR="00C14C6C">
        <w:rPr>
          <w:szCs w:val="18"/>
        </w:rPr>
        <w:t>4</w:t>
      </w:r>
      <w:r w:rsidRPr="00FF24EC">
        <w:rPr>
          <w:szCs w:val="18"/>
        </w:rPr>
        <w:t xml:space="preserve">/26, направление деятельности 02.4) Всемирный форум будет разрабатывать, согласовывать и обновлять правила ООН в целях улучшения характеристик транспортных средств. </w:t>
      </w:r>
      <w:r w:rsidRPr="007A1660">
        <w:rPr>
          <w:szCs w:val="18"/>
        </w:rPr>
        <w:t>Настоящий документ представлен в</w:t>
      </w:r>
      <w:r>
        <w:rPr>
          <w:szCs w:val="18"/>
          <w:lang w:val="en-US"/>
        </w:rPr>
        <w:t> </w:t>
      </w:r>
      <w:r w:rsidRPr="007A1660">
        <w:rPr>
          <w:szCs w:val="18"/>
        </w:rP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7D4" w:rsidRPr="007C27D4" w:rsidRDefault="00302C3A">
    <w:pPr>
      <w:pStyle w:val="Header"/>
    </w:pPr>
    <w:fldSimple w:instr=" TITLE  \* MERGEFORMAT ">
      <w:r>
        <w:t>ECE/TRANS/WP.29/GRSG/2018/16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7D4" w:rsidRPr="007C27D4" w:rsidRDefault="00302C3A" w:rsidP="007C27D4">
    <w:pPr>
      <w:pStyle w:val="Header"/>
      <w:jc w:val="right"/>
    </w:pPr>
    <w:fldSimple w:instr=" TITLE  \* MERGEFORMAT ">
      <w:r>
        <w:t>ECE/TRANS/WP.29/GRSG/2018/16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7D4" w:rsidRDefault="007C27D4" w:rsidP="007C27D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F1500F7"/>
    <w:multiLevelType w:val="hybridMultilevel"/>
    <w:tmpl w:val="43906A9C"/>
    <w:lvl w:ilvl="0" w:tplc="8A2058DC">
      <w:start w:val="1"/>
      <w:numFmt w:val="decimal"/>
      <w:lvlText w:val="%1.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7"/>
  </w:num>
  <w:num w:numId="2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9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6818"/>
    <w:rsid w:val="00180183"/>
    <w:rsid w:val="0018024D"/>
    <w:rsid w:val="0018649F"/>
    <w:rsid w:val="00195424"/>
    <w:rsid w:val="00196389"/>
    <w:rsid w:val="001B3EF6"/>
    <w:rsid w:val="001C7A89"/>
    <w:rsid w:val="001D02E5"/>
    <w:rsid w:val="00255343"/>
    <w:rsid w:val="0027151D"/>
    <w:rsid w:val="002A2EFC"/>
    <w:rsid w:val="002B0106"/>
    <w:rsid w:val="002B74B1"/>
    <w:rsid w:val="002C0E18"/>
    <w:rsid w:val="002D5AAC"/>
    <w:rsid w:val="002E5067"/>
    <w:rsid w:val="002E5690"/>
    <w:rsid w:val="002F405F"/>
    <w:rsid w:val="002F7EEC"/>
    <w:rsid w:val="00301299"/>
    <w:rsid w:val="00302C3A"/>
    <w:rsid w:val="00305C08"/>
    <w:rsid w:val="00307FB6"/>
    <w:rsid w:val="00317339"/>
    <w:rsid w:val="00322004"/>
    <w:rsid w:val="00325AC3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4CA4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18CF"/>
    <w:rsid w:val="00792497"/>
    <w:rsid w:val="007A1660"/>
    <w:rsid w:val="007C27D4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324E"/>
    <w:rsid w:val="008F03B7"/>
    <w:rsid w:val="008F7609"/>
    <w:rsid w:val="00906890"/>
    <w:rsid w:val="00911BE4"/>
    <w:rsid w:val="009506A5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1FCE"/>
    <w:rsid w:val="00B539E7"/>
    <w:rsid w:val="00B62458"/>
    <w:rsid w:val="00BA028A"/>
    <w:rsid w:val="00BC18B2"/>
    <w:rsid w:val="00BD33EE"/>
    <w:rsid w:val="00BE1CC7"/>
    <w:rsid w:val="00C106D6"/>
    <w:rsid w:val="00C119AE"/>
    <w:rsid w:val="00C14C6C"/>
    <w:rsid w:val="00C55B77"/>
    <w:rsid w:val="00C60F0C"/>
    <w:rsid w:val="00C805C9"/>
    <w:rsid w:val="00C92939"/>
    <w:rsid w:val="00CA1679"/>
    <w:rsid w:val="00CB151C"/>
    <w:rsid w:val="00CB1D92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333D2"/>
    <w:rsid w:val="00E73F76"/>
    <w:rsid w:val="00E80970"/>
    <w:rsid w:val="00EA2C9F"/>
    <w:rsid w:val="00EA420E"/>
    <w:rsid w:val="00ED0BDA"/>
    <w:rsid w:val="00EE142A"/>
    <w:rsid w:val="00EF1360"/>
    <w:rsid w:val="00EF3220"/>
    <w:rsid w:val="00F24738"/>
    <w:rsid w:val="00F2523A"/>
    <w:rsid w:val="00F43903"/>
    <w:rsid w:val="00F94155"/>
    <w:rsid w:val="00F96904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F811214-D1A6-47A9-8EB7-BEEA2E6B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7C27D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ECE/TRANS/WP.29/GRSG/2018/16</vt:lpstr>
      <vt:lpstr>ECE/TRANS/WP.29/GRSG/2018/16</vt:lpstr>
      <vt:lpstr>A/</vt:lpstr>
    </vt:vector>
  </TitlesOfParts>
  <Company>DCM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ECE/TRANS/WP.29/GRSG/2018/16</dc:title>
  <dc:subject/>
  <dc:creator>Olga OVTCHINNIKOVA</dc:creator>
  <cp:keywords/>
  <cp:lastModifiedBy>Secretariat</cp:lastModifiedBy>
  <cp:revision>2</cp:revision>
  <cp:lastPrinted>2018-08-14T14:08:00Z</cp:lastPrinted>
  <dcterms:created xsi:type="dcterms:W3CDTF">2018-08-28T12:50:00Z</dcterms:created>
  <dcterms:modified xsi:type="dcterms:W3CDTF">2018-08-28T12:50:00Z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