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11AB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11AB6" w:rsidP="00D11AB6">
            <w:pPr>
              <w:jc w:val="right"/>
            </w:pPr>
            <w:r w:rsidRPr="00D11AB6">
              <w:rPr>
                <w:sz w:val="40"/>
              </w:rPr>
              <w:t>ECE</w:t>
            </w:r>
            <w:r>
              <w:t>/TRANS/WP.29/GRSG/2018/16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11AB6" w:rsidP="00C97039">
            <w:pPr>
              <w:spacing w:before="240"/>
            </w:pPr>
            <w:r>
              <w:t>Distr. générale</w:t>
            </w:r>
          </w:p>
          <w:p w:rsidR="00D11AB6" w:rsidRDefault="00D11AB6" w:rsidP="00D11AB6">
            <w:pPr>
              <w:spacing w:line="240" w:lineRule="exact"/>
            </w:pPr>
            <w:r>
              <w:t>20 juillet 2018</w:t>
            </w:r>
          </w:p>
          <w:p w:rsidR="00D11AB6" w:rsidRDefault="00D11AB6" w:rsidP="00D11AB6">
            <w:pPr>
              <w:spacing w:line="240" w:lineRule="exact"/>
            </w:pPr>
            <w:r>
              <w:t>Français</w:t>
            </w:r>
          </w:p>
          <w:p w:rsidR="00D11AB6" w:rsidRPr="00DB58B5" w:rsidRDefault="00D11AB6" w:rsidP="00D11AB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8632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11AB6" w:rsidRDefault="00D11AB6" w:rsidP="00AF0CB5">
      <w:pPr>
        <w:spacing w:before="120"/>
        <w:rPr>
          <w:b/>
          <w:sz w:val="24"/>
          <w:szCs w:val="24"/>
        </w:rPr>
      </w:pPr>
      <w:r w:rsidRPr="00685843">
        <w:rPr>
          <w:b/>
          <w:sz w:val="24"/>
          <w:szCs w:val="24"/>
        </w:rPr>
        <w:t>Forum mondial de l</w:t>
      </w:r>
      <w:r w:rsidR="0008632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11AB6" w:rsidRDefault="00D11AB6" w:rsidP="00257168">
      <w:pPr>
        <w:spacing w:before="120" w:after="120" w:line="240" w:lineRule="exact"/>
        <w:rPr>
          <w:b/>
        </w:rPr>
      </w:pPr>
      <w:r>
        <w:rPr>
          <w:b/>
        </w:rPr>
        <w:t>Groupe de travail des dispositions générales de sécurité</w:t>
      </w:r>
    </w:p>
    <w:p w:rsidR="00D11AB6" w:rsidRDefault="00D11AB6" w:rsidP="00257168">
      <w:pPr>
        <w:spacing w:before="120" w:line="240" w:lineRule="exact"/>
        <w:rPr>
          <w:b/>
        </w:rPr>
      </w:pPr>
      <w:r>
        <w:rPr>
          <w:b/>
        </w:rPr>
        <w:t>115</w:t>
      </w:r>
      <w:r w:rsidRPr="00D11AB6">
        <w:rPr>
          <w:b/>
          <w:vertAlign w:val="superscript"/>
        </w:rPr>
        <w:t>e</w:t>
      </w:r>
      <w:r>
        <w:rPr>
          <w:b/>
        </w:rPr>
        <w:t xml:space="preserve"> session</w:t>
      </w:r>
    </w:p>
    <w:p w:rsidR="00D11AB6" w:rsidRDefault="00D11AB6" w:rsidP="00257168">
      <w:pPr>
        <w:spacing w:line="240" w:lineRule="exact"/>
      </w:pPr>
      <w:r>
        <w:t xml:space="preserve">Genève, </w:t>
      </w:r>
      <w:r w:rsidRPr="00B729DF">
        <w:t>9-12 octobre 2018</w:t>
      </w:r>
    </w:p>
    <w:p w:rsidR="00D11AB6" w:rsidRDefault="00D11AB6" w:rsidP="00257168">
      <w:pPr>
        <w:spacing w:line="240" w:lineRule="exact"/>
      </w:pPr>
      <w:r>
        <w:t xml:space="preserve">Point </w:t>
      </w:r>
      <w:r w:rsidRPr="00B729DF">
        <w:t>9 b)</w:t>
      </w:r>
      <w:r>
        <w:t xml:space="preserve"> de l</w:t>
      </w:r>
      <w:r w:rsidR="0008632C">
        <w:t>’</w:t>
      </w:r>
      <w:r>
        <w:t>ordre du jour provisoire</w:t>
      </w:r>
    </w:p>
    <w:p w:rsidR="00F9573C" w:rsidRDefault="00D11AB6" w:rsidP="00D11AB6">
      <w:pPr>
        <w:rPr>
          <w:b/>
        </w:rPr>
      </w:pPr>
      <w:r w:rsidRPr="00D11AB6">
        <w:rPr>
          <w:b/>
        </w:rPr>
        <w:t>Amendements aux Règlements concer</w:t>
      </w:r>
      <w:r>
        <w:rPr>
          <w:b/>
        </w:rPr>
        <w:t>nant les véhicules fonctionnant</w:t>
      </w:r>
      <w:r>
        <w:rPr>
          <w:b/>
        </w:rPr>
        <w:br/>
      </w:r>
      <w:r w:rsidRPr="00D11AB6">
        <w:rPr>
          <w:b/>
        </w:rPr>
        <w:t>au gaz : Règlement ONU n</w:t>
      </w:r>
      <w:r w:rsidRPr="00D11AB6">
        <w:rPr>
          <w:b/>
          <w:vertAlign w:val="superscript"/>
        </w:rPr>
        <w:t>o</w:t>
      </w:r>
      <w:r w:rsidRPr="00D11AB6">
        <w:rPr>
          <w:b/>
        </w:rPr>
        <w:t> 110 (Véhicules alimentés au GNC/GNL)</w:t>
      </w:r>
    </w:p>
    <w:p w:rsidR="00924A33" w:rsidRPr="00B729DF" w:rsidRDefault="00924A33" w:rsidP="00924A33">
      <w:pPr>
        <w:pStyle w:val="HChG"/>
        <w:rPr>
          <w:lang w:val="fr-FR"/>
        </w:rPr>
      </w:pPr>
      <w:r w:rsidRPr="00B729DF">
        <w:rPr>
          <w:sz w:val="26"/>
          <w:szCs w:val="26"/>
        </w:rPr>
        <w:tab/>
      </w:r>
      <w:r w:rsidRPr="00B729DF">
        <w:rPr>
          <w:sz w:val="26"/>
          <w:szCs w:val="26"/>
        </w:rPr>
        <w:tab/>
      </w:r>
      <w:r w:rsidRPr="00924A33">
        <w:t>Proposition</w:t>
      </w:r>
      <w:r w:rsidRPr="00B729DF">
        <w:rPr>
          <w:lang w:val="fr-FR"/>
        </w:rPr>
        <w:t xml:space="preserve"> d</w:t>
      </w:r>
      <w:r w:rsidR="0008632C">
        <w:rPr>
          <w:lang w:val="fr-FR"/>
        </w:rPr>
        <w:t>’</w:t>
      </w:r>
      <w:r w:rsidRPr="00B729DF">
        <w:rPr>
          <w:lang w:val="fr-FR"/>
        </w:rPr>
        <w:t>amendements au Règlement ONU n</w:t>
      </w:r>
      <w:r w:rsidRPr="00B729DF">
        <w:rPr>
          <w:vertAlign w:val="superscript"/>
          <w:lang w:val="fr-FR"/>
        </w:rPr>
        <w:t>o</w:t>
      </w:r>
      <w:r w:rsidRPr="00B729DF">
        <w:rPr>
          <w:lang w:val="fr-FR"/>
        </w:rPr>
        <w:t xml:space="preserve"> 110 </w:t>
      </w:r>
      <w:r w:rsidRPr="00B729DF">
        <w:rPr>
          <w:lang w:val="fr-FR"/>
        </w:rPr>
        <w:br/>
        <w:t>(Véhicules alimentés au GNC/GNL)</w:t>
      </w:r>
    </w:p>
    <w:p w:rsidR="00924A33" w:rsidRDefault="00924A33" w:rsidP="00924A33">
      <w:pPr>
        <w:pStyle w:val="H1G"/>
        <w:rPr>
          <w:b w:val="0"/>
          <w:sz w:val="20"/>
        </w:rPr>
      </w:pPr>
      <w:r w:rsidRPr="00B729DF">
        <w:rPr>
          <w:lang w:val="fr-FR"/>
        </w:rPr>
        <w:tab/>
      </w:r>
      <w:r w:rsidRPr="00B729DF">
        <w:rPr>
          <w:lang w:val="fr-FR"/>
        </w:rPr>
        <w:tab/>
      </w:r>
      <w:r w:rsidRPr="00B729DF">
        <w:t>Communication de l</w:t>
      </w:r>
      <w:r w:rsidR="0008632C">
        <w:t>’</w:t>
      </w:r>
      <w:r w:rsidRPr="00B729DF">
        <w:t>expert de l</w:t>
      </w:r>
      <w:r w:rsidR="0008632C">
        <w:t>’</w:t>
      </w:r>
      <w:r w:rsidRPr="00B729DF">
        <w:t>Italie</w:t>
      </w:r>
      <w:r w:rsidRPr="00924A33">
        <w:rPr>
          <w:b w:val="0"/>
          <w:sz w:val="20"/>
        </w:rPr>
        <w:footnoteReference w:customMarkFollows="1" w:id="2"/>
        <w:t>*</w:t>
      </w:r>
    </w:p>
    <w:p w:rsidR="00E67DF1" w:rsidRDefault="00924A33" w:rsidP="00BF0D4C">
      <w:pPr>
        <w:pStyle w:val="SingleTxtG"/>
        <w:ind w:firstLine="567"/>
      </w:pPr>
      <w:r w:rsidRPr="00B729DF">
        <w:t>Le texte ci-après, établi par l</w:t>
      </w:r>
      <w:r w:rsidR="0008632C">
        <w:t>’</w:t>
      </w:r>
      <w:r w:rsidRPr="00B729DF">
        <w:t>expert de l</w:t>
      </w:r>
      <w:r w:rsidR="0008632C">
        <w:t>’</w:t>
      </w:r>
      <w:r w:rsidRPr="00B729DF">
        <w:t>Italie, vise à modifier l</w:t>
      </w:r>
      <w:r w:rsidR="0008632C">
        <w:t>’</w:t>
      </w:r>
      <w:r w:rsidRPr="00B729DF">
        <w:t>annexe 3A du Règlement en ce qui concerne les prescriptions d</w:t>
      </w:r>
      <w:r w:rsidR="0008632C">
        <w:t>’</w:t>
      </w:r>
      <w:r w:rsidRPr="00B729DF">
        <w:t>essai pour les bouteilles de gaz naturel comprimé (GNC) afin d</w:t>
      </w:r>
      <w:r w:rsidR="0008632C">
        <w:t>’</w:t>
      </w:r>
      <w:r w:rsidRPr="00B729DF">
        <w:t>éviter les défaillances structurelles pendant la durée de vie en service de ces récipients. Il est fondé sur le document ECE/TRANS/WP.29/GRSG/2017/29 examiné au cours des 113</w:t>
      </w:r>
      <w:r w:rsidRPr="00B729DF">
        <w:rPr>
          <w:vertAlign w:val="superscript"/>
        </w:rPr>
        <w:t>e</w:t>
      </w:r>
      <w:r w:rsidRPr="00B729DF">
        <w:t xml:space="preserve"> et 114</w:t>
      </w:r>
      <w:r w:rsidRPr="00B729DF">
        <w:rPr>
          <w:vertAlign w:val="superscript"/>
        </w:rPr>
        <w:t>e</w:t>
      </w:r>
      <w:r w:rsidR="00E67DF1">
        <w:t> </w:t>
      </w:r>
      <w:r w:rsidRPr="00B729DF">
        <w:t>sessions du Groupe de travail des dispositions générales de sécurité (GRSG) (voir les rapports ECE/TRANS/WP.29/GRSG/92, par. 40, et ECE/TRANS/</w:t>
      </w:r>
      <w:r w:rsidR="00E67DF1">
        <w:t xml:space="preserve"> </w:t>
      </w:r>
      <w:r w:rsidRPr="00B729DF">
        <w:t>WP.29/GRSG/93, par. 31). Il a également été révisé comme suite aux discussions de l</w:t>
      </w:r>
      <w:r w:rsidR="0008632C">
        <w:t>’</w:t>
      </w:r>
      <w:bookmarkStart w:id="1" w:name="hit1"/>
      <w:bookmarkEnd w:id="1"/>
      <w:r w:rsidRPr="00B729DF">
        <w:t xml:space="preserve">équipe </w:t>
      </w:r>
      <w:bookmarkStart w:id="2" w:name="hit2"/>
      <w:bookmarkEnd w:id="2"/>
      <w:r w:rsidRPr="00B729DF">
        <w:t xml:space="preserve">spéciale </w:t>
      </w:r>
      <w:bookmarkStart w:id="3" w:name="hit3"/>
      <w:bookmarkEnd w:id="3"/>
      <w:r w:rsidRPr="00B729DF">
        <w:t xml:space="preserve">des règlements concernant les </w:t>
      </w:r>
      <w:bookmarkStart w:id="4" w:name="hit4"/>
      <w:bookmarkEnd w:id="4"/>
      <w:r w:rsidRPr="00B729DF">
        <w:t xml:space="preserve">véhicules </w:t>
      </w:r>
      <w:bookmarkStart w:id="5" w:name="hit5"/>
      <w:bookmarkEnd w:id="5"/>
      <w:r w:rsidRPr="00B729DF">
        <w:t xml:space="preserve">fonctionnant </w:t>
      </w:r>
      <w:bookmarkStart w:id="6" w:name="hit6"/>
      <w:bookmarkEnd w:id="6"/>
      <w:r w:rsidRPr="00B729DF">
        <w:t xml:space="preserve">au </w:t>
      </w:r>
      <w:bookmarkStart w:id="7" w:name="hit_last"/>
      <w:bookmarkEnd w:id="7"/>
      <w:r w:rsidRPr="00B729DF">
        <w:t>gaz. Les modifications qu</w:t>
      </w:r>
      <w:r w:rsidR="0008632C">
        <w:t>’</w:t>
      </w:r>
      <w:r w:rsidRPr="00B729DF">
        <w:t>il est proposé d</w:t>
      </w:r>
      <w:r w:rsidR="0008632C">
        <w:t>’</w:t>
      </w:r>
      <w:r w:rsidRPr="00B729DF">
        <w:t>apporter au texte actuel du Règlement ONU n</w:t>
      </w:r>
      <w:r w:rsidRPr="00B729DF">
        <w:rPr>
          <w:vertAlign w:val="superscript"/>
        </w:rPr>
        <w:t>o</w:t>
      </w:r>
      <w:r w:rsidRPr="00B729DF">
        <w:t> 110 figurent en caractères gras pour les ajouts et biffés pour les suppressions.</w:t>
      </w:r>
    </w:p>
    <w:p w:rsidR="00E67DF1" w:rsidRPr="00B729DF" w:rsidRDefault="00E67DF1" w:rsidP="00E174AA">
      <w:pPr>
        <w:pStyle w:val="HChG"/>
      </w:pPr>
      <w:r>
        <w:br w:type="page"/>
      </w:r>
      <w:r w:rsidR="00E174AA">
        <w:lastRenderedPageBreak/>
        <w:tab/>
      </w:r>
      <w:r w:rsidRPr="00B729DF">
        <w:t>I.</w:t>
      </w:r>
      <w:r w:rsidRPr="00B729DF">
        <w:tab/>
        <w:t>Proposition</w:t>
      </w:r>
    </w:p>
    <w:p w:rsidR="00E67DF1" w:rsidRPr="0008632C" w:rsidRDefault="00E67DF1" w:rsidP="0008632C">
      <w:pPr>
        <w:pStyle w:val="SingleTxtG"/>
      </w:pPr>
      <w:r w:rsidRPr="0008632C">
        <w:rPr>
          <w:i/>
        </w:rPr>
        <w:t>Paragraphe 4.56</w:t>
      </w:r>
      <w:r w:rsidRPr="0008632C">
        <w:t>, modifier comme suit :</w:t>
      </w:r>
    </w:p>
    <w:p w:rsidR="00E67DF1" w:rsidRPr="00B729DF" w:rsidRDefault="00E67DF1" w:rsidP="00E174AA">
      <w:pPr>
        <w:pStyle w:val="SingleTxtG"/>
        <w:ind w:left="2268" w:hanging="1134"/>
        <w:rPr>
          <w:i/>
        </w:rPr>
      </w:pPr>
      <w:r w:rsidRPr="00B729DF">
        <w:t>« 4.56</w:t>
      </w:r>
      <w:r w:rsidRPr="00B729DF">
        <w:tab/>
        <w:t xml:space="preserve">Par </w:t>
      </w:r>
      <w:r w:rsidR="00BF0D4C" w:rsidRPr="00BF0D4C">
        <w:t>“</w:t>
      </w:r>
      <w:r w:rsidRPr="00B729DF">
        <w:rPr>
          <w:i/>
        </w:rPr>
        <w:t>bouteilles finies</w:t>
      </w:r>
      <w:r w:rsidR="00BF0D4C" w:rsidRPr="00BF0D4C">
        <w:t>”</w:t>
      </w:r>
      <w:r w:rsidRPr="00B729DF">
        <w:t>, des bouteilles terminées et prêtes à être utilisées, représentatives d</w:t>
      </w:r>
      <w:r w:rsidR="0008632C">
        <w:t>’</w:t>
      </w:r>
      <w:r w:rsidRPr="00B729DF">
        <w:t>une production normale et comportant des marques d</w:t>
      </w:r>
      <w:r w:rsidR="0008632C">
        <w:t>’</w:t>
      </w:r>
      <w:r w:rsidRPr="00B729DF">
        <w:t>identification ainsi qu</w:t>
      </w:r>
      <w:r w:rsidR="0008632C">
        <w:t>’</w:t>
      </w:r>
      <w:r w:rsidRPr="00B729DF">
        <w:t>un revêtement extérieur comprenant l</w:t>
      </w:r>
      <w:r w:rsidR="0008632C">
        <w:t>’</w:t>
      </w:r>
      <w:r w:rsidRPr="00B729DF">
        <w:t xml:space="preserve">isolation </w:t>
      </w:r>
      <w:r w:rsidRPr="00B729DF">
        <w:rPr>
          <w:b/>
        </w:rPr>
        <w:t>et/ou la protection intégrées</w:t>
      </w:r>
      <w:r w:rsidRPr="00B729DF">
        <w:t xml:space="preserve"> </w:t>
      </w:r>
      <w:r w:rsidRPr="00B729DF">
        <w:rPr>
          <w:b/>
        </w:rPr>
        <w:t>spécifiées</w:t>
      </w:r>
      <w:r w:rsidRPr="00B729DF">
        <w:t xml:space="preserve"> par le fabricant </w:t>
      </w:r>
      <w:r w:rsidRPr="00B729DF">
        <w:rPr>
          <w:b/>
        </w:rPr>
        <w:t>sur le plan de conception de la bouteille</w:t>
      </w:r>
      <w:r w:rsidRPr="00B729DF">
        <w:t>, mais exempt d</w:t>
      </w:r>
      <w:r w:rsidR="0008632C">
        <w:t>’</w:t>
      </w:r>
      <w:r w:rsidRPr="00B729DF">
        <w:t>isolation ou de protection non intégrée. ».</w:t>
      </w:r>
    </w:p>
    <w:p w:rsidR="00E67DF1" w:rsidRPr="00B729DF" w:rsidRDefault="00E67DF1" w:rsidP="00E97741">
      <w:pPr>
        <w:pStyle w:val="SingleTxtG"/>
        <w:rPr>
          <w:i/>
        </w:rPr>
      </w:pPr>
      <w:r w:rsidRPr="00B729DF">
        <w:rPr>
          <w:i/>
        </w:rPr>
        <w:t>Annexe 3A</w:t>
      </w:r>
    </w:p>
    <w:p w:rsidR="00E67DF1" w:rsidRPr="00B729DF" w:rsidRDefault="00E67DF1" w:rsidP="00E97741">
      <w:pPr>
        <w:pStyle w:val="SingleTxtG"/>
        <w:rPr>
          <w:spacing w:val="1"/>
          <w:w w:val="103"/>
        </w:rPr>
      </w:pPr>
      <w:r w:rsidRPr="00B729DF">
        <w:rPr>
          <w:i/>
        </w:rPr>
        <w:t>Pa</w:t>
      </w:r>
      <w:r w:rsidRPr="00B729DF">
        <w:rPr>
          <w:i/>
          <w:spacing w:val="1"/>
        </w:rPr>
        <w:t>r</w:t>
      </w:r>
      <w:r w:rsidRPr="00B729DF">
        <w:rPr>
          <w:i/>
          <w:spacing w:val="-1"/>
        </w:rPr>
        <w:t>a</w:t>
      </w:r>
      <w:r w:rsidRPr="00B729DF">
        <w:rPr>
          <w:i/>
          <w:spacing w:val="1"/>
        </w:rPr>
        <w:t>g</w:t>
      </w:r>
      <w:r w:rsidRPr="00B729DF">
        <w:rPr>
          <w:i/>
        </w:rPr>
        <w:t>ra</w:t>
      </w:r>
      <w:r w:rsidRPr="00B729DF">
        <w:rPr>
          <w:i/>
          <w:spacing w:val="1"/>
        </w:rPr>
        <w:t>p</w:t>
      </w:r>
      <w:r w:rsidRPr="00B729DF">
        <w:rPr>
          <w:i/>
        </w:rPr>
        <w:t>he</w:t>
      </w:r>
      <w:r w:rsidRPr="00B729DF">
        <w:rPr>
          <w:i/>
          <w:spacing w:val="28"/>
        </w:rPr>
        <w:t xml:space="preserve"> 6</w:t>
      </w:r>
      <w:r w:rsidRPr="00B729DF">
        <w:rPr>
          <w:i/>
        </w:rPr>
        <w:t>.12</w:t>
      </w:r>
      <w:r w:rsidRPr="004A7155">
        <w:t>,</w:t>
      </w:r>
      <w:r w:rsidRPr="00B729DF">
        <w:rPr>
          <w:i/>
          <w:spacing w:val="23"/>
        </w:rPr>
        <w:t xml:space="preserve"> </w:t>
      </w:r>
      <w:r w:rsidRPr="00B729DF">
        <w:rPr>
          <w:spacing w:val="2"/>
        </w:rPr>
        <w:t>modifier comme suit </w:t>
      </w:r>
      <w:r w:rsidRPr="00B729DF">
        <w:rPr>
          <w:spacing w:val="1"/>
          <w:w w:val="103"/>
        </w:rPr>
        <w:t>:</w:t>
      </w:r>
    </w:p>
    <w:p w:rsidR="00E67DF1" w:rsidRPr="00B729DF" w:rsidRDefault="00E67DF1" w:rsidP="00E97741">
      <w:pPr>
        <w:pStyle w:val="SingleTxtG"/>
        <w:ind w:left="2268" w:hanging="1134"/>
        <w:rPr>
          <w:rFonts w:eastAsia="MS Mincho"/>
          <w:bCs/>
          <w:spacing w:val="-2"/>
          <w:lang w:eastAsia="ja-JP"/>
        </w:rPr>
      </w:pPr>
      <w:r w:rsidRPr="00B729DF">
        <w:rPr>
          <w:rFonts w:eastAsia="MS Mincho"/>
          <w:bCs/>
          <w:spacing w:val="-2"/>
          <w:lang w:eastAsia="ja-JP"/>
        </w:rPr>
        <w:t>« 6.12</w:t>
      </w:r>
      <w:r w:rsidRPr="00B729DF">
        <w:rPr>
          <w:rFonts w:eastAsia="MS Mincho"/>
          <w:bCs/>
          <w:spacing w:val="-2"/>
          <w:lang w:eastAsia="ja-JP"/>
        </w:rPr>
        <w:tab/>
        <w:t>Protection extérieure</w:t>
      </w:r>
    </w:p>
    <w:p w:rsidR="00E67DF1" w:rsidRPr="00B729DF" w:rsidRDefault="00E67DF1" w:rsidP="005F4C16">
      <w:pPr>
        <w:pStyle w:val="SingleTxtG"/>
        <w:ind w:left="2268"/>
        <w:rPr>
          <w:rFonts w:eastAsia="MS Mincho"/>
          <w:bCs/>
          <w:spacing w:val="-2"/>
          <w:lang w:eastAsia="ja-JP"/>
        </w:rPr>
      </w:pPr>
      <w:r w:rsidRPr="00B729DF">
        <w:rPr>
          <w:rFonts w:eastAsia="MS Mincho"/>
          <w:bCs/>
          <w:spacing w:val="-2"/>
          <w:lang w:eastAsia="ja-JP"/>
        </w:rPr>
        <w:tab/>
        <w:t>La partie extérieure</w:t>
      </w:r>
      <w:r w:rsidR="00E97741">
        <w:rPr>
          <w:rFonts w:eastAsia="MS Mincho"/>
          <w:bCs/>
          <w:spacing w:val="-2"/>
          <w:lang w:eastAsia="ja-JP"/>
        </w:rPr>
        <w:t>…</w:t>
      </w:r>
    </w:p>
    <w:p w:rsidR="00E67DF1" w:rsidRPr="00B729DF" w:rsidRDefault="00E67DF1" w:rsidP="004A7155">
      <w:pPr>
        <w:pStyle w:val="SingleTxtG"/>
        <w:ind w:left="2835" w:hanging="567"/>
        <w:rPr>
          <w:lang w:eastAsia="ja-JP"/>
        </w:rPr>
      </w:pPr>
      <w:r w:rsidRPr="00B729DF">
        <w:rPr>
          <w:lang w:eastAsia="ja-JP"/>
        </w:rPr>
        <w:t>c)</w:t>
      </w:r>
      <w:r w:rsidRPr="00B729DF">
        <w:rPr>
          <w:lang w:eastAsia="ja-JP"/>
        </w:rPr>
        <w:tab/>
        <w:t>Un revêtement de protection … paragraphe 9 de l</w:t>
      </w:r>
      <w:r w:rsidR="0008632C">
        <w:rPr>
          <w:lang w:eastAsia="ja-JP"/>
        </w:rPr>
        <w:t>’</w:t>
      </w:r>
      <w:r w:rsidRPr="00B729DF">
        <w:rPr>
          <w:lang w:eastAsia="ja-JP"/>
        </w:rPr>
        <w:t>appendice A à la présente annexe.</w:t>
      </w:r>
    </w:p>
    <w:p w:rsidR="00E67DF1" w:rsidRPr="00B729DF" w:rsidRDefault="00E67DF1" w:rsidP="00DB17B8">
      <w:pPr>
        <w:pStyle w:val="SingleTxtG"/>
        <w:ind w:left="2268"/>
        <w:rPr>
          <w:rFonts w:eastAsia="MS Mincho"/>
          <w:bCs/>
          <w:spacing w:val="-2"/>
          <w:lang w:eastAsia="ja-JP"/>
        </w:rPr>
      </w:pPr>
      <w:r w:rsidRPr="00B729DF">
        <w:rPr>
          <w:rFonts w:eastAsia="MS Mincho"/>
          <w:bCs/>
          <w:spacing w:val="-2"/>
          <w:lang w:eastAsia="ja-JP"/>
        </w:rPr>
        <w:tab/>
        <w:t xml:space="preserve">Tout revêtement </w:t>
      </w:r>
      <w:r w:rsidRPr="00B729DF">
        <w:rPr>
          <w:rFonts w:eastAsia="MS Mincho"/>
          <w:b/>
          <w:bCs/>
          <w:spacing w:val="-2"/>
          <w:lang w:eastAsia="ja-JP"/>
        </w:rPr>
        <w:t>ou toute protection</w:t>
      </w:r>
      <w:r w:rsidRPr="00B729DF">
        <w:rPr>
          <w:rFonts w:eastAsia="MS Mincho"/>
          <w:bCs/>
          <w:spacing w:val="-2"/>
          <w:lang w:eastAsia="ja-JP"/>
        </w:rPr>
        <w:t xml:space="preserve"> appliqué</w:t>
      </w:r>
      <w:r w:rsidRPr="00B729DF">
        <w:rPr>
          <w:rFonts w:eastAsia="MS Mincho"/>
          <w:b/>
          <w:bCs/>
          <w:spacing w:val="-2"/>
          <w:lang w:eastAsia="ja-JP"/>
        </w:rPr>
        <w:t>s</w:t>
      </w:r>
      <w:r w:rsidRPr="00B729DF">
        <w:rPr>
          <w:rFonts w:eastAsia="MS Mincho"/>
          <w:bCs/>
          <w:spacing w:val="-2"/>
          <w:lang w:eastAsia="ja-JP"/>
        </w:rPr>
        <w:t xml:space="preserve"> sur les bouteilles </w:t>
      </w:r>
      <w:r w:rsidRPr="00B729DF">
        <w:rPr>
          <w:rFonts w:eastAsia="MS Mincho"/>
          <w:bCs/>
          <w:strike/>
          <w:spacing w:val="-2"/>
          <w:lang w:eastAsia="ja-JP"/>
        </w:rPr>
        <w:t>doit</w:t>
      </w:r>
      <w:r w:rsidR="00346876">
        <w:rPr>
          <w:rFonts w:eastAsia="MS Mincho"/>
          <w:bCs/>
          <w:strike/>
          <w:spacing w:val="-2"/>
          <w:lang w:eastAsia="ja-JP"/>
        </w:rPr>
        <w:t xml:space="preserve"> </w:t>
      </w:r>
      <w:r w:rsidRPr="00B729DF">
        <w:rPr>
          <w:rFonts w:eastAsia="MS Mincho"/>
          <w:b/>
          <w:bCs/>
          <w:spacing w:val="-2"/>
          <w:lang w:eastAsia="ja-JP"/>
        </w:rPr>
        <w:t>doivent</w:t>
      </w:r>
      <w:r w:rsidRPr="00B729DF">
        <w:rPr>
          <w:rFonts w:eastAsia="MS Mincho"/>
          <w:bCs/>
          <w:spacing w:val="-2"/>
          <w:lang w:eastAsia="ja-JP"/>
        </w:rPr>
        <w:t xml:space="preserve"> être conçu</w:t>
      </w:r>
      <w:r w:rsidRPr="00B729DF">
        <w:rPr>
          <w:rFonts w:eastAsia="MS Mincho"/>
          <w:b/>
          <w:bCs/>
          <w:spacing w:val="-2"/>
          <w:lang w:eastAsia="ja-JP"/>
        </w:rPr>
        <w:t>s</w:t>
      </w:r>
      <w:r w:rsidRPr="00B729DF">
        <w:rPr>
          <w:rFonts w:eastAsia="MS Mincho"/>
          <w:bCs/>
          <w:spacing w:val="-2"/>
          <w:lang w:eastAsia="ja-JP"/>
        </w:rPr>
        <w:t xml:space="preserve"> de manière à ne pas altérer les propriétés mécaniques de la bouteille. </w:t>
      </w:r>
      <w:r w:rsidRPr="00B729DF">
        <w:rPr>
          <w:rFonts w:eastAsia="MS Mincho"/>
          <w:bCs/>
          <w:strike/>
          <w:spacing w:val="-2"/>
          <w:lang w:eastAsia="ja-JP"/>
        </w:rPr>
        <w:t>Il doit</w:t>
      </w:r>
      <w:r w:rsidR="00346876">
        <w:rPr>
          <w:rFonts w:eastAsia="MS Mincho"/>
          <w:bCs/>
          <w:strike/>
          <w:spacing w:val="-2"/>
          <w:lang w:eastAsia="ja-JP"/>
        </w:rPr>
        <w:t xml:space="preserve"> </w:t>
      </w:r>
      <w:r w:rsidRPr="00B729DF">
        <w:rPr>
          <w:rFonts w:eastAsia="MS Mincho"/>
          <w:b/>
          <w:bCs/>
          <w:spacing w:val="-2"/>
          <w:lang w:eastAsia="ja-JP"/>
        </w:rPr>
        <w:t xml:space="preserve">Le revêtement ou la protection doivent </w:t>
      </w:r>
      <w:r w:rsidRPr="00B729DF">
        <w:rPr>
          <w:rFonts w:eastAsia="MS Mincho"/>
          <w:bCs/>
          <w:spacing w:val="-2"/>
          <w:lang w:eastAsia="ja-JP"/>
        </w:rPr>
        <w:t>en outre être conçu</w:t>
      </w:r>
      <w:r w:rsidRPr="00B729DF">
        <w:rPr>
          <w:rFonts w:eastAsia="MS Mincho"/>
          <w:b/>
          <w:bCs/>
          <w:spacing w:val="-2"/>
          <w:lang w:eastAsia="ja-JP"/>
        </w:rPr>
        <w:t>s</w:t>
      </w:r>
      <w:r w:rsidRPr="00B729DF">
        <w:rPr>
          <w:rFonts w:eastAsia="MS Mincho"/>
          <w:bCs/>
          <w:spacing w:val="-2"/>
          <w:lang w:eastAsia="ja-JP"/>
        </w:rPr>
        <w:t xml:space="preserve"> de manière à faciliter les contrôles ultérieurs durant la période d</w:t>
      </w:r>
      <w:r w:rsidR="0008632C">
        <w:rPr>
          <w:rFonts w:eastAsia="MS Mincho"/>
          <w:bCs/>
          <w:spacing w:val="-2"/>
          <w:lang w:eastAsia="ja-JP"/>
        </w:rPr>
        <w:t>’</w:t>
      </w:r>
      <w:r w:rsidRPr="00B729DF">
        <w:rPr>
          <w:rFonts w:eastAsia="MS Mincho"/>
          <w:bCs/>
          <w:spacing w:val="-2"/>
          <w:lang w:eastAsia="ja-JP"/>
        </w:rPr>
        <w:t>utilisation, et le fabricant doit indiquer les précautions à prendre au cours des contrôles afin de maintenir l</w:t>
      </w:r>
      <w:r w:rsidR="0008632C">
        <w:rPr>
          <w:rFonts w:eastAsia="MS Mincho"/>
          <w:bCs/>
          <w:spacing w:val="-2"/>
          <w:lang w:eastAsia="ja-JP"/>
        </w:rPr>
        <w:t>’</w:t>
      </w:r>
      <w:r w:rsidRPr="00B729DF">
        <w:rPr>
          <w:rFonts w:eastAsia="MS Mincho"/>
          <w:bCs/>
          <w:spacing w:val="-2"/>
          <w:lang w:eastAsia="ja-JP"/>
        </w:rPr>
        <w:t>intégrité de la bouteille.</w:t>
      </w:r>
    </w:p>
    <w:p w:rsidR="00E67DF1" w:rsidRPr="00B729DF" w:rsidRDefault="00E67DF1" w:rsidP="00DB17B8">
      <w:pPr>
        <w:pStyle w:val="SingleTxtG"/>
        <w:ind w:left="2268"/>
        <w:rPr>
          <w:b/>
          <w:bCs/>
        </w:rPr>
      </w:pPr>
      <w:r w:rsidRPr="00B729DF">
        <w:rPr>
          <w:rFonts w:eastAsia="MS Mincho"/>
          <w:bCs/>
          <w:spacing w:val="-2"/>
          <w:lang w:eastAsia="ja-JP"/>
        </w:rPr>
        <w:tab/>
      </w:r>
      <w:r w:rsidRPr="00B729DF">
        <w:t>Les fabricants sont informés que l</w:t>
      </w:r>
      <w:r w:rsidR="0008632C">
        <w:t>’</w:t>
      </w:r>
      <w:r w:rsidRPr="00B729DF">
        <w:t>appendice</w:t>
      </w:r>
      <w:r w:rsidR="00DB17B8">
        <w:t> </w:t>
      </w:r>
      <w:r w:rsidRPr="00B729DF">
        <w:t>H de la présente annexe</w:t>
      </w:r>
      <w:r w:rsidR="00346876">
        <w:t>..</w:t>
      </w:r>
      <w:r w:rsidRPr="00B729DF">
        <w:t>. ».</w:t>
      </w:r>
    </w:p>
    <w:p w:rsidR="00E67DF1" w:rsidRPr="00B729DF" w:rsidRDefault="00E67DF1" w:rsidP="00346876">
      <w:pPr>
        <w:pStyle w:val="SingleTxtG"/>
        <w:rPr>
          <w:rFonts w:eastAsia="MS Mincho"/>
          <w:bCs/>
          <w:i/>
          <w:spacing w:val="-2"/>
          <w:lang w:eastAsia="ja-JP"/>
        </w:rPr>
      </w:pPr>
      <w:r w:rsidRPr="00B729DF">
        <w:rPr>
          <w:rFonts w:eastAsia="MS Mincho"/>
          <w:bCs/>
          <w:i/>
          <w:spacing w:val="-2"/>
          <w:lang w:eastAsia="ja-JP"/>
        </w:rPr>
        <w:t>Paragraphe 10.7.1</w:t>
      </w:r>
      <w:r w:rsidRPr="00B729DF">
        <w:rPr>
          <w:rFonts w:eastAsia="MS Mincho"/>
          <w:bCs/>
          <w:spacing w:val="-2"/>
          <w:lang w:eastAsia="ja-JP"/>
        </w:rPr>
        <w:t>, modifier comme suit :</w:t>
      </w:r>
    </w:p>
    <w:p w:rsidR="00E67DF1" w:rsidRPr="00B729DF" w:rsidRDefault="00E67DF1" w:rsidP="00E97741">
      <w:pPr>
        <w:pStyle w:val="SingleTxtG"/>
        <w:ind w:left="2268" w:hanging="1134"/>
        <w:rPr>
          <w:rFonts w:eastAsia="MS Mincho"/>
          <w:bCs/>
          <w:spacing w:val="-2"/>
          <w:lang w:eastAsia="ja-JP"/>
        </w:rPr>
      </w:pPr>
      <w:r w:rsidRPr="00B729DF">
        <w:rPr>
          <w:rFonts w:eastAsia="MS Mincho"/>
          <w:bCs/>
          <w:spacing w:val="-2"/>
          <w:lang w:eastAsia="ja-JP"/>
        </w:rPr>
        <w:t>« 10.7.1</w:t>
      </w:r>
      <w:r w:rsidRPr="00B729DF">
        <w:rPr>
          <w:rFonts w:eastAsia="MS Mincho"/>
          <w:bCs/>
          <w:spacing w:val="-2"/>
          <w:lang w:eastAsia="ja-JP"/>
        </w:rPr>
        <w:tab/>
        <w:t>Généralités</w:t>
      </w:r>
    </w:p>
    <w:p w:rsidR="00E67DF1" w:rsidRPr="00B729DF" w:rsidRDefault="00E67DF1" w:rsidP="00346876">
      <w:pPr>
        <w:pStyle w:val="SingleTxtG"/>
        <w:ind w:left="2268"/>
        <w:rPr>
          <w:rFonts w:eastAsia="MS Mincho"/>
          <w:bCs/>
          <w:spacing w:val="-2"/>
          <w:lang w:eastAsia="ja-JP"/>
        </w:rPr>
      </w:pPr>
      <w:r w:rsidRPr="00B729DF">
        <w:rPr>
          <w:rFonts w:eastAsia="MS Mincho"/>
          <w:bCs/>
          <w:spacing w:val="-2"/>
          <w:lang w:eastAsia="ja-JP"/>
        </w:rPr>
        <w:tab/>
        <w:t xml:space="preserve">Les essais de qualification des types de bouteilles doivent être réalisés </w:t>
      </w:r>
      <w:r w:rsidRPr="00CB4063">
        <w:rPr>
          <w:rFonts w:eastAsia="MS Mincho"/>
          <w:bCs/>
          <w:spacing w:val="-3"/>
          <w:lang w:eastAsia="ja-JP"/>
        </w:rPr>
        <w:t>conformément aux prescriptions des paragraphes 8.6, 10.7.2, 10.7.3</w:t>
      </w:r>
      <w:r w:rsidR="000A6580" w:rsidRPr="00CB4063">
        <w:rPr>
          <w:rFonts w:eastAsia="MS Mincho"/>
          <w:bCs/>
          <w:spacing w:val="-3"/>
          <w:lang w:eastAsia="ja-JP"/>
        </w:rPr>
        <w:t>,</w:t>
      </w:r>
      <w:r w:rsidRPr="00CB4063">
        <w:rPr>
          <w:rFonts w:eastAsia="MS Mincho"/>
          <w:bCs/>
          <w:spacing w:val="-3"/>
          <w:lang w:eastAsia="ja-JP"/>
        </w:rPr>
        <w:t xml:space="preserve"> </w:t>
      </w:r>
      <w:r w:rsidRPr="00CB4063">
        <w:rPr>
          <w:rFonts w:eastAsia="MS Mincho"/>
          <w:bCs/>
          <w:strike/>
          <w:spacing w:val="-3"/>
          <w:lang w:eastAsia="ja-JP"/>
        </w:rPr>
        <w:t>et</w:t>
      </w:r>
      <w:r w:rsidR="000A6580" w:rsidRPr="00CB4063">
        <w:rPr>
          <w:rFonts w:eastAsia="MS Mincho"/>
          <w:bCs/>
          <w:strike/>
          <w:spacing w:val="-3"/>
          <w:lang w:eastAsia="ja-JP"/>
        </w:rPr>
        <w:t xml:space="preserve"> </w:t>
      </w:r>
      <w:r w:rsidRPr="00CB4063">
        <w:rPr>
          <w:rFonts w:eastAsia="MS Mincho"/>
          <w:bCs/>
          <w:spacing w:val="-3"/>
          <w:lang w:eastAsia="ja-JP"/>
        </w:rPr>
        <w:t xml:space="preserve">10.7.4 </w:t>
      </w:r>
      <w:r w:rsidRPr="00CB4063">
        <w:rPr>
          <w:rFonts w:eastAsia="MS Mincho"/>
          <w:b/>
          <w:bCs/>
          <w:spacing w:val="-3"/>
          <w:lang w:eastAsia="ja-JP"/>
        </w:rPr>
        <w:t>et 10.7.5</w:t>
      </w:r>
      <w:r w:rsidRPr="00CB4063">
        <w:rPr>
          <w:rFonts w:eastAsia="MS Mincho"/>
          <w:bCs/>
          <w:spacing w:val="-3"/>
          <w:lang w:eastAsia="ja-JP"/>
        </w:rPr>
        <w:t xml:space="preserve"> de la présente annexe. L</w:t>
      </w:r>
      <w:r w:rsidR="0008632C">
        <w:rPr>
          <w:rFonts w:eastAsia="MS Mincho"/>
          <w:bCs/>
          <w:spacing w:val="-3"/>
          <w:lang w:eastAsia="ja-JP"/>
        </w:rPr>
        <w:t>’</w:t>
      </w:r>
      <w:r w:rsidRPr="00CB4063">
        <w:rPr>
          <w:rFonts w:eastAsia="MS Mincho"/>
          <w:bCs/>
          <w:spacing w:val="-3"/>
          <w:lang w:eastAsia="ja-JP"/>
        </w:rPr>
        <w:t>essai de fuite avant rupture du paragraphe</w:t>
      </w:r>
      <w:r w:rsidR="00CB4063">
        <w:rPr>
          <w:rFonts w:eastAsia="MS Mincho"/>
          <w:bCs/>
          <w:spacing w:val="-3"/>
          <w:lang w:eastAsia="ja-JP"/>
        </w:rPr>
        <w:t> </w:t>
      </w:r>
      <w:r w:rsidRPr="00CB4063">
        <w:rPr>
          <w:rFonts w:eastAsia="MS Mincho"/>
          <w:bCs/>
          <w:spacing w:val="-3"/>
          <w:lang w:eastAsia="ja-JP"/>
        </w:rPr>
        <w:t>8.6.10</w:t>
      </w:r>
      <w:r w:rsidRPr="00B729DF">
        <w:rPr>
          <w:rFonts w:eastAsia="MS Mincho"/>
          <w:bCs/>
          <w:spacing w:val="-2"/>
          <w:lang w:eastAsia="ja-JP"/>
        </w:rPr>
        <w:t xml:space="preserve"> ci-dessus n</w:t>
      </w:r>
      <w:r w:rsidR="0008632C">
        <w:rPr>
          <w:rFonts w:eastAsia="MS Mincho"/>
          <w:bCs/>
          <w:spacing w:val="-2"/>
          <w:lang w:eastAsia="ja-JP"/>
        </w:rPr>
        <w:t>’</w:t>
      </w:r>
      <w:r w:rsidRPr="00B729DF">
        <w:rPr>
          <w:rFonts w:eastAsia="MS Mincho"/>
          <w:bCs/>
          <w:spacing w:val="-2"/>
          <w:lang w:eastAsia="ja-JP"/>
        </w:rPr>
        <w:t>est cependant pas requis. ».</w:t>
      </w:r>
    </w:p>
    <w:p w:rsidR="00E67DF1" w:rsidRPr="00B729DF" w:rsidRDefault="00E67DF1" w:rsidP="00E67DF1">
      <w:pPr>
        <w:tabs>
          <w:tab w:val="left" w:pos="2268"/>
        </w:tabs>
        <w:spacing w:after="120" w:line="360" w:lineRule="auto"/>
        <w:ind w:left="1134" w:right="1133"/>
        <w:jc w:val="both"/>
        <w:rPr>
          <w:rFonts w:eastAsia="MS Mincho"/>
          <w:bCs/>
          <w:i/>
          <w:spacing w:val="-2"/>
          <w:lang w:eastAsia="ja-JP"/>
        </w:rPr>
      </w:pPr>
      <w:r w:rsidRPr="00B729DF">
        <w:rPr>
          <w:rFonts w:eastAsia="MS Mincho"/>
          <w:bCs/>
          <w:i/>
          <w:spacing w:val="-2"/>
          <w:lang w:eastAsia="ja-JP"/>
        </w:rPr>
        <w:t>Ajouter un nouveau paragraphe 10.7.5</w:t>
      </w:r>
      <w:r w:rsidRPr="00B729DF">
        <w:rPr>
          <w:rFonts w:eastAsia="MS Mincho"/>
          <w:bCs/>
          <w:spacing w:val="-2"/>
          <w:lang w:eastAsia="ja-JP"/>
        </w:rPr>
        <w:t>, libellé comme suit :</w:t>
      </w:r>
    </w:p>
    <w:p w:rsidR="00E67DF1" w:rsidRPr="00B729DF" w:rsidRDefault="00CB4063" w:rsidP="005578D0">
      <w:pPr>
        <w:pStyle w:val="SingleTxtG"/>
        <w:rPr>
          <w:rFonts w:eastAsia="MS Mincho"/>
          <w:b/>
          <w:bCs/>
          <w:spacing w:val="-2"/>
          <w:lang w:eastAsia="ja-JP"/>
        </w:rPr>
      </w:pPr>
      <w:r>
        <w:rPr>
          <w:rFonts w:eastAsia="MS Mincho"/>
          <w:bCs/>
          <w:spacing w:val="-2"/>
          <w:lang w:eastAsia="ja-JP"/>
        </w:rPr>
        <w:t>« </w:t>
      </w:r>
      <w:r w:rsidR="00E67DF1" w:rsidRPr="00B729DF">
        <w:rPr>
          <w:rFonts w:eastAsia="MS Mincho"/>
          <w:b/>
          <w:bCs/>
          <w:spacing w:val="-2"/>
          <w:lang w:eastAsia="ja-JP"/>
        </w:rPr>
        <w:t>10.7.5</w:t>
      </w:r>
      <w:r w:rsidR="00E67DF1" w:rsidRPr="00B729DF">
        <w:rPr>
          <w:rFonts w:eastAsia="MS Mincho"/>
          <w:b/>
          <w:bCs/>
          <w:spacing w:val="-2"/>
          <w:lang w:eastAsia="ja-JP"/>
        </w:rPr>
        <w:tab/>
      </w:r>
      <w:r w:rsidR="00E67DF1" w:rsidRPr="00B729DF">
        <w:rPr>
          <w:rFonts w:eastAsia="MS Mincho"/>
          <w:b/>
          <w:bCs/>
          <w:spacing w:val="-2"/>
          <w:lang w:val="fr-FR" w:eastAsia="ja-JP"/>
        </w:rPr>
        <w:t>Essai de choc</w:t>
      </w:r>
    </w:p>
    <w:p w:rsidR="00E67DF1" w:rsidRPr="00B729DF" w:rsidRDefault="00E67DF1" w:rsidP="00346876">
      <w:pPr>
        <w:pStyle w:val="SingleTxtG"/>
        <w:ind w:left="2268"/>
        <w:rPr>
          <w:rFonts w:eastAsia="MS Mincho"/>
          <w:b/>
          <w:bCs/>
          <w:spacing w:val="-2"/>
          <w:lang w:eastAsia="ja-JP"/>
        </w:rPr>
      </w:pPr>
      <w:r w:rsidRPr="00B729DF">
        <w:rPr>
          <w:rFonts w:eastAsia="MS Mincho"/>
          <w:b/>
          <w:bCs/>
          <w:spacing w:val="-2"/>
          <w:lang w:val="fr-FR" w:eastAsia="ja-JP"/>
        </w:rPr>
        <w:tab/>
        <w:t>Une ou plusieurs bouteilles finies doivent être soumises à un essai de choc conformément aux dispositions du paragraphe A.20 de l</w:t>
      </w:r>
      <w:r w:rsidR="0008632C">
        <w:rPr>
          <w:rFonts w:eastAsia="MS Mincho"/>
          <w:b/>
          <w:bCs/>
          <w:spacing w:val="-2"/>
          <w:lang w:val="fr-FR" w:eastAsia="ja-JP"/>
        </w:rPr>
        <w:t>’</w:t>
      </w:r>
      <w:r w:rsidRPr="00B729DF">
        <w:rPr>
          <w:rFonts w:eastAsia="MS Mincho"/>
          <w:b/>
          <w:bCs/>
          <w:spacing w:val="-2"/>
          <w:lang w:val="fr-FR" w:eastAsia="ja-JP"/>
        </w:rPr>
        <w:t>appendice A de la présente annexe.</w:t>
      </w:r>
      <w:r w:rsidRPr="00B729DF">
        <w:rPr>
          <w:rFonts w:eastAsia="MS Mincho"/>
          <w:bCs/>
          <w:spacing w:val="-2"/>
          <w:lang w:val="fr-FR" w:eastAsia="ja-JP"/>
        </w:rPr>
        <w:t> ».</w:t>
      </w:r>
    </w:p>
    <w:p w:rsidR="00E67DF1" w:rsidRPr="00B729DF" w:rsidRDefault="00E67DF1" w:rsidP="00CB4063">
      <w:pPr>
        <w:pStyle w:val="SingleTxtG"/>
        <w:rPr>
          <w:b/>
          <w:lang w:eastAsia="ja-JP"/>
        </w:rPr>
      </w:pPr>
      <w:r w:rsidRPr="00B729DF">
        <w:rPr>
          <w:i/>
          <w:lang w:eastAsia="ja-JP"/>
        </w:rPr>
        <w:t>Paragraphe 6.17, Tableau 6.7 (Modification de conception), douzième ligne</w:t>
      </w:r>
      <w:r w:rsidRPr="00B729DF">
        <w:rPr>
          <w:lang w:eastAsia="ja-JP"/>
        </w:rPr>
        <w:t>, dans la première colonne, remplacer « Forme de l</w:t>
      </w:r>
      <w:r w:rsidR="0008632C">
        <w:rPr>
          <w:lang w:eastAsia="ja-JP"/>
        </w:rPr>
        <w:t>’</w:t>
      </w:r>
      <w:r w:rsidRPr="00B729DF">
        <w:rPr>
          <w:lang w:eastAsia="ja-JP"/>
        </w:rPr>
        <w:t>ogive » par « </w:t>
      </w:r>
      <w:r w:rsidRPr="00B729DF">
        <w:rPr>
          <w:b/>
          <w:lang w:eastAsia="ja-JP"/>
        </w:rPr>
        <w:t>Conception</w:t>
      </w:r>
      <w:r w:rsidRPr="008E577A">
        <w:rPr>
          <w:lang w:eastAsia="ja-JP"/>
        </w:rPr>
        <w:t xml:space="preserve"> de </w:t>
      </w:r>
      <w:r w:rsidRPr="00B729DF">
        <w:rPr>
          <w:lang w:eastAsia="ja-JP"/>
        </w:rPr>
        <w:t>l</w:t>
      </w:r>
      <w:r w:rsidR="0008632C">
        <w:rPr>
          <w:lang w:eastAsia="ja-JP"/>
        </w:rPr>
        <w:t>’</w:t>
      </w:r>
      <w:r w:rsidRPr="00B729DF">
        <w:rPr>
          <w:lang w:eastAsia="ja-JP"/>
        </w:rPr>
        <w:t>ogive » et, dans la huitième colonne, ajouter le symbole « </w:t>
      </w:r>
      <w:r w:rsidRPr="00F4131D">
        <w:rPr>
          <w:b/>
          <w:lang w:eastAsia="ja-JP"/>
        </w:rPr>
        <w:t>X</w:t>
      </w:r>
      <w:r w:rsidRPr="000232F3">
        <w:rPr>
          <w:b/>
          <w:lang w:eastAsia="ja-JP"/>
        </w:rPr>
        <w:t>*</w:t>
      </w:r>
      <w:r w:rsidRPr="004A7155">
        <w:rPr>
          <w:b/>
          <w:lang w:eastAsia="ja-JP"/>
        </w:rPr>
        <w:t>*</w:t>
      </w:r>
      <w:r w:rsidRPr="00B729DF">
        <w:rPr>
          <w:lang w:eastAsia="ja-JP"/>
        </w:rPr>
        <w:t> » ainsi</w:t>
      </w:r>
      <w:r w:rsidRPr="00B729DF">
        <w:rPr>
          <w:b/>
          <w:lang w:eastAsia="ja-JP"/>
        </w:rPr>
        <w:t xml:space="preserve"> </w:t>
      </w:r>
      <w:r w:rsidRPr="00B729DF">
        <w:rPr>
          <w:lang w:eastAsia="ja-JP"/>
        </w:rPr>
        <w:t>qu</w:t>
      </w:r>
      <w:r w:rsidR="0008632C">
        <w:rPr>
          <w:lang w:eastAsia="ja-JP"/>
        </w:rPr>
        <w:t>’</w:t>
      </w:r>
      <w:r w:rsidRPr="00B729DF">
        <w:rPr>
          <w:lang w:eastAsia="ja-JP"/>
        </w:rPr>
        <w:t>une nouvelle note</w:t>
      </w:r>
      <w:r w:rsidRPr="00837411">
        <w:rPr>
          <w:b/>
          <w:lang w:eastAsia="ja-JP"/>
        </w:rPr>
        <w:t>**</w:t>
      </w:r>
      <w:r w:rsidRPr="00B729DF">
        <w:rPr>
          <w:lang w:eastAsia="ja-JP"/>
        </w:rPr>
        <w:t>, libellée comme suit : « </w:t>
      </w:r>
      <w:r w:rsidRPr="004A7155">
        <w:rPr>
          <w:b/>
          <w:lang w:eastAsia="ja-JP"/>
        </w:rPr>
        <w:t>**</w:t>
      </w:r>
      <w:r w:rsidRPr="00B729DF">
        <w:rPr>
          <w:b/>
          <w:lang w:eastAsia="ja-JP"/>
        </w:rPr>
        <w:t xml:space="preserve"> Essai de chute A.20</w:t>
      </w:r>
      <w:r w:rsidR="008E577A">
        <w:rPr>
          <w:b/>
          <w:lang w:eastAsia="ja-JP"/>
        </w:rPr>
        <w:t xml:space="preserve"> </w:t>
      </w:r>
      <w:r w:rsidRPr="00B729DF">
        <w:rPr>
          <w:b/>
          <w:lang w:eastAsia="ja-JP"/>
        </w:rPr>
        <w:t>uniquement requis pour les bouteilles de type GNC-3 et GNC-4</w:t>
      </w:r>
      <w:r w:rsidRPr="00B729DF">
        <w:rPr>
          <w:lang w:eastAsia="ja-JP"/>
        </w:rPr>
        <w:t> ».</w:t>
      </w:r>
    </w:p>
    <w:p w:rsidR="00E67DF1" w:rsidRPr="00B729DF" w:rsidRDefault="00E67DF1" w:rsidP="008E577A">
      <w:pPr>
        <w:pStyle w:val="SingleTxtG"/>
        <w:rPr>
          <w:rFonts w:eastAsia="MS Mincho"/>
          <w:bCs/>
          <w:i/>
          <w:spacing w:val="-2"/>
          <w:lang w:eastAsia="ja-JP"/>
        </w:rPr>
      </w:pPr>
      <w:r w:rsidRPr="00B729DF">
        <w:rPr>
          <w:i/>
        </w:rPr>
        <w:t>Annexe 3, appendice A, paragraphe</w:t>
      </w:r>
      <w:r w:rsidRPr="00B729DF">
        <w:rPr>
          <w:bCs/>
          <w:i/>
        </w:rPr>
        <w:t xml:space="preserve"> </w:t>
      </w:r>
      <w:r w:rsidRPr="00B729DF">
        <w:rPr>
          <w:rFonts w:eastAsia="MS Mincho"/>
          <w:bCs/>
          <w:i/>
          <w:spacing w:val="-2"/>
          <w:lang w:eastAsia="ja-JP"/>
        </w:rPr>
        <w:t>A.17</w:t>
      </w:r>
      <w:r w:rsidRPr="00B729DF">
        <w:rPr>
          <w:rFonts w:eastAsia="MS Mincho"/>
          <w:bCs/>
          <w:spacing w:val="-2"/>
          <w:lang w:eastAsia="ja-JP"/>
        </w:rPr>
        <w:t>, modifier comme suit :</w:t>
      </w:r>
    </w:p>
    <w:p w:rsidR="00E67DF1" w:rsidRPr="00B729DF" w:rsidRDefault="008E577A" w:rsidP="005F4C16">
      <w:pPr>
        <w:pStyle w:val="SingleTxtG"/>
        <w:ind w:left="2268" w:hanging="1134"/>
        <w:rPr>
          <w:rFonts w:eastAsia="MS Mincho"/>
          <w:bCs/>
          <w:spacing w:val="-2"/>
          <w:lang w:eastAsia="ja-JP"/>
        </w:rPr>
      </w:pPr>
      <w:r>
        <w:rPr>
          <w:rFonts w:eastAsia="MS Mincho"/>
          <w:bCs/>
          <w:spacing w:val="-2"/>
          <w:lang w:eastAsia="ja-JP"/>
        </w:rPr>
        <w:t>« </w:t>
      </w:r>
      <w:r w:rsidR="00E67DF1" w:rsidRPr="00B729DF">
        <w:rPr>
          <w:rFonts w:eastAsia="MS Mincho"/>
          <w:bCs/>
          <w:spacing w:val="-2"/>
          <w:lang w:eastAsia="ja-JP"/>
        </w:rPr>
        <w:t>A.17</w:t>
      </w:r>
      <w:r w:rsidR="00E67DF1" w:rsidRPr="00B729DF">
        <w:rPr>
          <w:rFonts w:eastAsia="MS Mincho"/>
          <w:bCs/>
          <w:spacing w:val="-2"/>
          <w:lang w:eastAsia="ja-JP"/>
        </w:rPr>
        <w:tab/>
        <w:t>Essai de résistance à l</w:t>
      </w:r>
      <w:r w:rsidR="0008632C">
        <w:rPr>
          <w:rFonts w:eastAsia="MS Mincho"/>
          <w:bCs/>
          <w:spacing w:val="-2"/>
          <w:lang w:eastAsia="ja-JP"/>
        </w:rPr>
        <w:t>’</w:t>
      </w:r>
      <w:r w:rsidR="00E67DF1" w:rsidRPr="00B729DF">
        <w:rPr>
          <w:rFonts w:eastAsia="MS Mincho"/>
          <w:bCs/>
          <w:spacing w:val="-2"/>
          <w:lang w:eastAsia="ja-JP"/>
        </w:rPr>
        <w:t>entaille dans le composite</w:t>
      </w:r>
    </w:p>
    <w:p w:rsidR="00E67DF1" w:rsidRPr="00B729DF" w:rsidRDefault="00E67DF1" w:rsidP="005578D0">
      <w:pPr>
        <w:pStyle w:val="SingleTxtG"/>
        <w:ind w:left="2268"/>
        <w:rPr>
          <w:rFonts w:eastAsia="MS Mincho"/>
          <w:bCs/>
          <w:spacing w:val="-2"/>
          <w:lang w:eastAsia="ja-JP"/>
        </w:rPr>
      </w:pPr>
      <w:r w:rsidRPr="00B729DF">
        <w:rPr>
          <w:rFonts w:eastAsia="MS Mincho"/>
          <w:bCs/>
          <w:spacing w:val="-2"/>
          <w:lang w:eastAsia="ja-JP"/>
        </w:rPr>
        <w:tab/>
        <w:t xml:space="preserve">Pour les bouteilles de type GNC-2, GNC-3 et GNC-4 uniquement, </w:t>
      </w:r>
      <w:r w:rsidRPr="00B729DF">
        <w:rPr>
          <w:strike/>
        </w:rPr>
        <w:t>des entailles doivent être pratiquées dans la direction longitudinale du matériau composite d</w:t>
      </w:r>
      <w:r w:rsidR="0008632C">
        <w:rPr>
          <w:strike/>
        </w:rPr>
        <w:t>’</w:t>
      </w:r>
      <w:r w:rsidRPr="00B729DF">
        <w:rPr>
          <w:rFonts w:eastAsia="MS Mincho"/>
          <w:bCs/>
          <w:spacing w:val="-2"/>
          <w:lang w:eastAsia="ja-JP"/>
        </w:rPr>
        <w:t>une bouteille finie équipée d</w:t>
      </w:r>
      <w:r w:rsidR="0008632C">
        <w:rPr>
          <w:rFonts w:eastAsia="MS Mincho"/>
          <w:bCs/>
          <w:spacing w:val="-2"/>
          <w:lang w:eastAsia="ja-JP"/>
        </w:rPr>
        <w:t>’</w:t>
      </w:r>
      <w:r w:rsidRPr="00B729DF">
        <w:rPr>
          <w:rFonts w:eastAsia="MS Mincho"/>
          <w:bCs/>
          <w:spacing w:val="-2"/>
          <w:lang w:eastAsia="ja-JP"/>
        </w:rPr>
        <w:t>un revêtement de protection</w:t>
      </w:r>
      <w:r w:rsidRPr="00B729DF">
        <w:rPr>
          <w:rFonts w:eastAsia="MS Mincho"/>
          <w:b/>
          <w:bCs/>
          <w:spacing w:val="-2"/>
          <w:lang w:eastAsia="ja-JP"/>
        </w:rPr>
        <w:t xml:space="preserve"> doit faire l</w:t>
      </w:r>
      <w:r w:rsidR="0008632C">
        <w:rPr>
          <w:rFonts w:eastAsia="MS Mincho"/>
          <w:b/>
          <w:bCs/>
          <w:spacing w:val="-2"/>
          <w:lang w:eastAsia="ja-JP"/>
        </w:rPr>
        <w:t>’</w:t>
      </w:r>
      <w:r w:rsidRPr="00B729DF">
        <w:rPr>
          <w:rFonts w:eastAsia="MS Mincho"/>
          <w:b/>
          <w:bCs/>
          <w:spacing w:val="-2"/>
          <w:lang w:eastAsia="ja-JP"/>
        </w:rPr>
        <w:t>objet d</w:t>
      </w:r>
      <w:r w:rsidR="0008632C">
        <w:rPr>
          <w:rFonts w:eastAsia="MS Mincho"/>
          <w:b/>
          <w:bCs/>
          <w:spacing w:val="-2"/>
          <w:lang w:eastAsia="ja-JP"/>
        </w:rPr>
        <w:t>’</w:t>
      </w:r>
      <w:r w:rsidRPr="00B729DF">
        <w:rPr>
          <w:rFonts w:eastAsia="MS Mincho"/>
          <w:b/>
          <w:bCs/>
          <w:spacing w:val="-2"/>
          <w:lang w:eastAsia="ja-JP"/>
        </w:rPr>
        <w:t>un essai de résistance à l</w:t>
      </w:r>
      <w:r w:rsidR="0008632C">
        <w:rPr>
          <w:rFonts w:eastAsia="MS Mincho"/>
          <w:b/>
          <w:bCs/>
          <w:spacing w:val="-2"/>
          <w:lang w:eastAsia="ja-JP"/>
        </w:rPr>
        <w:t>’</w:t>
      </w:r>
      <w:r w:rsidRPr="00B729DF">
        <w:rPr>
          <w:rFonts w:eastAsia="MS Mincho"/>
          <w:b/>
          <w:bCs/>
          <w:spacing w:val="-2"/>
          <w:lang w:eastAsia="ja-JP"/>
        </w:rPr>
        <w:t>entaille sur la paroi cylindrique ainsi que sur l</w:t>
      </w:r>
      <w:r w:rsidR="0008632C">
        <w:rPr>
          <w:rFonts w:eastAsia="MS Mincho"/>
          <w:b/>
          <w:bCs/>
          <w:spacing w:val="-2"/>
          <w:lang w:eastAsia="ja-JP"/>
        </w:rPr>
        <w:t>’</w:t>
      </w:r>
      <w:r w:rsidRPr="00B729DF">
        <w:rPr>
          <w:rFonts w:eastAsia="MS Mincho"/>
          <w:b/>
          <w:bCs/>
          <w:spacing w:val="-2"/>
          <w:lang w:eastAsia="ja-JP"/>
        </w:rPr>
        <w:t>épaisseur minimale de la paroi en matériau composite de la ou des parties les plus fragiles du réservoir, telles que déterminées par une analyse appropriée de la contrainte ou par des essais en grandeur réelle</w:t>
      </w:r>
      <w:r w:rsidRPr="00B729DF">
        <w:rPr>
          <w:rFonts w:eastAsia="MS Mincho"/>
          <w:bCs/>
          <w:spacing w:val="-2"/>
          <w:lang w:eastAsia="ja-JP"/>
        </w:rPr>
        <w:t xml:space="preserve">. Les entailles doivent être pratiquées dans la direction longitudinale du matériau </w:t>
      </w:r>
      <w:r w:rsidRPr="00B729DF">
        <w:rPr>
          <w:rFonts w:eastAsia="MS Mincho"/>
          <w:bCs/>
          <w:spacing w:val="-2"/>
          <w:lang w:eastAsia="ja-JP"/>
        </w:rPr>
        <w:lastRenderedPageBreak/>
        <w:t>composite. Les entailles doivent dépasser les limites de l</w:t>
      </w:r>
      <w:r w:rsidR="0008632C">
        <w:rPr>
          <w:rFonts w:eastAsia="MS Mincho"/>
          <w:bCs/>
          <w:spacing w:val="-2"/>
          <w:lang w:eastAsia="ja-JP"/>
        </w:rPr>
        <w:t>’</w:t>
      </w:r>
      <w:r w:rsidRPr="00B729DF">
        <w:rPr>
          <w:rFonts w:eastAsia="MS Mincho"/>
          <w:bCs/>
          <w:spacing w:val="-2"/>
          <w:lang w:eastAsia="ja-JP"/>
        </w:rPr>
        <w:t>inspection visuelle telles qu</w:t>
      </w:r>
      <w:r w:rsidR="0008632C">
        <w:rPr>
          <w:rFonts w:eastAsia="MS Mincho"/>
          <w:bCs/>
          <w:spacing w:val="-2"/>
          <w:lang w:eastAsia="ja-JP"/>
        </w:rPr>
        <w:t>’</w:t>
      </w:r>
      <w:r w:rsidRPr="00B729DF">
        <w:rPr>
          <w:rFonts w:eastAsia="MS Mincho"/>
          <w:bCs/>
          <w:spacing w:val="-2"/>
          <w:lang w:eastAsia="ja-JP"/>
        </w:rPr>
        <w:t>elles sont spécifiées par le fabricant.</w:t>
      </w:r>
    </w:p>
    <w:p w:rsidR="00E67DF1" w:rsidRPr="00B729DF" w:rsidRDefault="00E67DF1" w:rsidP="0008632C">
      <w:pPr>
        <w:pStyle w:val="SingleTxtG"/>
        <w:ind w:left="2268"/>
        <w:rPr>
          <w:rFonts w:eastAsia="MS Mincho"/>
          <w:bCs/>
          <w:spacing w:val="-2"/>
          <w:lang w:eastAsia="ja-JP"/>
        </w:rPr>
      </w:pPr>
      <w:r w:rsidRPr="00B729DF">
        <w:tab/>
        <w:t>La bouteille entaillée doit alors …</w:t>
      </w:r>
      <w:r w:rsidR="005578D0">
        <w:t xml:space="preserve"> </w:t>
      </w:r>
      <w:r w:rsidRPr="00B729DF">
        <w:t>être détruite.</w:t>
      </w:r>
      <w:r w:rsidR="005578D0">
        <w:rPr>
          <w:rFonts w:eastAsia="MS Mincho"/>
          <w:bCs/>
          <w:spacing w:val="-2"/>
          <w:lang w:eastAsia="ja-JP"/>
        </w:rPr>
        <w:t> »</w:t>
      </w:r>
      <w:r w:rsidRPr="00B729DF">
        <w:rPr>
          <w:rFonts w:eastAsia="MS Mincho"/>
          <w:bCs/>
          <w:spacing w:val="-2"/>
          <w:lang w:eastAsia="ja-JP"/>
        </w:rPr>
        <w:t>.</w:t>
      </w:r>
    </w:p>
    <w:p w:rsidR="00E67DF1" w:rsidRPr="00B729DF" w:rsidRDefault="00E67DF1" w:rsidP="0008632C">
      <w:pPr>
        <w:pStyle w:val="HChG"/>
      </w:pPr>
      <w:r w:rsidRPr="00B729DF">
        <w:tab/>
        <w:t>II.</w:t>
      </w:r>
      <w:r w:rsidRPr="00B729DF">
        <w:tab/>
        <w:t>Justification</w:t>
      </w:r>
    </w:p>
    <w:p w:rsidR="00E67DF1" w:rsidRPr="00B729DF" w:rsidRDefault="00E67DF1" w:rsidP="0008632C">
      <w:pPr>
        <w:pStyle w:val="SingleTxtG"/>
        <w:rPr>
          <w:lang w:eastAsia="ja-JP"/>
        </w:rPr>
      </w:pPr>
      <w:r w:rsidRPr="00B729DF">
        <w:t>1.</w:t>
      </w:r>
      <w:r w:rsidRPr="00B729DF">
        <w:tab/>
        <w:t>P</w:t>
      </w:r>
      <w:r w:rsidRPr="00B729DF">
        <w:rPr>
          <w:lang w:eastAsia="ja-JP"/>
        </w:rPr>
        <w:t>aragraphe 4.56 : Il est évident qu</w:t>
      </w:r>
      <w:r w:rsidR="0008632C">
        <w:rPr>
          <w:lang w:eastAsia="ja-JP"/>
        </w:rPr>
        <w:t>’</w:t>
      </w:r>
      <w:r w:rsidRPr="00B729DF">
        <w:rPr>
          <w:lang w:eastAsia="ja-JP"/>
        </w:rPr>
        <w:t xml:space="preserve">une protection </w:t>
      </w:r>
      <w:r w:rsidR="00C615C4">
        <w:rPr>
          <w:lang w:eastAsia="ja-JP"/>
        </w:rPr>
        <w:t>« </w:t>
      </w:r>
      <w:r w:rsidRPr="00B729DF">
        <w:rPr>
          <w:lang w:eastAsia="ja-JP"/>
        </w:rPr>
        <w:t>intégrale</w:t>
      </w:r>
      <w:r w:rsidR="00C615C4">
        <w:rPr>
          <w:lang w:eastAsia="ja-JP"/>
        </w:rPr>
        <w:t> »</w:t>
      </w:r>
      <w:r w:rsidRPr="00B729DF">
        <w:rPr>
          <w:lang w:eastAsia="ja-JP"/>
        </w:rPr>
        <w:t xml:space="preserve"> ne peut pas être modifiée selon le bon vouloir du fabricant, mais qu</w:t>
      </w:r>
      <w:r w:rsidR="0008632C">
        <w:rPr>
          <w:lang w:eastAsia="ja-JP"/>
        </w:rPr>
        <w:t>’</w:t>
      </w:r>
      <w:r w:rsidRPr="00B729DF">
        <w:rPr>
          <w:lang w:eastAsia="ja-JP"/>
        </w:rPr>
        <w:t>elle doit être expliquée en détail dans le « plan de conception de la bouteille » tel que décrit au paragraphe 5.3.1 d</w:t>
      </w:r>
      <w:r w:rsidR="00C615C4">
        <w:rPr>
          <w:lang w:eastAsia="ja-JP"/>
        </w:rPr>
        <w:t>e</w:t>
      </w:r>
      <w:r w:rsidRPr="00B729DF">
        <w:rPr>
          <w:lang w:eastAsia="ja-JP"/>
        </w:rPr>
        <w:t xml:space="preserve"> l</w:t>
      </w:r>
      <w:r w:rsidR="0008632C">
        <w:rPr>
          <w:lang w:eastAsia="ja-JP"/>
        </w:rPr>
        <w:t>’</w:t>
      </w:r>
      <w:r w:rsidRPr="00B729DF">
        <w:rPr>
          <w:lang w:eastAsia="ja-JP"/>
        </w:rPr>
        <w:t>annexe 3A. Pour éviter tout malentendu, il est nécessaire de le préciser de manière claire, ainsi qu</w:t>
      </w:r>
      <w:r w:rsidR="0008632C">
        <w:rPr>
          <w:lang w:eastAsia="ja-JP"/>
        </w:rPr>
        <w:t>’</w:t>
      </w:r>
      <w:r w:rsidRPr="00B729DF">
        <w:rPr>
          <w:lang w:eastAsia="ja-JP"/>
        </w:rPr>
        <w:t>il est fait au paragraphe 3.10 de la norme ISO 11439.</w:t>
      </w:r>
    </w:p>
    <w:p w:rsidR="00E67DF1" w:rsidRPr="00B729DF" w:rsidRDefault="00E67DF1" w:rsidP="0008632C">
      <w:pPr>
        <w:pStyle w:val="SingleTxtG"/>
        <w:rPr>
          <w:rFonts w:eastAsia="MS Mincho"/>
          <w:bCs/>
          <w:spacing w:val="-2"/>
          <w:lang w:eastAsia="ja-JP"/>
        </w:rPr>
      </w:pPr>
      <w:r w:rsidRPr="00B729DF">
        <w:rPr>
          <w:rFonts w:eastAsia="MS Mincho"/>
          <w:bCs/>
          <w:spacing w:val="-2"/>
          <w:lang w:eastAsia="ja-JP"/>
        </w:rPr>
        <w:t>2.</w:t>
      </w:r>
      <w:r w:rsidRPr="00B729DF">
        <w:rPr>
          <w:rFonts w:eastAsia="MS Mincho"/>
          <w:bCs/>
          <w:spacing w:val="-2"/>
          <w:lang w:eastAsia="ja-JP"/>
        </w:rPr>
        <w:tab/>
        <w:t>Annexe 3A, paragraphe 6.12 : Le paragraphe concerne les « protections » en général, et non pas seulement les « revêtements ». Comme l</w:t>
      </w:r>
      <w:r w:rsidR="0008632C">
        <w:rPr>
          <w:rFonts w:eastAsia="MS Mincho"/>
          <w:bCs/>
          <w:spacing w:val="-2"/>
          <w:lang w:eastAsia="ja-JP"/>
        </w:rPr>
        <w:t>’</w:t>
      </w:r>
      <w:r w:rsidRPr="00B729DF">
        <w:rPr>
          <w:rFonts w:eastAsia="MS Mincho"/>
          <w:bCs/>
          <w:spacing w:val="-2"/>
          <w:lang w:eastAsia="ja-JP"/>
        </w:rPr>
        <w:t>ont démontré les essais faits par l</w:t>
      </w:r>
      <w:r w:rsidR="0008632C">
        <w:rPr>
          <w:rFonts w:eastAsia="MS Mincho"/>
          <w:bCs/>
          <w:spacing w:val="-2"/>
          <w:lang w:eastAsia="ja-JP"/>
        </w:rPr>
        <w:t>’</w:t>
      </w:r>
      <w:r w:rsidRPr="00B729DF">
        <w:rPr>
          <w:rFonts w:eastAsia="MS Mincho"/>
          <w:bCs/>
          <w:spacing w:val="-2"/>
          <w:lang w:eastAsia="ja-JP"/>
        </w:rPr>
        <w:t>Italie, il doit être clairement indiqué que les dispositions en question s</w:t>
      </w:r>
      <w:r w:rsidR="0008632C">
        <w:rPr>
          <w:rFonts w:eastAsia="MS Mincho"/>
          <w:bCs/>
          <w:spacing w:val="-2"/>
          <w:lang w:eastAsia="ja-JP"/>
        </w:rPr>
        <w:t>’</w:t>
      </w:r>
      <w:r w:rsidRPr="00B729DF">
        <w:rPr>
          <w:rFonts w:eastAsia="MS Mincho"/>
          <w:bCs/>
          <w:spacing w:val="-2"/>
          <w:lang w:eastAsia="ja-JP"/>
        </w:rPr>
        <w:t>appliquent à tous les types de protection admis par le Règlement ONU n</w:t>
      </w:r>
      <w:r w:rsidRPr="00B729DF">
        <w:rPr>
          <w:rFonts w:eastAsia="MS Mincho"/>
          <w:bCs/>
          <w:spacing w:val="-2"/>
          <w:vertAlign w:val="superscript"/>
          <w:lang w:eastAsia="ja-JP"/>
        </w:rPr>
        <w:t>o </w:t>
      </w:r>
      <w:r w:rsidRPr="00B729DF">
        <w:rPr>
          <w:rFonts w:eastAsia="MS Mincho"/>
          <w:bCs/>
          <w:spacing w:val="-2"/>
          <w:lang w:eastAsia="ja-JP"/>
        </w:rPr>
        <w:t>110, et pas seulement aux revêtements.</w:t>
      </w:r>
    </w:p>
    <w:p w:rsidR="00E67DF1" w:rsidRPr="00B729DF" w:rsidRDefault="00E67DF1" w:rsidP="0008632C">
      <w:pPr>
        <w:pStyle w:val="SingleTxtG"/>
        <w:rPr>
          <w:rFonts w:eastAsia="MS Mincho"/>
          <w:bCs/>
          <w:spacing w:val="-2"/>
          <w:lang w:eastAsia="ja-JP"/>
        </w:rPr>
      </w:pPr>
      <w:r w:rsidRPr="00B729DF">
        <w:rPr>
          <w:rFonts w:eastAsia="MS Mincho"/>
          <w:bCs/>
          <w:spacing w:val="-2"/>
          <w:lang w:eastAsia="ja-JP"/>
        </w:rPr>
        <w:t>3.</w:t>
      </w:r>
      <w:r w:rsidRPr="00B729DF">
        <w:rPr>
          <w:rFonts w:eastAsia="MS Mincho"/>
          <w:bCs/>
          <w:spacing w:val="-2"/>
          <w:lang w:eastAsia="ja-JP"/>
        </w:rPr>
        <w:tab/>
        <w:t>Annexe 3A, nouveau paragraphe 10.7.5 : Il s</w:t>
      </w:r>
      <w:r w:rsidR="0008632C">
        <w:rPr>
          <w:rFonts w:eastAsia="MS Mincho"/>
          <w:bCs/>
          <w:spacing w:val="-2"/>
          <w:lang w:eastAsia="ja-JP"/>
        </w:rPr>
        <w:t>’</w:t>
      </w:r>
      <w:r w:rsidRPr="00B729DF">
        <w:rPr>
          <w:rFonts w:eastAsia="MS Mincho"/>
          <w:bCs/>
          <w:spacing w:val="-2"/>
          <w:lang w:eastAsia="ja-JP"/>
        </w:rPr>
        <w:t>agit d</w:t>
      </w:r>
      <w:r w:rsidR="0008632C">
        <w:rPr>
          <w:rFonts w:eastAsia="MS Mincho"/>
          <w:bCs/>
          <w:spacing w:val="-2"/>
          <w:lang w:eastAsia="ja-JP"/>
        </w:rPr>
        <w:t>’</w:t>
      </w:r>
      <w:r w:rsidRPr="00B729DF">
        <w:rPr>
          <w:rFonts w:eastAsia="MS Mincho"/>
          <w:bCs/>
          <w:spacing w:val="-2"/>
          <w:lang w:eastAsia="ja-JP"/>
        </w:rPr>
        <w:t>un simple rectificatif, puisque l</w:t>
      </w:r>
      <w:r w:rsidR="0008632C">
        <w:rPr>
          <w:rFonts w:eastAsia="MS Mincho"/>
          <w:bCs/>
          <w:spacing w:val="-2"/>
          <w:lang w:eastAsia="ja-JP"/>
        </w:rPr>
        <w:t>’</w:t>
      </w:r>
      <w:r w:rsidRPr="00B729DF">
        <w:rPr>
          <w:rFonts w:eastAsia="MS Mincho"/>
          <w:bCs/>
          <w:spacing w:val="-2"/>
          <w:lang w:eastAsia="ja-JP"/>
        </w:rPr>
        <w:t>essai de choc, qui est obligatoire pour les bouteilles de type GNC-4, ne figure pas parmi les essais de qualification des types de bouteille énumérés au paragraphe 10.7.</w:t>
      </w:r>
    </w:p>
    <w:p w:rsidR="00E67DF1" w:rsidRPr="00B729DF" w:rsidRDefault="00E67DF1" w:rsidP="0008632C">
      <w:pPr>
        <w:pStyle w:val="SingleTxtG"/>
        <w:rPr>
          <w:rFonts w:eastAsia="MS Mincho"/>
          <w:bCs/>
          <w:spacing w:val="-2"/>
          <w:lang w:eastAsia="ja-JP"/>
        </w:rPr>
      </w:pPr>
      <w:r w:rsidRPr="00B729DF">
        <w:rPr>
          <w:rFonts w:eastAsia="MS Mincho"/>
          <w:bCs/>
          <w:spacing w:val="-2"/>
          <w:lang w:eastAsia="ja-JP"/>
        </w:rPr>
        <w:t>4.</w:t>
      </w:r>
      <w:r w:rsidRPr="00B729DF">
        <w:rPr>
          <w:rFonts w:eastAsia="MS Mincho"/>
          <w:bCs/>
          <w:spacing w:val="-2"/>
          <w:lang w:eastAsia="ja-JP"/>
        </w:rPr>
        <w:tab/>
        <w:t>Annexe 3A, tableau 6.7 : La résistance des ogives dépend de leur conception (épaisseur, orientation des fibres, protections, etc.), pas seulement de leur forme. L</w:t>
      </w:r>
      <w:r w:rsidR="0008632C">
        <w:rPr>
          <w:rFonts w:eastAsia="MS Mincho"/>
          <w:bCs/>
          <w:spacing w:val="-2"/>
          <w:lang w:eastAsia="ja-JP"/>
        </w:rPr>
        <w:t>’</w:t>
      </w:r>
      <w:r w:rsidRPr="00B729DF">
        <w:rPr>
          <w:rFonts w:eastAsia="MS Mincho"/>
          <w:bCs/>
          <w:spacing w:val="-2"/>
          <w:lang w:eastAsia="ja-JP"/>
        </w:rPr>
        <w:t>essai de chute doit être obligatoire pour les bouteilles de type GNC-3 et GNC-4 afin d</w:t>
      </w:r>
      <w:r w:rsidR="0008632C">
        <w:rPr>
          <w:rFonts w:eastAsia="MS Mincho"/>
          <w:bCs/>
          <w:spacing w:val="-2"/>
          <w:lang w:eastAsia="ja-JP"/>
        </w:rPr>
        <w:t>’</w:t>
      </w:r>
      <w:r w:rsidRPr="00B729DF">
        <w:rPr>
          <w:rFonts w:eastAsia="MS Mincho"/>
          <w:bCs/>
          <w:spacing w:val="-2"/>
          <w:lang w:eastAsia="ja-JP"/>
        </w:rPr>
        <w:t>éviter qu</w:t>
      </w:r>
      <w:r w:rsidR="0008632C">
        <w:rPr>
          <w:rFonts w:eastAsia="MS Mincho"/>
          <w:bCs/>
          <w:spacing w:val="-2"/>
          <w:lang w:eastAsia="ja-JP"/>
        </w:rPr>
        <w:t>’</w:t>
      </w:r>
      <w:r w:rsidRPr="00B729DF">
        <w:rPr>
          <w:rFonts w:eastAsia="MS Mincho"/>
          <w:bCs/>
          <w:spacing w:val="-2"/>
          <w:lang w:eastAsia="ja-JP"/>
        </w:rPr>
        <w:t>un changement dans la conception des ogives n</w:t>
      </w:r>
      <w:r w:rsidR="0008632C">
        <w:rPr>
          <w:rFonts w:eastAsia="MS Mincho"/>
          <w:bCs/>
          <w:spacing w:val="-2"/>
          <w:lang w:eastAsia="ja-JP"/>
        </w:rPr>
        <w:t>’</w:t>
      </w:r>
      <w:r w:rsidRPr="00B729DF">
        <w:rPr>
          <w:rFonts w:eastAsia="MS Mincho"/>
          <w:bCs/>
          <w:spacing w:val="-2"/>
          <w:lang w:eastAsia="ja-JP"/>
        </w:rPr>
        <w:t xml:space="preserve">entraîne la production de bouteilles </w:t>
      </w:r>
      <w:r w:rsidRPr="00B729DF">
        <w:t>homologuées en application</w:t>
      </w:r>
      <w:r w:rsidRPr="00B729DF">
        <w:rPr>
          <w:rFonts w:eastAsia="MS Mincho"/>
          <w:bCs/>
          <w:spacing w:val="-2"/>
          <w:lang w:eastAsia="ja-JP"/>
        </w:rPr>
        <w:t xml:space="preserve"> du Règlement ONU </w:t>
      </w:r>
      <w:r w:rsidR="0008632C" w:rsidRPr="0008632C">
        <w:rPr>
          <w:rFonts w:eastAsia="MS Mincho"/>
          <w:bCs/>
          <w:spacing w:val="-2"/>
          <w:szCs w:val="22"/>
          <w:lang w:eastAsia="ja-JP"/>
        </w:rPr>
        <w:t>n</w:t>
      </w:r>
      <w:r w:rsidR="0008632C" w:rsidRPr="0008632C">
        <w:rPr>
          <w:rFonts w:eastAsia="MS Mincho"/>
          <w:bCs/>
          <w:spacing w:val="-2"/>
          <w:szCs w:val="22"/>
          <w:vertAlign w:val="superscript"/>
          <w:lang w:eastAsia="ja-JP"/>
        </w:rPr>
        <w:t>o</w:t>
      </w:r>
      <w:r w:rsidR="0008632C">
        <w:rPr>
          <w:rFonts w:eastAsia="MS Mincho"/>
          <w:bCs/>
          <w:spacing w:val="-2"/>
          <w:lang w:eastAsia="ja-JP"/>
        </w:rPr>
        <w:t> </w:t>
      </w:r>
      <w:r w:rsidRPr="00B729DF">
        <w:rPr>
          <w:rFonts w:eastAsia="MS Mincho"/>
          <w:bCs/>
          <w:spacing w:val="-2"/>
          <w:lang w:eastAsia="ja-JP"/>
        </w:rPr>
        <w:t>110 qui ne garantissent pas la résistance au choc prescrite, comme l</w:t>
      </w:r>
      <w:r w:rsidR="0008632C">
        <w:rPr>
          <w:rFonts w:eastAsia="MS Mincho"/>
          <w:bCs/>
          <w:spacing w:val="-2"/>
          <w:lang w:eastAsia="ja-JP"/>
        </w:rPr>
        <w:t>’</w:t>
      </w:r>
      <w:r w:rsidRPr="00B729DF">
        <w:rPr>
          <w:rFonts w:eastAsia="MS Mincho"/>
          <w:bCs/>
          <w:spacing w:val="-2"/>
          <w:lang w:eastAsia="ja-JP"/>
        </w:rPr>
        <w:t>ont montré les essais de l</w:t>
      </w:r>
      <w:r w:rsidR="0008632C">
        <w:rPr>
          <w:rFonts w:eastAsia="MS Mincho"/>
          <w:bCs/>
          <w:spacing w:val="-2"/>
          <w:lang w:eastAsia="ja-JP"/>
        </w:rPr>
        <w:t>’</w:t>
      </w:r>
      <w:r w:rsidRPr="00B729DF">
        <w:rPr>
          <w:rFonts w:eastAsia="MS Mincho"/>
          <w:bCs/>
          <w:spacing w:val="-2"/>
          <w:lang w:eastAsia="ja-JP"/>
        </w:rPr>
        <w:t>Italie.</w:t>
      </w:r>
    </w:p>
    <w:p w:rsidR="00924A33" w:rsidRDefault="00E67DF1" w:rsidP="0008632C">
      <w:pPr>
        <w:pStyle w:val="SingleTxtG"/>
        <w:rPr>
          <w:rFonts w:eastAsia="MS Mincho"/>
          <w:bCs/>
          <w:spacing w:val="-2"/>
          <w:lang w:eastAsia="ja-JP"/>
        </w:rPr>
      </w:pPr>
      <w:r w:rsidRPr="00B729DF">
        <w:rPr>
          <w:rFonts w:eastAsia="MS Mincho"/>
          <w:bCs/>
          <w:spacing w:val="-2"/>
          <w:lang w:eastAsia="ja-JP"/>
        </w:rPr>
        <w:t>5.</w:t>
      </w:r>
      <w:r w:rsidRPr="00B729DF">
        <w:rPr>
          <w:rFonts w:eastAsia="MS Mincho"/>
          <w:bCs/>
          <w:spacing w:val="-2"/>
          <w:lang w:eastAsia="ja-JP"/>
        </w:rPr>
        <w:tab/>
      </w:r>
      <w:r w:rsidRPr="00B729DF">
        <w:t>Annexe 3</w:t>
      </w:r>
      <w:r w:rsidR="00C615C4">
        <w:t>A</w:t>
      </w:r>
      <w:r w:rsidRPr="00B729DF">
        <w:t>, appendice A, paragraphe</w:t>
      </w:r>
      <w:r w:rsidR="00AF09A5">
        <w:rPr>
          <w:rFonts w:eastAsia="MS Mincho"/>
          <w:bCs/>
          <w:spacing w:val="-2"/>
          <w:lang w:eastAsia="ja-JP"/>
        </w:rPr>
        <w:t> </w:t>
      </w:r>
      <w:r w:rsidRPr="00B729DF">
        <w:rPr>
          <w:rFonts w:eastAsia="MS Mincho"/>
          <w:bCs/>
          <w:spacing w:val="-2"/>
          <w:lang w:eastAsia="ja-JP"/>
        </w:rPr>
        <w:t>A.17 : Il est évident que l</w:t>
      </w:r>
      <w:r w:rsidR="0008632C">
        <w:rPr>
          <w:rFonts w:eastAsia="MS Mincho"/>
          <w:bCs/>
          <w:spacing w:val="-2"/>
          <w:lang w:eastAsia="ja-JP"/>
        </w:rPr>
        <w:t>’</w:t>
      </w:r>
      <w:r w:rsidRPr="00B729DF">
        <w:rPr>
          <w:rFonts w:eastAsia="MS Mincho"/>
          <w:bCs/>
          <w:spacing w:val="-2"/>
          <w:lang w:eastAsia="ja-JP"/>
        </w:rPr>
        <w:t>entaille la plus dangereuse est celle qui est pratiquée sur le point le plus fragile d</w:t>
      </w:r>
      <w:r w:rsidR="0008632C">
        <w:rPr>
          <w:rFonts w:eastAsia="MS Mincho"/>
          <w:bCs/>
          <w:spacing w:val="-2"/>
          <w:lang w:eastAsia="ja-JP"/>
        </w:rPr>
        <w:t>’</w:t>
      </w:r>
      <w:r w:rsidRPr="00B729DF">
        <w:rPr>
          <w:rFonts w:eastAsia="MS Mincho"/>
          <w:bCs/>
          <w:spacing w:val="-2"/>
          <w:lang w:eastAsia="ja-JP"/>
        </w:rPr>
        <w:t>une structure et qu</w:t>
      </w:r>
      <w:r w:rsidR="0008632C">
        <w:rPr>
          <w:rFonts w:eastAsia="MS Mincho"/>
          <w:bCs/>
          <w:spacing w:val="-2"/>
          <w:lang w:eastAsia="ja-JP"/>
        </w:rPr>
        <w:t>’</w:t>
      </w:r>
      <w:r w:rsidRPr="00B729DF">
        <w:rPr>
          <w:rFonts w:eastAsia="MS Mincho"/>
          <w:bCs/>
          <w:spacing w:val="-2"/>
          <w:lang w:eastAsia="ja-JP"/>
        </w:rPr>
        <w:t>il ne sert à rien, pour éprouver la fiabilité de la bouteille, de soumettre à un essai de « tolérance aux entailles » sa partie la plus solide. Il convient de le préciser pour éviter tout malentendu, car cela pourrait avoir de graves conséquences sur la fiabilité de la bouteille, comme l</w:t>
      </w:r>
      <w:r w:rsidR="0008632C">
        <w:rPr>
          <w:rFonts w:eastAsia="MS Mincho"/>
          <w:bCs/>
          <w:spacing w:val="-2"/>
          <w:lang w:eastAsia="ja-JP"/>
        </w:rPr>
        <w:t>’</w:t>
      </w:r>
      <w:r w:rsidRPr="00B729DF">
        <w:rPr>
          <w:rFonts w:eastAsia="MS Mincho"/>
          <w:bCs/>
          <w:spacing w:val="-2"/>
          <w:lang w:eastAsia="ja-JP"/>
        </w:rPr>
        <w:t>ont montré les défaillances en service recensées en Italie. Toutes ces défaillances sont apparues sur les ogives au même endroit, là où l</w:t>
      </w:r>
      <w:r w:rsidR="0008632C">
        <w:rPr>
          <w:rFonts w:eastAsia="MS Mincho"/>
          <w:bCs/>
          <w:spacing w:val="-2"/>
          <w:lang w:eastAsia="ja-JP"/>
        </w:rPr>
        <w:t>’</w:t>
      </w:r>
      <w:r w:rsidRPr="00B729DF">
        <w:rPr>
          <w:rFonts w:eastAsia="MS Mincho"/>
          <w:bCs/>
          <w:spacing w:val="-2"/>
          <w:lang w:eastAsia="ja-JP"/>
        </w:rPr>
        <w:t>épaisseur du matériau composite est la plus fine, correspondant à la moitié de l</w:t>
      </w:r>
      <w:r w:rsidR="0008632C">
        <w:rPr>
          <w:rFonts w:eastAsia="MS Mincho"/>
          <w:bCs/>
          <w:spacing w:val="-2"/>
          <w:lang w:eastAsia="ja-JP"/>
        </w:rPr>
        <w:t>’</w:t>
      </w:r>
      <w:r w:rsidRPr="00B729DF">
        <w:rPr>
          <w:rFonts w:eastAsia="MS Mincho"/>
          <w:bCs/>
          <w:spacing w:val="-2"/>
          <w:lang w:eastAsia="ja-JP"/>
        </w:rPr>
        <w:t>épaisseur de la paroi cylindrique, et où un essai de tolérance aux entailles n</w:t>
      </w:r>
      <w:r w:rsidR="0008632C">
        <w:rPr>
          <w:rFonts w:eastAsia="MS Mincho"/>
          <w:bCs/>
          <w:spacing w:val="-2"/>
          <w:lang w:eastAsia="ja-JP"/>
        </w:rPr>
        <w:t>’</w:t>
      </w:r>
      <w:r w:rsidRPr="00B729DF">
        <w:rPr>
          <w:rFonts w:eastAsia="MS Mincho"/>
          <w:bCs/>
          <w:spacing w:val="-2"/>
          <w:lang w:eastAsia="ja-JP"/>
        </w:rPr>
        <w:t>est en général jamais effectué. Si une diminution de l</w:t>
      </w:r>
      <w:r w:rsidR="0008632C">
        <w:rPr>
          <w:rFonts w:eastAsia="MS Mincho"/>
          <w:bCs/>
          <w:spacing w:val="-2"/>
          <w:lang w:eastAsia="ja-JP"/>
        </w:rPr>
        <w:t>’</w:t>
      </w:r>
      <w:r w:rsidRPr="00B729DF">
        <w:rPr>
          <w:rFonts w:eastAsia="MS Mincho"/>
          <w:bCs/>
          <w:spacing w:val="-2"/>
          <w:lang w:eastAsia="ja-JP"/>
        </w:rPr>
        <w:t>épaisseur et de la résistance des ogives de près de moitié par rapport à la paroi cylindrique est admissible de manière théorique en l</w:t>
      </w:r>
      <w:r w:rsidR="0008632C">
        <w:rPr>
          <w:rFonts w:eastAsia="MS Mincho"/>
          <w:bCs/>
          <w:spacing w:val="-2"/>
          <w:lang w:eastAsia="ja-JP"/>
        </w:rPr>
        <w:t>’</w:t>
      </w:r>
      <w:r w:rsidRPr="00B729DF">
        <w:rPr>
          <w:rFonts w:eastAsia="MS Mincho"/>
          <w:bCs/>
          <w:spacing w:val="-2"/>
          <w:lang w:eastAsia="ja-JP"/>
        </w:rPr>
        <w:t>absence d</w:t>
      </w:r>
      <w:r w:rsidR="0008632C">
        <w:rPr>
          <w:rFonts w:eastAsia="MS Mincho"/>
          <w:bCs/>
          <w:spacing w:val="-2"/>
          <w:lang w:eastAsia="ja-JP"/>
        </w:rPr>
        <w:t>’</w:t>
      </w:r>
      <w:r w:rsidRPr="00B729DF">
        <w:rPr>
          <w:rFonts w:eastAsia="MS Mincho"/>
          <w:bCs/>
          <w:spacing w:val="-2"/>
          <w:lang w:eastAsia="ja-JP"/>
        </w:rPr>
        <w:t>entaille, elle ne l</w:t>
      </w:r>
      <w:r w:rsidR="0008632C">
        <w:rPr>
          <w:rFonts w:eastAsia="MS Mincho"/>
          <w:bCs/>
          <w:spacing w:val="-2"/>
          <w:lang w:eastAsia="ja-JP"/>
        </w:rPr>
        <w:t>’</w:t>
      </w:r>
      <w:r w:rsidRPr="00B729DF">
        <w:rPr>
          <w:rFonts w:eastAsia="MS Mincho"/>
          <w:bCs/>
          <w:spacing w:val="-2"/>
          <w:lang w:eastAsia="ja-JP"/>
        </w:rPr>
        <w:t>est pas en cas d</w:t>
      </w:r>
      <w:r w:rsidR="0008632C">
        <w:rPr>
          <w:rFonts w:eastAsia="MS Mincho"/>
          <w:bCs/>
          <w:spacing w:val="-2"/>
          <w:lang w:eastAsia="ja-JP"/>
        </w:rPr>
        <w:t>’</w:t>
      </w:r>
      <w:r w:rsidRPr="00B729DF">
        <w:rPr>
          <w:rFonts w:eastAsia="MS Mincho"/>
          <w:bCs/>
          <w:spacing w:val="-2"/>
          <w:lang w:eastAsia="ja-JP"/>
        </w:rPr>
        <w:t>entaille. Les essais effectués par l</w:t>
      </w:r>
      <w:r w:rsidR="0008632C">
        <w:rPr>
          <w:rFonts w:eastAsia="MS Mincho"/>
          <w:bCs/>
          <w:spacing w:val="-2"/>
          <w:lang w:eastAsia="ja-JP"/>
        </w:rPr>
        <w:t>’</w:t>
      </w:r>
      <w:r w:rsidRPr="00B729DF">
        <w:rPr>
          <w:rFonts w:eastAsia="MS Mincho"/>
          <w:bCs/>
          <w:spacing w:val="-2"/>
          <w:lang w:eastAsia="ja-JP"/>
        </w:rPr>
        <w:t>Italie ont démontré que des défaillances pouvaient survenir en service et qu</w:t>
      </w:r>
      <w:r w:rsidR="0008632C">
        <w:rPr>
          <w:rFonts w:eastAsia="MS Mincho"/>
          <w:bCs/>
          <w:spacing w:val="-2"/>
          <w:lang w:eastAsia="ja-JP"/>
        </w:rPr>
        <w:t>’</w:t>
      </w:r>
      <w:r w:rsidRPr="00B729DF">
        <w:rPr>
          <w:rFonts w:eastAsia="MS Mincho"/>
          <w:bCs/>
          <w:spacing w:val="-2"/>
          <w:lang w:eastAsia="ja-JP"/>
        </w:rPr>
        <w:t>une telle diminution fragilisait les ogives des bouteilles de type GNC-4. Ainsi, il est nécessaire de renforcer la tolérance aux défauts et la fiabilité du composite des bouteilles de type GNC-3 et GNC-4 en précisant clairement qu</w:t>
      </w:r>
      <w:r w:rsidR="0008632C">
        <w:rPr>
          <w:rFonts w:eastAsia="MS Mincho"/>
          <w:bCs/>
          <w:spacing w:val="-2"/>
          <w:lang w:eastAsia="ja-JP"/>
        </w:rPr>
        <w:t>’</w:t>
      </w:r>
      <w:r w:rsidRPr="00B729DF">
        <w:rPr>
          <w:rFonts w:eastAsia="MS Mincho"/>
          <w:bCs/>
          <w:spacing w:val="-2"/>
          <w:lang w:eastAsia="ja-JP"/>
        </w:rPr>
        <w:t>il faut également évaluer les effets des entailles là où la paroi des ogives est la plus fine.</w:t>
      </w:r>
    </w:p>
    <w:p w:rsidR="00E67DF1" w:rsidRPr="00E67DF1" w:rsidRDefault="00E67DF1" w:rsidP="00E67DF1">
      <w:pPr>
        <w:pStyle w:val="SingleTxtG"/>
        <w:spacing w:before="240" w:after="0"/>
        <w:jc w:val="center"/>
        <w:rPr>
          <w:u w:val="single"/>
        </w:rPr>
      </w:pPr>
      <w:r>
        <w:rPr>
          <w:u w:val="single"/>
        </w:rPr>
        <w:tab/>
      </w:r>
      <w:r>
        <w:rPr>
          <w:u w:val="single"/>
        </w:rPr>
        <w:tab/>
      </w:r>
      <w:r>
        <w:rPr>
          <w:u w:val="single"/>
        </w:rPr>
        <w:tab/>
      </w:r>
    </w:p>
    <w:sectPr w:rsidR="00E67DF1" w:rsidRPr="00E67DF1" w:rsidSect="00D11A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8B" w:rsidRDefault="00BB578B" w:rsidP="00F95C08">
      <w:pPr>
        <w:spacing w:line="240" w:lineRule="auto"/>
      </w:pPr>
    </w:p>
  </w:endnote>
  <w:endnote w:type="continuationSeparator" w:id="0">
    <w:p w:rsidR="00BB578B" w:rsidRPr="00AC3823" w:rsidRDefault="00BB578B" w:rsidP="00AC3823">
      <w:pPr>
        <w:pStyle w:val="Footer"/>
      </w:pPr>
    </w:p>
  </w:endnote>
  <w:endnote w:type="continuationNotice" w:id="1">
    <w:p w:rsidR="00BB578B" w:rsidRDefault="00BB57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6" w:rsidRPr="00D11AB6" w:rsidRDefault="00D11AB6" w:rsidP="00D11AB6">
    <w:pPr>
      <w:pStyle w:val="Footer"/>
      <w:tabs>
        <w:tab w:val="right" w:pos="9638"/>
      </w:tabs>
    </w:pPr>
    <w:r w:rsidRPr="00D11AB6">
      <w:rPr>
        <w:b/>
        <w:sz w:val="18"/>
      </w:rPr>
      <w:fldChar w:fldCharType="begin"/>
    </w:r>
    <w:r w:rsidRPr="00D11AB6">
      <w:rPr>
        <w:b/>
        <w:sz w:val="18"/>
      </w:rPr>
      <w:instrText xml:space="preserve"> PAGE  \* MERGEFORMAT </w:instrText>
    </w:r>
    <w:r w:rsidRPr="00D11AB6">
      <w:rPr>
        <w:b/>
        <w:sz w:val="18"/>
      </w:rPr>
      <w:fldChar w:fldCharType="separate"/>
    </w:r>
    <w:r w:rsidR="00C53BB8">
      <w:rPr>
        <w:b/>
        <w:noProof/>
        <w:sz w:val="18"/>
      </w:rPr>
      <w:t>2</w:t>
    </w:r>
    <w:r w:rsidRPr="00D11AB6">
      <w:rPr>
        <w:b/>
        <w:sz w:val="18"/>
      </w:rPr>
      <w:fldChar w:fldCharType="end"/>
    </w:r>
    <w:r>
      <w:rPr>
        <w:b/>
        <w:sz w:val="18"/>
      </w:rPr>
      <w:tab/>
    </w:r>
    <w:r>
      <w:t>GE.18-12067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6" w:rsidRPr="00D11AB6" w:rsidRDefault="00D11AB6" w:rsidP="00D11AB6">
    <w:pPr>
      <w:pStyle w:val="Footer"/>
      <w:tabs>
        <w:tab w:val="right" w:pos="9638"/>
      </w:tabs>
      <w:rPr>
        <w:b/>
        <w:sz w:val="18"/>
      </w:rPr>
    </w:pPr>
    <w:r>
      <w:t>GE.18-12067</w:t>
    </w:r>
    <w:r>
      <w:tab/>
    </w:r>
    <w:r w:rsidRPr="00D11AB6">
      <w:rPr>
        <w:b/>
        <w:sz w:val="18"/>
      </w:rPr>
      <w:fldChar w:fldCharType="begin"/>
    </w:r>
    <w:r w:rsidRPr="00D11AB6">
      <w:rPr>
        <w:b/>
        <w:sz w:val="18"/>
      </w:rPr>
      <w:instrText xml:space="preserve"> PAGE  \* MERGEFORMAT </w:instrText>
    </w:r>
    <w:r w:rsidRPr="00D11AB6">
      <w:rPr>
        <w:b/>
        <w:sz w:val="18"/>
      </w:rPr>
      <w:fldChar w:fldCharType="separate"/>
    </w:r>
    <w:r w:rsidR="00C53BB8">
      <w:rPr>
        <w:b/>
        <w:noProof/>
        <w:sz w:val="18"/>
      </w:rPr>
      <w:t>3</w:t>
    </w:r>
    <w:r w:rsidRPr="00D11A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11AB6" w:rsidRDefault="00D11AB6" w:rsidP="00D11AB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18-12067  (F)</w:t>
    </w:r>
    <w:r w:rsidR="00924A33">
      <w:rPr>
        <w:sz w:val="20"/>
      </w:rPr>
      <w:t xml:space="preserve">    220818    280818</w:t>
    </w:r>
    <w:r>
      <w:rPr>
        <w:sz w:val="20"/>
      </w:rPr>
      <w:br/>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sidRPr="00D11AB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8B" w:rsidRPr="00AC3823" w:rsidRDefault="00BB578B" w:rsidP="00AC3823">
      <w:pPr>
        <w:pStyle w:val="Footer"/>
        <w:tabs>
          <w:tab w:val="right" w:pos="2155"/>
        </w:tabs>
        <w:spacing w:after="80" w:line="240" w:lineRule="atLeast"/>
        <w:ind w:left="680"/>
        <w:rPr>
          <w:u w:val="single"/>
        </w:rPr>
      </w:pPr>
      <w:r>
        <w:rPr>
          <w:u w:val="single"/>
        </w:rPr>
        <w:tab/>
      </w:r>
    </w:p>
  </w:footnote>
  <w:footnote w:type="continuationSeparator" w:id="0">
    <w:p w:rsidR="00BB578B" w:rsidRPr="00AC3823" w:rsidRDefault="00BB578B" w:rsidP="00AC3823">
      <w:pPr>
        <w:pStyle w:val="Footer"/>
        <w:tabs>
          <w:tab w:val="right" w:pos="2155"/>
        </w:tabs>
        <w:spacing w:after="80" w:line="240" w:lineRule="atLeast"/>
        <w:ind w:left="680"/>
        <w:rPr>
          <w:u w:val="single"/>
        </w:rPr>
      </w:pPr>
      <w:r>
        <w:rPr>
          <w:u w:val="single"/>
        </w:rPr>
        <w:tab/>
      </w:r>
    </w:p>
  </w:footnote>
  <w:footnote w:type="continuationNotice" w:id="1">
    <w:p w:rsidR="00BB578B" w:rsidRPr="00AC3823" w:rsidRDefault="00BB578B">
      <w:pPr>
        <w:spacing w:line="240" w:lineRule="auto"/>
        <w:rPr>
          <w:sz w:val="2"/>
          <w:szCs w:val="2"/>
        </w:rPr>
      </w:pPr>
    </w:p>
  </w:footnote>
  <w:footnote w:id="2">
    <w:p w:rsidR="00924A33" w:rsidRPr="00D855D2" w:rsidRDefault="00924A33" w:rsidP="00924A33">
      <w:pPr>
        <w:pStyle w:val="FootnoteText"/>
        <w:tabs>
          <w:tab w:val="clear" w:pos="1021"/>
        </w:tabs>
        <w:ind w:hanging="283"/>
      </w:pPr>
      <w:r w:rsidRPr="00924A33">
        <w:rPr>
          <w:rStyle w:val="FootnoteReference"/>
          <w:sz w:val="20"/>
          <w:vertAlign w:val="baseline"/>
        </w:rPr>
        <w:t>*</w:t>
      </w:r>
      <w:r w:rsidRPr="00924A33">
        <w:rPr>
          <w:sz w:val="20"/>
        </w:rPr>
        <w:tab/>
      </w:r>
      <w:r w:rsidRPr="00924A33">
        <w:rPr>
          <w:spacing w:val="-2"/>
          <w:szCs w:val="18"/>
        </w:rPr>
        <w:t>Conformément au programme de travail du Comité des transports intérieurs pour la période 2014-2018</w:t>
      </w:r>
      <w:r w:rsidRPr="00D855D2">
        <w:rPr>
          <w:szCs w:val="18"/>
        </w:rPr>
        <w:t xml:space="preserve"> (ECE/TRANS/240, par. 105, et ECE/TRANS/2014/26, activité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6" w:rsidRPr="00D11AB6" w:rsidRDefault="000E572E">
    <w:pPr>
      <w:pStyle w:val="Header"/>
    </w:pPr>
    <w:r>
      <w:fldChar w:fldCharType="begin"/>
    </w:r>
    <w:r>
      <w:instrText xml:space="preserve"> TITLE  \* MERGEFORMAT </w:instrText>
    </w:r>
    <w:r>
      <w:fldChar w:fldCharType="separate"/>
    </w:r>
    <w:r w:rsidR="00AE3E96">
      <w:t>ECE/TRANS/WP.29/GRSG/2018/16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B6" w:rsidRPr="00D11AB6" w:rsidRDefault="000E572E" w:rsidP="00D11AB6">
    <w:pPr>
      <w:pStyle w:val="Header"/>
      <w:jc w:val="right"/>
    </w:pPr>
    <w:r>
      <w:fldChar w:fldCharType="begin"/>
    </w:r>
    <w:r>
      <w:instrText xml:space="preserve"> TITLE  \* MERGEFORMAT </w:instrText>
    </w:r>
    <w:r>
      <w:fldChar w:fldCharType="separate"/>
    </w:r>
    <w:r w:rsidR="00AE3E96">
      <w:t>ECE/TRANS/WP.29/GRSG/2018/16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78B"/>
    <w:rsid w:val="00017F94"/>
    <w:rsid w:val="000232F3"/>
    <w:rsid w:val="00023842"/>
    <w:rsid w:val="000334F9"/>
    <w:rsid w:val="00045FEB"/>
    <w:rsid w:val="0007796D"/>
    <w:rsid w:val="0008632C"/>
    <w:rsid w:val="000A5E6F"/>
    <w:rsid w:val="000A6580"/>
    <w:rsid w:val="000B7790"/>
    <w:rsid w:val="000E572E"/>
    <w:rsid w:val="00111F2F"/>
    <w:rsid w:val="0014365E"/>
    <w:rsid w:val="00143C66"/>
    <w:rsid w:val="00176178"/>
    <w:rsid w:val="001F525A"/>
    <w:rsid w:val="00223272"/>
    <w:rsid w:val="0024779E"/>
    <w:rsid w:val="00257168"/>
    <w:rsid w:val="002744B8"/>
    <w:rsid w:val="002832AC"/>
    <w:rsid w:val="002D7C93"/>
    <w:rsid w:val="00305801"/>
    <w:rsid w:val="00346876"/>
    <w:rsid w:val="00385E8C"/>
    <w:rsid w:val="003916DE"/>
    <w:rsid w:val="00421996"/>
    <w:rsid w:val="00441C3B"/>
    <w:rsid w:val="00446FE5"/>
    <w:rsid w:val="00452396"/>
    <w:rsid w:val="004837D8"/>
    <w:rsid w:val="004A7155"/>
    <w:rsid w:val="004E2EED"/>
    <w:rsid w:val="004E468C"/>
    <w:rsid w:val="005505B7"/>
    <w:rsid w:val="005578D0"/>
    <w:rsid w:val="00573BE5"/>
    <w:rsid w:val="00586ED3"/>
    <w:rsid w:val="00596AA9"/>
    <w:rsid w:val="005F4C16"/>
    <w:rsid w:val="00703AF0"/>
    <w:rsid w:val="0071601D"/>
    <w:rsid w:val="007A62E6"/>
    <w:rsid w:val="007F20FA"/>
    <w:rsid w:val="0080684C"/>
    <w:rsid w:val="00837411"/>
    <w:rsid w:val="00871C75"/>
    <w:rsid w:val="008776DC"/>
    <w:rsid w:val="008962AE"/>
    <w:rsid w:val="008E577A"/>
    <w:rsid w:val="00924A33"/>
    <w:rsid w:val="009446C0"/>
    <w:rsid w:val="009705C8"/>
    <w:rsid w:val="009C1CF4"/>
    <w:rsid w:val="009F6B74"/>
    <w:rsid w:val="00A3029F"/>
    <w:rsid w:val="00A30353"/>
    <w:rsid w:val="00AC3823"/>
    <w:rsid w:val="00AD3DFA"/>
    <w:rsid w:val="00AE323C"/>
    <w:rsid w:val="00AE3E96"/>
    <w:rsid w:val="00AF09A5"/>
    <w:rsid w:val="00AF0CB5"/>
    <w:rsid w:val="00B00181"/>
    <w:rsid w:val="00B00B0D"/>
    <w:rsid w:val="00B45F2E"/>
    <w:rsid w:val="00B765F7"/>
    <w:rsid w:val="00BA0CA9"/>
    <w:rsid w:val="00BB578B"/>
    <w:rsid w:val="00BF0D4C"/>
    <w:rsid w:val="00BF1D46"/>
    <w:rsid w:val="00C02897"/>
    <w:rsid w:val="00C21694"/>
    <w:rsid w:val="00C53BB8"/>
    <w:rsid w:val="00C615C4"/>
    <w:rsid w:val="00C80B07"/>
    <w:rsid w:val="00C97039"/>
    <w:rsid w:val="00CB4063"/>
    <w:rsid w:val="00D11AB6"/>
    <w:rsid w:val="00D3439C"/>
    <w:rsid w:val="00DA44FF"/>
    <w:rsid w:val="00DB17B8"/>
    <w:rsid w:val="00DB1831"/>
    <w:rsid w:val="00DD3BFD"/>
    <w:rsid w:val="00DF6678"/>
    <w:rsid w:val="00E0299A"/>
    <w:rsid w:val="00E174AA"/>
    <w:rsid w:val="00E67DF1"/>
    <w:rsid w:val="00E85C74"/>
    <w:rsid w:val="00E97741"/>
    <w:rsid w:val="00EA6547"/>
    <w:rsid w:val="00EF2E22"/>
    <w:rsid w:val="00F35BAF"/>
    <w:rsid w:val="00F4131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C20901-D2F4-4E51-8C46-EFA6F99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924A3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67DF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ECE/TRANS/WP.29/GRSG/2018/16</vt:lpstr>
      <vt:lpstr>ECE/TRANS/WP.29/GRSG/2018/16</vt:lpstr>
    </vt:vector>
  </TitlesOfParts>
  <Company>DCM</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ECE/TRANS/WP.29/GRSG/2018/16</dc:title>
  <dc:subject/>
  <dc:creator>Corinne ROBERT</dc:creator>
  <cp:keywords/>
  <cp:lastModifiedBy>Secretariat</cp:lastModifiedBy>
  <cp:revision>2</cp:revision>
  <cp:lastPrinted>2018-08-28T05:40:00Z</cp:lastPrinted>
  <dcterms:created xsi:type="dcterms:W3CDTF">2018-08-28T12:49:00Z</dcterms:created>
  <dcterms:modified xsi:type="dcterms:W3CDTF">2018-08-28T12:49:00Z</dcterms:modified>
</cp:coreProperties>
</file>