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03DB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03DBC" w:rsidP="00603DBC">
            <w:pPr>
              <w:jc w:val="right"/>
            </w:pPr>
            <w:r w:rsidRPr="00603DBC">
              <w:rPr>
                <w:sz w:val="40"/>
              </w:rPr>
              <w:t>ECE</w:t>
            </w:r>
            <w:r>
              <w:t>/TRANS/WP.29/GRSG/2018/12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03DBC" w:rsidP="00C97039">
            <w:pPr>
              <w:spacing w:before="240"/>
            </w:pPr>
            <w:r>
              <w:t>Distr. générale</w:t>
            </w:r>
          </w:p>
          <w:p w:rsidR="00603DBC" w:rsidRDefault="00603DBC" w:rsidP="00603DBC">
            <w:pPr>
              <w:spacing w:line="240" w:lineRule="exact"/>
            </w:pPr>
            <w:r>
              <w:t>20 juillet 2018</w:t>
            </w:r>
          </w:p>
          <w:p w:rsidR="00603DBC" w:rsidRDefault="00603DBC" w:rsidP="00603DBC">
            <w:pPr>
              <w:spacing w:line="240" w:lineRule="exact"/>
            </w:pPr>
            <w:r>
              <w:t>Français</w:t>
            </w:r>
          </w:p>
          <w:p w:rsidR="00603DBC" w:rsidRPr="00DB58B5" w:rsidRDefault="00603DBC" w:rsidP="00603DB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03DBC" w:rsidRDefault="00603DB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03DBC" w:rsidRDefault="00603DBC" w:rsidP="00257168">
      <w:pPr>
        <w:spacing w:before="120" w:after="120" w:line="240" w:lineRule="exact"/>
        <w:rPr>
          <w:b/>
        </w:rPr>
      </w:pPr>
      <w:r>
        <w:rPr>
          <w:b/>
        </w:rPr>
        <w:t>Groupe de travail des dispositions générales de sécurité</w:t>
      </w:r>
    </w:p>
    <w:p w:rsidR="00603DBC" w:rsidRDefault="00EB6F38" w:rsidP="00257168">
      <w:pPr>
        <w:spacing w:before="120" w:line="240" w:lineRule="exact"/>
        <w:rPr>
          <w:b/>
        </w:rPr>
      </w:pPr>
      <w:r>
        <w:rPr>
          <w:b/>
        </w:rPr>
        <w:t>11</w:t>
      </w:r>
      <w:r w:rsidR="00603DBC">
        <w:rPr>
          <w:b/>
        </w:rPr>
        <w:t>5</w:t>
      </w:r>
      <w:r w:rsidR="00603DBC" w:rsidRPr="00603DBC">
        <w:rPr>
          <w:b/>
          <w:vertAlign w:val="superscript"/>
        </w:rPr>
        <w:t>e</w:t>
      </w:r>
      <w:r w:rsidR="00603DBC">
        <w:rPr>
          <w:b/>
        </w:rPr>
        <w:t xml:space="preserve"> session</w:t>
      </w:r>
    </w:p>
    <w:p w:rsidR="00603DBC" w:rsidRDefault="00603DBC" w:rsidP="00257168">
      <w:pPr>
        <w:spacing w:line="240" w:lineRule="exact"/>
      </w:pPr>
      <w:r>
        <w:t xml:space="preserve">Genève, </w:t>
      </w:r>
      <w:r w:rsidRPr="00122AD2">
        <w:t>9-12 octobre 2018</w:t>
      </w:r>
    </w:p>
    <w:p w:rsidR="00603DBC" w:rsidRDefault="00603DBC" w:rsidP="00257168">
      <w:pPr>
        <w:spacing w:line="240" w:lineRule="exact"/>
      </w:pPr>
      <w:r>
        <w:t>Point 9 b) de l’ordre du jour</w:t>
      </w:r>
    </w:p>
    <w:p w:rsidR="00603DBC" w:rsidRPr="00794BA8" w:rsidRDefault="00603DBC" w:rsidP="00603DBC">
      <w:pPr>
        <w:rPr>
          <w:b/>
        </w:rPr>
      </w:pPr>
      <w:r w:rsidRPr="00794BA8">
        <w:rPr>
          <w:b/>
        </w:rPr>
        <w:t>Amendements aux Règlements concernant</w:t>
      </w:r>
      <w:r w:rsidR="00794BA8">
        <w:rPr>
          <w:b/>
        </w:rPr>
        <w:br/>
      </w:r>
      <w:r w:rsidRPr="00794BA8">
        <w:rPr>
          <w:b/>
        </w:rPr>
        <w:t>les véhicules fonctionnant au gaz :</w:t>
      </w:r>
      <w:r w:rsidR="00794BA8">
        <w:rPr>
          <w:b/>
        </w:rPr>
        <w:t xml:space="preserve"> </w:t>
      </w:r>
      <w:r w:rsidRPr="00794BA8">
        <w:rPr>
          <w:b/>
        </w:rPr>
        <w:t>Règlement ONU n</w:t>
      </w:r>
      <w:r w:rsidRPr="00794BA8">
        <w:rPr>
          <w:b/>
          <w:vertAlign w:val="superscript"/>
        </w:rPr>
        <w:t>o</w:t>
      </w:r>
      <w:r w:rsidRPr="00794BA8">
        <w:rPr>
          <w:b/>
        </w:rPr>
        <w:t> 110</w:t>
      </w:r>
      <w:r w:rsidR="00794BA8">
        <w:rPr>
          <w:b/>
        </w:rPr>
        <w:br/>
      </w:r>
      <w:r w:rsidRPr="00794BA8">
        <w:rPr>
          <w:b/>
        </w:rPr>
        <w:t>(Véhicules alimentés au GNC/GNL)</w:t>
      </w:r>
    </w:p>
    <w:p w:rsidR="00603DBC" w:rsidRPr="00122AD2" w:rsidRDefault="00603DBC" w:rsidP="00603DBC">
      <w:pPr>
        <w:pStyle w:val="HChG"/>
      </w:pPr>
      <w:r w:rsidRPr="00122AD2">
        <w:tab/>
      </w:r>
      <w:r w:rsidRPr="00122AD2">
        <w:tab/>
        <w:t>Proposition de complément 2 à la série 03 d</w:t>
      </w:r>
      <w:r>
        <w:t>’</w:t>
      </w:r>
      <w:r w:rsidRPr="00122AD2">
        <w:t>amendements au Règlement ONU n</w:t>
      </w:r>
      <w:r w:rsidRPr="00122AD2">
        <w:rPr>
          <w:vertAlign w:val="superscript"/>
        </w:rPr>
        <w:t>o</w:t>
      </w:r>
      <w:r w:rsidRPr="00122AD2">
        <w:t> 110 (Véhicules alimentés au GNC/GNL)</w:t>
      </w:r>
    </w:p>
    <w:p w:rsidR="00603DBC" w:rsidRPr="00122AD2" w:rsidRDefault="00603DBC" w:rsidP="00603DBC">
      <w:pPr>
        <w:pStyle w:val="H1G"/>
        <w:rPr>
          <w:vertAlign w:val="superscript"/>
        </w:rPr>
      </w:pPr>
      <w:r>
        <w:tab/>
      </w:r>
      <w:r>
        <w:tab/>
      </w:r>
      <w:r w:rsidRPr="00122AD2">
        <w:t>Communication de l</w:t>
      </w:r>
      <w:r>
        <w:t>’</w:t>
      </w:r>
      <w:r w:rsidRPr="00122AD2">
        <w:t>expert des Pays-Bas</w:t>
      </w:r>
      <w:r w:rsidRPr="00B84150">
        <w:rPr>
          <w:rStyle w:val="FootnoteReference"/>
          <w:b w:val="0"/>
          <w:sz w:val="20"/>
          <w:vertAlign w:val="baseline"/>
        </w:rPr>
        <w:footnoteReference w:customMarkFollows="1" w:id="2"/>
        <w:t>*</w:t>
      </w:r>
    </w:p>
    <w:p w:rsidR="00F9573C" w:rsidRDefault="00603DBC" w:rsidP="006035A1">
      <w:pPr>
        <w:pStyle w:val="SingleTxtG"/>
        <w:ind w:left="567" w:firstLine="1134"/>
      </w:pPr>
      <w:r w:rsidRPr="00122AD2">
        <w:t>Le texte ci-après a été établi par l</w:t>
      </w:r>
      <w:r>
        <w:t>’</w:t>
      </w:r>
      <w:r w:rsidRPr="00122AD2">
        <w:t>expert des Pays-Bas. Il est proposé d</w:t>
      </w:r>
      <w:r>
        <w:t>’</w:t>
      </w:r>
      <w:r w:rsidRPr="00122AD2">
        <w:t>intégrer de nouvelles prescriptions relatives à l</w:t>
      </w:r>
      <w:r>
        <w:t>’</w:t>
      </w:r>
      <w:r w:rsidRPr="00122AD2">
        <w:t>utilisation des systèmes de gaz des véhicules pour alimenter en carburant gazeux un générateur qui fournirait de l</w:t>
      </w:r>
      <w:r>
        <w:t>’</w:t>
      </w:r>
      <w:r w:rsidRPr="00122AD2">
        <w:t>énergie électrique aux accessoires ou aux autres systèmes du véhicule. La présente proposition est semblable à celle qui visait à autoriser l</w:t>
      </w:r>
      <w:r>
        <w:t>’</w:t>
      </w:r>
      <w:r w:rsidRPr="00122AD2">
        <w:t>utilisation du système de gaz pour alimenter en carburant gazeux un système de réfrigération du véhicule (ECE/TRANS/WP.29/GRSG/2017/9). Elle est fondée sur le document informel GRSG-114-06-Rev.1, qui a été présenté à la 114</w:t>
      </w:r>
      <w:r w:rsidRPr="00122AD2">
        <w:rPr>
          <w:vertAlign w:val="superscript"/>
        </w:rPr>
        <w:t>e</w:t>
      </w:r>
      <w:r>
        <w:t> </w:t>
      </w:r>
      <w:r w:rsidRPr="00122AD2">
        <w:t>session du Groupe de travail des dispositions générales de sécurité (GRSG) (voir le rapport ECE/TRANS/WP.29/GRSG/93, par. 34). Les modifications qu</w:t>
      </w:r>
      <w:r>
        <w:t>’</w:t>
      </w:r>
      <w:r w:rsidRPr="00122AD2">
        <w:t>il est proposé d</w:t>
      </w:r>
      <w:r>
        <w:t>’</w:t>
      </w:r>
      <w:r w:rsidRPr="00122AD2">
        <w:t>apporter au texte actuel du Règlement ONU n</w:t>
      </w:r>
      <w:r w:rsidRPr="00122AD2">
        <w:rPr>
          <w:vertAlign w:val="superscript"/>
        </w:rPr>
        <w:t>o</w:t>
      </w:r>
      <w:r w:rsidRPr="00122AD2">
        <w:t> 110 sont signalées en caractères gras.</w:t>
      </w:r>
    </w:p>
    <w:p w:rsidR="00603DBC" w:rsidRPr="00122AD2" w:rsidRDefault="00603DBC" w:rsidP="00603DBC">
      <w:pPr>
        <w:pStyle w:val="HChG"/>
      </w:pPr>
      <w:r>
        <w:br w:type="page"/>
      </w:r>
      <w:r>
        <w:lastRenderedPageBreak/>
        <w:tab/>
      </w:r>
      <w:r w:rsidRPr="00122AD2">
        <w:t>I.</w:t>
      </w:r>
      <w:r w:rsidRPr="00122AD2">
        <w:tab/>
        <w:t>Proposition</w:t>
      </w:r>
    </w:p>
    <w:p w:rsidR="00603DBC" w:rsidRPr="00122AD2" w:rsidRDefault="00603DBC" w:rsidP="00603DBC">
      <w:pPr>
        <w:pStyle w:val="SingleTxtG"/>
      </w:pPr>
      <w:r w:rsidRPr="00122AD2">
        <w:rPr>
          <w:i/>
        </w:rPr>
        <w:t>Paragraphes 18.1.7.1 et 18.1.7.2</w:t>
      </w:r>
      <w:r w:rsidRPr="00122AD2">
        <w:t>, modifier comme suit :</w:t>
      </w:r>
    </w:p>
    <w:p w:rsidR="00603DBC" w:rsidRPr="00122AD2" w:rsidRDefault="00603DBC" w:rsidP="00ED61B5">
      <w:pPr>
        <w:pStyle w:val="SingleTxtG"/>
        <w:ind w:left="2268" w:hanging="1134"/>
        <w:rPr>
          <w:spacing w:val="-1"/>
        </w:rPr>
      </w:pPr>
      <w:r w:rsidRPr="00122AD2">
        <w:t>« 18.1.7.</w:t>
      </w:r>
      <w:r w:rsidRPr="00122AD2">
        <w:rPr>
          <w:spacing w:val="-1"/>
        </w:rPr>
        <w:t>1</w:t>
      </w:r>
      <w:r w:rsidRPr="00122AD2">
        <w:tab/>
      </w:r>
      <w:r w:rsidRPr="00122AD2">
        <w:rPr>
          <w:spacing w:val="-1"/>
        </w:rPr>
        <w:t xml:space="preserve">Nonobstant les dispositions du paragraphe 18.1.7, le véhicule peut être muni </w:t>
      </w:r>
      <w:r w:rsidRPr="00ED61B5">
        <w:rPr>
          <w:b/>
          <w:spacing w:val="-1"/>
        </w:rPr>
        <w:t>d’un moteur supplémentaire destiné à être utilisé sur le véhicule (par exemple, pour le refroidissement, le chauffage, etc.)</w:t>
      </w:r>
      <w:r w:rsidRPr="00122AD2">
        <w:rPr>
          <w:spacing w:val="-1"/>
        </w:rPr>
        <w:t xml:space="preserve"> raccordé au système GNC et/ou GNL.</w:t>
      </w:r>
    </w:p>
    <w:p w:rsidR="00603DBC" w:rsidRPr="00122AD2" w:rsidRDefault="00603DBC" w:rsidP="00ED61B5">
      <w:pPr>
        <w:pStyle w:val="SingleTxtG"/>
        <w:ind w:left="2268" w:hanging="1134"/>
      </w:pPr>
      <w:r w:rsidRPr="00122AD2">
        <w:t>1</w:t>
      </w:r>
      <w:r w:rsidRPr="00122AD2">
        <w:rPr>
          <w:spacing w:val="-1"/>
        </w:rPr>
        <w:t>8</w:t>
      </w:r>
      <w:r w:rsidRPr="00122AD2">
        <w:rPr>
          <w:spacing w:val="1"/>
        </w:rPr>
        <w:t>.</w:t>
      </w:r>
      <w:r w:rsidRPr="00122AD2">
        <w:t>1.7</w:t>
      </w:r>
      <w:r w:rsidRPr="00122AD2">
        <w:rPr>
          <w:spacing w:val="1"/>
        </w:rPr>
        <w:t>.</w:t>
      </w:r>
      <w:r w:rsidRPr="00122AD2">
        <w:t>2</w:t>
      </w:r>
      <w:r w:rsidRPr="00122AD2">
        <w:tab/>
        <w:t xml:space="preserve">Le </w:t>
      </w:r>
      <w:r w:rsidRPr="00ED61B5">
        <w:rPr>
          <w:b/>
        </w:rPr>
        <w:t>deuxième moteur</w:t>
      </w:r>
      <w:r w:rsidRPr="00122AD2">
        <w:t xml:space="preserve"> mentionné au paragraphe 18.1.7.1 est autorisé si le service technique chargé des essais d</w:t>
      </w:r>
      <w:r>
        <w:t>’</w:t>
      </w:r>
      <w:r w:rsidRPr="00122AD2">
        <w:t>homologation juge qu</w:t>
      </w:r>
      <w:r>
        <w:t>’</w:t>
      </w:r>
      <w:r w:rsidRPr="00122AD2">
        <w:t>il est suffisamment bien protégé et qu</w:t>
      </w:r>
      <w:r>
        <w:t>’</w:t>
      </w:r>
      <w:r w:rsidRPr="00122AD2">
        <w:t>il n</w:t>
      </w:r>
      <w:r>
        <w:t>’</w:t>
      </w:r>
      <w:r w:rsidRPr="00122AD2">
        <w:t>affecte pas le fonctionnement correct du système GNC et/ou GNL normal.</w:t>
      </w:r>
      <w:r w:rsidRPr="00122AD2">
        <w:rPr>
          <w:w w:val="103"/>
        </w:rPr>
        <w:t> ».</w:t>
      </w:r>
    </w:p>
    <w:p w:rsidR="00603DBC" w:rsidRPr="00122AD2" w:rsidRDefault="00603DBC" w:rsidP="00603DBC">
      <w:pPr>
        <w:pStyle w:val="SingleTxtG"/>
      </w:pPr>
      <w:r w:rsidRPr="00122AD2">
        <w:rPr>
          <w:i/>
        </w:rPr>
        <w:t>Paragraphe 18.5.1.3</w:t>
      </w:r>
      <w:r w:rsidRPr="00122AD2">
        <w:t>, modifier comme suit :</w:t>
      </w:r>
    </w:p>
    <w:p w:rsidR="00603DBC" w:rsidRPr="00122AD2" w:rsidRDefault="00603DBC" w:rsidP="00ED61B5">
      <w:pPr>
        <w:pStyle w:val="SingleTxtG"/>
        <w:ind w:left="2268" w:hanging="1134"/>
      </w:pPr>
      <w:r w:rsidRPr="00122AD2">
        <w:t>« 18</w:t>
      </w:r>
      <w:r w:rsidRPr="00122AD2">
        <w:rPr>
          <w:spacing w:val="1"/>
        </w:rPr>
        <w:t>.</w:t>
      </w:r>
      <w:r w:rsidRPr="00122AD2">
        <w:t>5.1</w:t>
      </w:r>
      <w:r w:rsidRPr="00122AD2">
        <w:rPr>
          <w:spacing w:val="1"/>
        </w:rPr>
        <w:t>.</w:t>
      </w:r>
      <w:r w:rsidRPr="00122AD2">
        <w:rPr>
          <w:spacing w:val="-1"/>
        </w:rPr>
        <w:t>3</w:t>
      </w:r>
      <w:r w:rsidRPr="00122AD2">
        <w:rPr>
          <w:spacing w:val="-27"/>
        </w:rPr>
        <w:tab/>
      </w:r>
      <w:r w:rsidRPr="00122AD2">
        <w:t>Nonobstant les dispositions du paragraphe 18.5.1.2 :</w:t>
      </w:r>
    </w:p>
    <w:p w:rsidR="00603DBC" w:rsidRPr="00122AD2" w:rsidRDefault="00603DBC" w:rsidP="006035A1">
      <w:pPr>
        <w:pStyle w:val="SingleTxtG"/>
        <w:ind w:left="2835" w:hanging="567"/>
      </w:pPr>
      <w:r w:rsidRPr="00122AD2">
        <w:t>a)</w:t>
      </w:r>
      <w:r w:rsidRPr="00122AD2">
        <w:tab/>
        <w:t>La vanne automatique de la bouteille peut rester en position ouverte pendant les phases d</w:t>
      </w:r>
      <w:r>
        <w:t>’</w:t>
      </w:r>
      <w:r w:rsidRPr="00122AD2">
        <w:t xml:space="preserve">arrêt commandées ; </w:t>
      </w:r>
    </w:p>
    <w:p w:rsidR="00603DBC" w:rsidRPr="00122AD2" w:rsidRDefault="00603DBC" w:rsidP="006035A1">
      <w:pPr>
        <w:pStyle w:val="SingleTxtG"/>
        <w:ind w:left="2835" w:hanging="567"/>
      </w:pPr>
      <w:r w:rsidRPr="00122AD2">
        <w:t>b)</w:t>
      </w:r>
      <w:r w:rsidRPr="00122AD2">
        <w:rPr>
          <w:spacing w:val="17"/>
        </w:rPr>
        <w:tab/>
        <w:t>L</w:t>
      </w:r>
      <w:r w:rsidRPr="00122AD2">
        <w:t>orsqu</w:t>
      </w:r>
      <w:r>
        <w:t>’</w:t>
      </w:r>
      <w:r w:rsidRPr="00122AD2">
        <w:t>un système d</w:t>
      </w:r>
      <w:r>
        <w:t>’</w:t>
      </w:r>
      <w:r w:rsidRPr="00122AD2">
        <w:t xml:space="preserve">alarme incendie est installé dans le compartiment du dispositif de chauffage autonome au GNC et/ou GNL la(les) valve(s) automatique(s) peut(peuvent) être maintenue(s) ouverte(s) par un dispositif de contrôle électronique GNC/GNL afin de permettre le préchauffage du moteur. Tout défaut ou défaillance de fonctionnement du système entraîne la fermeture de la vanne automatique de la bouteille qui alimente le dispositif de chauffage ; </w:t>
      </w:r>
    </w:p>
    <w:p w:rsidR="00603DBC" w:rsidRPr="00ED61B5" w:rsidRDefault="00603DBC" w:rsidP="006035A1">
      <w:pPr>
        <w:pStyle w:val="SingleTxtG"/>
        <w:ind w:left="2835" w:hanging="567"/>
        <w:rPr>
          <w:b/>
        </w:rPr>
      </w:pPr>
      <w:r w:rsidRPr="00122AD2">
        <w:rPr>
          <w:spacing w:val="1"/>
        </w:rPr>
        <w:t>c</w:t>
      </w:r>
      <w:r w:rsidRPr="00122AD2">
        <w:t>)</w:t>
      </w:r>
      <w:r w:rsidRPr="00122AD2">
        <w:tab/>
        <w:t>L</w:t>
      </w:r>
      <w:r w:rsidRPr="00122AD2">
        <w:rPr>
          <w:spacing w:val="1"/>
        </w:rPr>
        <w:t>orsqu</w:t>
      </w:r>
      <w:r>
        <w:rPr>
          <w:spacing w:val="1"/>
        </w:rPr>
        <w:t>’</w:t>
      </w:r>
      <w:r w:rsidRPr="00122AD2">
        <w:rPr>
          <w:spacing w:val="1"/>
        </w:rPr>
        <w:t>un système d</w:t>
      </w:r>
      <w:r>
        <w:rPr>
          <w:spacing w:val="1"/>
        </w:rPr>
        <w:t>’</w:t>
      </w:r>
      <w:r w:rsidRPr="00122AD2">
        <w:rPr>
          <w:spacing w:val="1"/>
        </w:rPr>
        <w:t xml:space="preserve">alarme incendie est installé dans le compartiment du dispositif de réfrigération du compartiment de chargement la(les) valve(s) automatique(s) peut(peuvent) être maintenue(s) ouverte(s) par un dispositif de contrôle électronique GNC/GNL afin de permettre le refroidissement du compartiment des marchandises. Tout défaut ou défaillance de fonctionnement du système entraîne la fermeture de la vanne automatique de la bouteille qui alimente le dispositif de réfrigération ; </w:t>
      </w:r>
      <w:r w:rsidR="00ED61B5" w:rsidRPr="00ED61B5">
        <w:rPr>
          <w:b/>
          <w:spacing w:val="1"/>
        </w:rPr>
        <w:t>et</w:t>
      </w:r>
    </w:p>
    <w:p w:rsidR="00603DBC" w:rsidRDefault="00603DBC" w:rsidP="006035A1">
      <w:pPr>
        <w:pStyle w:val="SingleTxtG"/>
        <w:ind w:left="2835" w:hanging="567"/>
        <w:rPr>
          <w:bCs/>
        </w:rPr>
      </w:pPr>
      <w:r w:rsidRPr="00ED61B5">
        <w:rPr>
          <w:b/>
          <w:bCs/>
        </w:rPr>
        <w:t>d)</w:t>
      </w:r>
      <w:r w:rsidRPr="00ED61B5">
        <w:rPr>
          <w:b/>
          <w:bCs/>
          <w:spacing w:val="47"/>
        </w:rPr>
        <w:tab/>
      </w:r>
      <w:r w:rsidRPr="00ED61B5">
        <w:rPr>
          <w:b/>
          <w:bCs/>
        </w:rPr>
        <w:t>Lorsqu’un système d’alarme incendie est installé dans le compartiment du deuxième moteur la(les) valve(s) automatique(s) peut(peuvent) être maintenue(s) ouverte(s) par un dispositif de contrôle électronique GNC/GNL afin de permettre l’approvisionnement en électricité. Tout défaut ou défaillance de fonctionnement du système entraîne la fermeture de la vanne automatique de la bouteille qui alimente le dispositif de réfrigération.</w:t>
      </w:r>
      <w:r w:rsidRPr="00122AD2">
        <w:rPr>
          <w:bCs/>
        </w:rPr>
        <w:t> ».</w:t>
      </w:r>
    </w:p>
    <w:p w:rsidR="00603DBC" w:rsidRPr="00122AD2" w:rsidRDefault="00603DBC" w:rsidP="00603DBC">
      <w:pPr>
        <w:pStyle w:val="SingleTxtG"/>
        <w:rPr>
          <w:i/>
        </w:rPr>
      </w:pPr>
      <w:r w:rsidRPr="00122AD2">
        <w:rPr>
          <w:i/>
        </w:rPr>
        <w:t>Annexe 1A,</w:t>
      </w:r>
    </w:p>
    <w:p w:rsidR="00603DBC" w:rsidRPr="00122AD2" w:rsidRDefault="00603DBC" w:rsidP="00603DBC">
      <w:pPr>
        <w:pStyle w:val="SingleTxtG"/>
        <w:rPr>
          <w:w w:val="103"/>
        </w:rPr>
      </w:pPr>
      <w:r w:rsidRPr="00122AD2">
        <w:rPr>
          <w:i/>
        </w:rPr>
        <w:t>Points 1.2.4.5.15 à 1.2.4.5.15.3</w:t>
      </w:r>
      <w:r w:rsidRPr="00122AD2">
        <w:t>, modifier comme suit (la note de bas de page</w:t>
      </w:r>
      <w:r w:rsidR="00ED61B5">
        <w:t xml:space="preserve"> </w:t>
      </w:r>
      <w:r w:rsidRPr="00122AD2">
        <w:rPr>
          <w:vertAlign w:val="superscript"/>
        </w:rPr>
        <w:t>1</w:t>
      </w:r>
      <w:r w:rsidRPr="00122AD2">
        <w:t xml:space="preserve"> reste inchangée) :</w:t>
      </w:r>
    </w:p>
    <w:p w:rsidR="00603DBC" w:rsidRPr="00122AD2" w:rsidRDefault="00ED61B5" w:rsidP="00603DBC">
      <w:pPr>
        <w:pStyle w:val="SingleTxtG"/>
      </w:pPr>
      <w:r>
        <w:t>« </w:t>
      </w:r>
      <w:r w:rsidR="00603DBC" w:rsidRPr="00122AD2">
        <w:t>1.2.4.5.15</w:t>
      </w:r>
      <w:r>
        <w:tab/>
      </w:r>
      <w:r w:rsidR="00603DBC" w:rsidRPr="00ED61B5">
        <w:rPr>
          <w:rFonts w:eastAsia="Times New Roman"/>
          <w:b/>
        </w:rPr>
        <w:t>D</w:t>
      </w:r>
      <w:r w:rsidR="00603DBC" w:rsidRPr="00ED61B5">
        <w:rPr>
          <w:b/>
        </w:rPr>
        <w:t>euxième moteur</w:t>
      </w:r>
      <w:r w:rsidR="00603DBC" w:rsidRPr="00122AD2">
        <w:t xml:space="preserve"> raccordé au système GNC/GNL : oui/non</w:t>
      </w:r>
      <w:r w:rsidR="00603DBC" w:rsidRPr="00122AD2">
        <w:rPr>
          <w:vertAlign w:val="superscript"/>
        </w:rPr>
        <w:t>1</w:t>
      </w:r>
    </w:p>
    <w:p w:rsidR="00ED61B5" w:rsidRDefault="00603DBC" w:rsidP="00ED61B5">
      <w:pPr>
        <w:pStyle w:val="SingleTxtG"/>
        <w:tabs>
          <w:tab w:val="left" w:pos="2268"/>
          <w:tab w:val="right" w:leader="dot" w:pos="8505"/>
        </w:tabs>
      </w:pPr>
      <w:r w:rsidRPr="00122AD2">
        <w:t>1.2.4.5.15.1</w:t>
      </w:r>
      <w:r w:rsidR="00ED61B5">
        <w:tab/>
      </w:r>
      <w:r w:rsidRPr="00122AD2">
        <w:t xml:space="preserve">Marque(s) du </w:t>
      </w:r>
      <w:r w:rsidRPr="00ED61B5">
        <w:rPr>
          <w:b/>
        </w:rPr>
        <w:t>deuxième moteur</w:t>
      </w:r>
      <w:r w:rsidRPr="00122AD2">
        <w:t> :</w:t>
      </w:r>
      <w:r w:rsidR="00ED61B5">
        <w:tab/>
      </w:r>
    </w:p>
    <w:p w:rsidR="00ED61B5" w:rsidRDefault="00603DBC" w:rsidP="00ED61B5">
      <w:pPr>
        <w:pStyle w:val="SingleTxtG"/>
        <w:tabs>
          <w:tab w:val="left" w:pos="2268"/>
          <w:tab w:val="right" w:leader="dot" w:pos="8505"/>
        </w:tabs>
      </w:pPr>
      <w:r w:rsidRPr="00122AD2">
        <w:t>1.2.4.5.15.2</w:t>
      </w:r>
      <w:r w:rsidR="00ED61B5">
        <w:tab/>
      </w:r>
      <w:r w:rsidRPr="00122AD2">
        <w:t xml:space="preserve">Type(s) du </w:t>
      </w:r>
      <w:r w:rsidRPr="00ED61B5">
        <w:rPr>
          <w:b/>
        </w:rPr>
        <w:t>deuxième moteur</w:t>
      </w:r>
      <w:r w:rsidRPr="00122AD2">
        <w:t> :</w:t>
      </w:r>
      <w:r w:rsidRPr="00122AD2">
        <w:tab/>
      </w:r>
      <w:r w:rsidRPr="00122AD2">
        <w:tab/>
      </w:r>
    </w:p>
    <w:p w:rsidR="00603DBC" w:rsidRDefault="00603DBC" w:rsidP="00ED61B5">
      <w:pPr>
        <w:pStyle w:val="SingleTxtG"/>
        <w:tabs>
          <w:tab w:val="left" w:pos="2268"/>
          <w:tab w:val="right" w:leader="dot" w:pos="8505"/>
        </w:tabs>
      </w:pPr>
      <w:r w:rsidRPr="00122AD2">
        <w:t>1.2.4.5.15.3</w:t>
      </w:r>
      <w:r w:rsidR="00ED61B5">
        <w:tab/>
      </w:r>
      <w:r w:rsidRPr="00122AD2">
        <w:t>Description et schémas de l</w:t>
      </w:r>
      <w:r>
        <w:t>’</w:t>
      </w:r>
      <w:r w:rsidRPr="00122AD2">
        <w:t xml:space="preserve">installation du </w:t>
      </w:r>
      <w:r w:rsidRPr="00ED61B5">
        <w:rPr>
          <w:b/>
        </w:rPr>
        <w:t>deuxième moteur</w:t>
      </w:r>
      <w:r w:rsidRPr="00122AD2">
        <w:t> :</w:t>
      </w:r>
      <w:r w:rsidRPr="00122AD2">
        <w:tab/>
      </w:r>
      <w:r w:rsidRPr="00122AD2">
        <w:tab/>
      </w:r>
      <w:r w:rsidR="00ED61B5" w:rsidRPr="00122AD2">
        <w:rPr>
          <w:bCs/>
        </w:rPr>
        <w:t>»</w:t>
      </w:r>
      <w:r w:rsidRPr="00122AD2">
        <w:t>.</w:t>
      </w:r>
    </w:p>
    <w:p w:rsidR="00603DBC" w:rsidRPr="00122AD2" w:rsidRDefault="00603DBC" w:rsidP="00304DFE">
      <w:pPr>
        <w:pStyle w:val="SingleTxtG"/>
        <w:keepNext/>
        <w:rPr>
          <w:i/>
        </w:rPr>
      </w:pPr>
      <w:r w:rsidRPr="00122AD2">
        <w:rPr>
          <w:i/>
        </w:rPr>
        <w:lastRenderedPageBreak/>
        <w:t>Annexe 1B,</w:t>
      </w:r>
    </w:p>
    <w:p w:rsidR="00603DBC" w:rsidRPr="00122AD2" w:rsidRDefault="00603DBC" w:rsidP="00304DFE">
      <w:pPr>
        <w:pStyle w:val="SingleTxtG"/>
        <w:keepNext/>
        <w:rPr>
          <w:spacing w:val="1"/>
        </w:rPr>
      </w:pPr>
      <w:r w:rsidRPr="00122AD2">
        <w:rPr>
          <w:i/>
        </w:rPr>
        <w:t>Points 1.2.4.5.15 à 1.2.4.5.15.3,</w:t>
      </w:r>
      <w:r w:rsidRPr="00122AD2">
        <w:t xml:space="preserve"> modifier comme suit (la note de bas de page </w:t>
      </w:r>
      <w:r w:rsidRPr="00122AD2">
        <w:rPr>
          <w:vertAlign w:val="superscript"/>
        </w:rPr>
        <w:t>2</w:t>
      </w:r>
      <w:r w:rsidRPr="00122AD2">
        <w:t xml:space="preserve"> reste inchangée) </w:t>
      </w:r>
      <w:r w:rsidRPr="00122AD2">
        <w:rPr>
          <w:spacing w:val="1"/>
        </w:rPr>
        <w:t>:</w:t>
      </w:r>
    </w:p>
    <w:p w:rsidR="00603DBC" w:rsidRPr="00122AD2" w:rsidRDefault="00ED61B5" w:rsidP="00304DFE">
      <w:pPr>
        <w:pStyle w:val="SingleTxtG"/>
        <w:keepNext/>
        <w:rPr>
          <w:w w:val="101"/>
          <w:position w:val="9"/>
        </w:rPr>
      </w:pPr>
      <w:r>
        <w:rPr>
          <w:spacing w:val="-1"/>
        </w:rPr>
        <w:t>« </w:t>
      </w:r>
      <w:r w:rsidR="00603DBC" w:rsidRPr="00122AD2">
        <w:t>1.2.4.5.15</w:t>
      </w:r>
      <w:r w:rsidR="00603DBC" w:rsidRPr="00122AD2">
        <w:tab/>
      </w:r>
      <w:r w:rsidR="00603DBC" w:rsidRPr="00ED61B5">
        <w:rPr>
          <w:b/>
        </w:rPr>
        <w:t>Deuxième moteur</w:t>
      </w:r>
      <w:r w:rsidR="00603DBC" w:rsidRPr="00122AD2">
        <w:t xml:space="preserve"> raccordé au système GNC/GNL : oui/non</w:t>
      </w:r>
      <w:r w:rsidR="00603DBC" w:rsidRPr="00122AD2">
        <w:rPr>
          <w:vertAlign w:val="superscript"/>
        </w:rPr>
        <w:t>2</w:t>
      </w:r>
    </w:p>
    <w:p w:rsidR="00ED61B5" w:rsidRDefault="00603DBC" w:rsidP="00ED61B5">
      <w:pPr>
        <w:pStyle w:val="SingleTxtG"/>
        <w:tabs>
          <w:tab w:val="left" w:pos="2268"/>
          <w:tab w:val="right" w:leader="dot" w:pos="8505"/>
        </w:tabs>
        <w:rPr>
          <w:w w:val="103"/>
        </w:rPr>
      </w:pPr>
      <w:r w:rsidRPr="00122AD2">
        <w:t>1.2</w:t>
      </w:r>
      <w:r w:rsidRPr="00122AD2">
        <w:rPr>
          <w:spacing w:val="1"/>
        </w:rPr>
        <w:t>.</w:t>
      </w:r>
      <w:r w:rsidRPr="00122AD2">
        <w:rPr>
          <w:spacing w:val="-1"/>
        </w:rPr>
        <w:t>4</w:t>
      </w:r>
      <w:r w:rsidRPr="00122AD2">
        <w:rPr>
          <w:spacing w:val="1"/>
        </w:rPr>
        <w:t>.</w:t>
      </w:r>
      <w:r w:rsidRPr="00122AD2">
        <w:rPr>
          <w:spacing w:val="-1"/>
        </w:rPr>
        <w:t>5</w:t>
      </w:r>
      <w:r w:rsidRPr="00122AD2">
        <w:rPr>
          <w:spacing w:val="1"/>
        </w:rPr>
        <w:t>.</w:t>
      </w:r>
      <w:r w:rsidRPr="00122AD2">
        <w:t>15</w:t>
      </w:r>
      <w:r w:rsidRPr="00122AD2">
        <w:rPr>
          <w:spacing w:val="1"/>
        </w:rPr>
        <w:t>.</w:t>
      </w:r>
      <w:r w:rsidRPr="00122AD2">
        <w:t>1</w:t>
      </w:r>
      <w:r w:rsidR="00ED61B5">
        <w:tab/>
      </w:r>
      <w:r w:rsidRPr="00122AD2">
        <w:t>Marque</w:t>
      </w:r>
      <w:r w:rsidRPr="00122AD2">
        <w:rPr>
          <w:spacing w:val="2"/>
        </w:rPr>
        <w:t>(</w:t>
      </w:r>
      <w:r w:rsidRPr="00122AD2">
        <w:t>s) :</w:t>
      </w:r>
      <w:r w:rsidRPr="00122AD2">
        <w:tab/>
      </w:r>
      <w:r w:rsidRPr="00122AD2">
        <w:rPr>
          <w:w w:val="103"/>
        </w:rPr>
        <w:tab/>
      </w:r>
    </w:p>
    <w:p w:rsidR="00ED61B5" w:rsidRDefault="00603DBC" w:rsidP="00ED61B5">
      <w:pPr>
        <w:pStyle w:val="SingleTxtG"/>
        <w:tabs>
          <w:tab w:val="left" w:pos="2268"/>
          <w:tab w:val="right" w:leader="dot" w:pos="8505"/>
        </w:tabs>
        <w:rPr>
          <w:w w:val="103"/>
        </w:rPr>
      </w:pPr>
      <w:r w:rsidRPr="00122AD2">
        <w:t>1.2</w:t>
      </w:r>
      <w:r w:rsidRPr="00122AD2">
        <w:rPr>
          <w:spacing w:val="1"/>
        </w:rPr>
        <w:t>.</w:t>
      </w:r>
      <w:r w:rsidRPr="00122AD2">
        <w:rPr>
          <w:spacing w:val="-1"/>
        </w:rPr>
        <w:t>4</w:t>
      </w:r>
      <w:r w:rsidRPr="00122AD2">
        <w:rPr>
          <w:spacing w:val="1"/>
        </w:rPr>
        <w:t>.</w:t>
      </w:r>
      <w:r w:rsidRPr="00122AD2">
        <w:rPr>
          <w:spacing w:val="-1"/>
        </w:rPr>
        <w:t>5</w:t>
      </w:r>
      <w:r w:rsidRPr="00122AD2">
        <w:rPr>
          <w:spacing w:val="1"/>
        </w:rPr>
        <w:t>.</w:t>
      </w:r>
      <w:r w:rsidRPr="00122AD2">
        <w:t>15</w:t>
      </w:r>
      <w:r w:rsidRPr="00122AD2">
        <w:rPr>
          <w:spacing w:val="1"/>
        </w:rPr>
        <w:t>.</w:t>
      </w:r>
      <w:r w:rsidRPr="00122AD2">
        <w:t>2</w:t>
      </w:r>
      <w:r w:rsidR="00ED61B5">
        <w:tab/>
      </w:r>
      <w:r w:rsidRPr="00122AD2">
        <w:t>T</w:t>
      </w:r>
      <w:r w:rsidRPr="00122AD2">
        <w:rPr>
          <w:spacing w:val="2"/>
        </w:rPr>
        <w:t>y</w:t>
      </w:r>
      <w:r w:rsidRPr="00122AD2">
        <w:t>pe(s) :</w:t>
      </w:r>
      <w:r w:rsidRPr="00122AD2">
        <w:tab/>
      </w:r>
      <w:r w:rsidRPr="00122AD2">
        <w:rPr>
          <w:w w:val="103"/>
        </w:rPr>
        <w:tab/>
      </w:r>
    </w:p>
    <w:p w:rsidR="00603DBC" w:rsidRPr="00122AD2" w:rsidRDefault="00603DBC" w:rsidP="00ED61B5">
      <w:pPr>
        <w:pStyle w:val="SingleTxtG"/>
        <w:tabs>
          <w:tab w:val="left" w:pos="2268"/>
          <w:tab w:val="right" w:leader="dot" w:pos="8505"/>
        </w:tabs>
        <w:rPr>
          <w:w w:val="103"/>
        </w:rPr>
      </w:pPr>
      <w:r w:rsidRPr="00122AD2">
        <w:t>1.2</w:t>
      </w:r>
      <w:r w:rsidRPr="00122AD2">
        <w:rPr>
          <w:spacing w:val="1"/>
        </w:rPr>
        <w:t>.</w:t>
      </w:r>
      <w:r w:rsidRPr="00122AD2">
        <w:rPr>
          <w:spacing w:val="-1"/>
        </w:rPr>
        <w:t>4</w:t>
      </w:r>
      <w:r w:rsidRPr="00122AD2">
        <w:rPr>
          <w:spacing w:val="1"/>
        </w:rPr>
        <w:t>.</w:t>
      </w:r>
      <w:r w:rsidRPr="00122AD2">
        <w:rPr>
          <w:spacing w:val="-1"/>
        </w:rPr>
        <w:t>5</w:t>
      </w:r>
      <w:r w:rsidRPr="00122AD2">
        <w:rPr>
          <w:spacing w:val="1"/>
        </w:rPr>
        <w:t>.</w:t>
      </w:r>
      <w:r w:rsidRPr="00122AD2">
        <w:t>15</w:t>
      </w:r>
      <w:r w:rsidRPr="00122AD2">
        <w:rPr>
          <w:spacing w:val="1"/>
        </w:rPr>
        <w:t>.</w:t>
      </w:r>
      <w:r w:rsidRPr="00122AD2">
        <w:t>3</w:t>
      </w:r>
      <w:r w:rsidR="00ED61B5">
        <w:tab/>
      </w:r>
      <w:r w:rsidRPr="00122AD2">
        <w:t>Description et schémas de l</w:t>
      </w:r>
      <w:r>
        <w:t>’</w:t>
      </w:r>
      <w:r w:rsidRPr="00122AD2">
        <w:t>installation :</w:t>
      </w:r>
      <w:r w:rsidRPr="00122AD2">
        <w:tab/>
      </w:r>
      <w:r w:rsidRPr="00122AD2">
        <w:rPr>
          <w:spacing w:val="-1"/>
        </w:rPr>
        <w:tab/>
      </w:r>
      <w:r w:rsidR="00ED61B5" w:rsidRPr="00122AD2">
        <w:rPr>
          <w:bCs/>
        </w:rPr>
        <w:t>»</w:t>
      </w:r>
      <w:r w:rsidR="00ED61B5" w:rsidRPr="00122AD2">
        <w:t>.</w:t>
      </w:r>
    </w:p>
    <w:p w:rsidR="00603DBC" w:rsidRPr="00122AD2" w:rsidRDefault="00603DBC" w:rsidP="00603DBC">
      <w:pPr>
        <w:pStyle w:val="SingleTxtG"/>
      </w:pPr>
      <w:r w:rsidRPr="00122AD2">
        <w:rPr>
          <w:i/>
        </w:rPr>
        <w:t>Points 1.2.4.5.15.4 à 1.2.4.5.15.6,</w:t>
      </w:r>
      <w:r w:rsidRPr="00122AD2">
        <w:t xml:space="preserve"> supprimer.</w:t>
      </w:r>
    </w:p>
    <w:p w:rsidR="00603DBC" w:rsidRPr="00122AD2" w:rsidRDefault="00603DBC" w:rsidP="00603DBC">
      <w:pPr>
        <w:pStyle w:val="HChG"/>
      </w:pPr>
      <w:r w:rsidRPr="00122AD2">
        <w:tab/>
        <w:t>II.</w:t>
      </w:r>
      <w:r w:rsidRPr="00122AD2">
        <w:tab/>
        <w:t>Justification</w:t>
      </w:r>
    </w:p>
    <w:p w:rsidR="00603DBC" w:rsidRPr="00122AD2" w:rsidRDefault="00603DBC" w:rsidP="00603DBC">
      <w:pPr>
        <w:pStyle w:val="SingleTxtG"/>
      </w:pPr>
      <w:r w:rsidRPr="00122AD2">
        <w:t>1.</w:t>
      </w:r>
      <w:r w:rsidRPr="00122AD2">
        <w:tab/>
        <w:t>Les propositions susmentionnées sont faites à la demande des acteurs du marché du GNL/GNC.</w:t>
      </w:r>
    </w:p>
    <w:p w:rsidR="00603DBC" w:rsidRPr="00122AD2" w:rsidRDefault="00603DBC" w:rsidP="00603DBC">
      <w:pPr>
        <w:pStyle w:val="SingleTxtG"/>
      </w:pPr>
      <w:r w:rsidRPr="00122AD2">
        <w:t>2.</w:t>
      </w:r>
      <w:r w:rsidRPr="00122AD2">
        <w:tab/>
        <w:t>Le GNL est stocké dans les réservoirs des véhicules à très basse température, généralement entre -130 et -162 °C. À la longue, si le GNL n</w:t>
      </w:r>
      <w:r>
        <w:t>’</w:t>
      </w:r>
      <w:r w:rsidRPr="00122AD2">
        <w:t>est pas utilisé pour la propulsion du véhicule, il peut se réchauffer, et les gaz se trouvant dans le réservoir sont évacués dans l</w:t>
      </w:r>
      <w:r>
        <w:t>’</w:t>
      </w:r>
      <w:r w:rsidRPr="00122AD2">
        <w:t>atmosphère pour éviter la surpression.</w:t>
      </w:r>
    </w:p>
    <w:p w:rsidR="00603DBC" w:rsidRPr="00122AD2" w:rsidRDefault="00603DBC" w:rsidP="00603DBC">
      <w:pPr>
        <w:pStyle w:val="SingleTxtG"/>
      </w:pPr>
      <w:r w:rsidRPr="00122AD2">
        <w:t>3.</w:t>
      </w:r>
      <w:r w:rsidRPr="00122AD2">
        <w:tab/>
        <w:t>La présente proposition vise à permettre qu</w:t>
      </w:r>
      <w:r>
        <w:t>’</w:t>
      </w:r>
      <w:r w:rsidRPr="00122AD2">
        <w:t>un générateur utilise du gaz dans de telles circonstances pour réduire la pression dans le réservoir et prévenir ou retarder l</w:t>
      </w:r>
      <w:r>
        <w:t>’</w:t>
      </w:r>
      <w:r w:rsidRPr="00122AD2">
        <w:t>évacuation des gaz.</w:t>
      </w:r>
    </w:p>
    <w:p w:rsidR="00603DBC" w:rsidRPr="00122AD2" w:rsidRDefault="00603DBC" w:rsidP="00603DBC">
      <w:pPr>
        <w:pStyle w:val="SingleTxtG"/>
      </w:pPr>
      <w:r w:rsidRPr="00122AD2">
        <w:t>4.</w:t>
      </w:r>
      <w:r w:rsidRPr="00122AD2">
        <w:tab/>
        <w:t>Le générateur pourrait également alimenter d</w:t>
      </w:r>
      <w:r>
        <w:t>’</w:t>
      </w:r>
      <w:r w:rsidRPr="00122AD2">
        <w:t>autres systèmes du véhicule. Il pourrait par exemple fournir de l</w:t>
      </w:r>
      <w:r>
        <w:t>’</w:t>
      </w:r>
      <w:r w:rsidRPr="00122AD2">
        <w:t>électricité dans les cabines couchettes ou maintenir la charge de la batterie pendant une forte consommation d</w:t>
      </w:r>
      <w:r>
        <w:t>’</w:t>
      </w:r>
      <w:r w:rsidRPr="00122AD2">
        <w:t>électricité, notamment pendant l</w:t>
      </w:r>
      <w:r>
        <w:t>’</w:t>
      </w:r>
      <w:r w:rsidRPr="00122AD2">
        <w:t>utilisation d</w:t>
      </w:r>
      <w:r>
        <w:t>’</w:t>
      </w:r>
      <w:r w:rsidRPr="00122AD2">
        <w:t>équipements de chargement ou de levage.</w:t>
      </w:r>
    </w:p>
    <w:p w:rsidR="00603DBC" w:rsidRPr="00122AD2" w:rsidRDefault="00603DBC" w:rsidP="00603DBC">
      <w:pPr>
        <w:pStyle w:val="SingleTxtG"/>
      </w:pPr>
      <w:r w:rsidRPr="00122AD2">
        <w:t>5.</w:t>
      </w:r>
      <w:r w:rsidRPr="00122AD2">
        <w:tab/>
        <w:t>Par les prescriptions susmentionnées, les Pays-Bas proposent de permettre la commercialisation de cette technologie.</w:t>
      </w:r>
    </w:p>
    <w:p w:rsidR="00603DBC" w:rsidRPr="00122AD2" w:rsidRDefault="00603DBC" w:rsidP="00603DBC">
      <w:pPr>
        <w:pStyle w:val="SingleTxtG"/>
      </w:pPr>
      <w:r w:rsidRPr="00122AD2">
        <w:t>6.</w:t>
      </w:r>
      <w:r w:rsidRPr="00122AD2">
        <w:tab/>
        <w:t>Le présent document contient une version simplifiée de la proposition formulée par le Royaume-Uni de Grande-Bretagne et d</w:t>
      </w:r>
      <w:r>
        <w:t>’</w:t>
      </w:r>
      <w:r w:rsidRPr="00122AD2">
        <w:t>Irlande du Nord à la 114</w:t>
      </w:r>
      <w:r w:rsidRPr="00122AD2">
        <w:rPr>
          <w:vertAlign w:val="superscript"/>
        </w:rPr>
        <w:t>e</w:t>
      </w:r>
      <w:r w:rsidRPr="00122AD2">
        <w:t xml:space="preserve"> session du GRSG, le terme « deuxième moteur » étant utilisé pour désigner tous les dispositifs externes (par exemple, système de chauffage, système de refroidissement, générateur d</w:t>
      </w:r>
      <w:r>
        <w:t>’</w:t>
      </w:r>
      <w:r w:rsidRPr="00122AD2">
        <w:t>électricité ou autre moteur).</w:t>
      </w:r>
    </w:p>
    <w:p w:rsidR="00603DBC" w:rsidRDefault="00603DBC" w:rsidP="00603DBC">
      <w:pPr>
        <w:pStyle w:val="SingleTxtG"/>
      </w:pPr>
      <w:r w:rsidRPr="00122AD2">
        <w:t>7.</w:t>
      </w:r>
      <w:r w:rsidRPr="00122AD2">
        <w:tab/>
        <w:t>Sur proposition du Japon, il est précisé que le deuxième moteur doit être « destiné à être utilisé sur le véhicule » afin d</w:t>
      </w:r>
      <w:r>
        <w:t>’</w:t>
      </w:r>
      <w:r w:rsidRPr="00122AD2">
        <w:t>éviter, par exemple, qu</w:t>
      </w:r>
      <w:r>
        <w:t>’</w:t>
      </w:r>
      <w:r w:rsidRPr="00122AD2">
        <w:t>il ne serve à produire de l</w:t>
      </w:r>
      <w:r>
        <w:t>’</w:t>
      </w:r>
      <w:r w:rsidRPr="00122AD2">
        <w:t>électricité destinée à un usage externe.</w:t>
      </w:r>
    </w:p>
    <w:p w:rsidR="00603DBC" w:rsidRPr="00603DBC" w:rsidRDefault="00603DBC" w:rsidP="00603DBC">
      <w:pPr>
        <w:pStyle w:val="SingleTxtG"/>
        <w:spacing w:before="240" w:after="0"/>
        <w:jc w:val="center"/>
        <w:rPr>
          <w:u w:val="single"/>
        </w:rPr>
      </w:pPr>
      <w:r>
        <w:rPr>
          <w:u w:val="single"/>
        </w:rPr>
        <w:tab/>
      </w:r>
      <w:r>
        <w:rPr>
          <w:u w:val="single"/>
        </w:rPr>
        <w:tab/>
      </w:r>
      <w:r>
        <w:rPr>
          <w:u w:val="single"/>
        </w:rPr>
        <w:tab/>
      </w:r>
    </w:p>
    <w:sectPr w:rsidR="00603DBC" w:rsidRPr="00603DBC" w:rsidSect="00603D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B3" w:rsidRDefault="009D7DB3" w:rsidP="00F95C08">
      <w:pPr>
        <w:spacing w:line="240" w:lineRule="auto"/>
      </w:pPr>
    </w:p>
  </w:endnote>
  <w:endnote w:type="continuationSeparator" w:id="0">
    <w:p w:rsidR="009D7DB3" w:rsidRPr="00AC3823" w:rsidRDefault="009D7DB3" w:rsidP="00AC3823">
      <w:pPr>
        <w:pStyle w:val="Footer"/>
      </w:pPr>
    </w:p>
  </w:endnote>
  <w:endnote w:type="continuationNotice" w:id="1">
    <w:p w:rsidR="009D7DB3" w:rsidRDefault="009D7D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BC" w:rsidRPr="00603DBC" w:rsidRDefault="00603DBC" w:rsidP="00603DBC">
    <w:pPr>
      <w:pStyle w:val="Footer"/>
      <w:tabs>
        <w:tab w:val="right" w:pos="9638"/>
      </w:tabs>
    </w:pPr>
    <w:r w:rsidRPr="00603DBC">
      <w:rPr>
        <w:b/>
        <w:sz w:val="18"/>
      </w:rPr>
      <w:fldChar w:fldCharType="begin"/>
    </w:r>
    <w:r w:rsidRPr="00603DBC">
      <w:rPr>
        <w:b/>
        <w:sz w:val="18"/>
      </w:rPr>
      <w:instrText xml:space="preserve"> PAGE  \* MERGEFORMAT </w:instrText>
    </w:r>
    <w:r w:rsidRPr="00603DBC">
      <w:rPr>
        <w:b/>
        <w:sz w:val="18"/>
      </w:rPr>
      <w:fldChar w:fldCharType="separate"/>
    </w:r>
    <w:r w:rsidR="009213D5">
      <w:rPr>
        <w:b/>
        <w:noProof/>
        <w:sz w:val="18"/>
      </w:rPr>
      <w:t>2</w:t>
    </w:r>
    <w:r w:rsidRPr="00603DBC">
      <w:rPr>
        <w:b/>
        <w:sz w:val="18"/>
      </w:rPr>
      <w:fldChar w:fldCharType="end"/>
    </w:r>
    <w:r>
      <w:rPr>
        <w:b/>
        <w:sz w:val="18"/>
      </w:rPr>
      <w:tab/>
    </w:r>
    <w:r>
      <w:t>GE.18-12057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BC" w:rsidRPr="00603DBC" w:rsidRDefault="00603DBC" w:rsidP="00603DBC">
    <w:pPr>
      <w:pStyle w:val="Footer"/>
      <w:tabs>
        <w:tab w:val="right" w:pos="9638"/>
      </w:tabs>
      <w:rPr>
        <w:b/>
        <w:sz w:val="18"/>
      </w:rPr>
    </w:pPr>
    <w:r>
      <w:t>GE.18-12057</w:t>
    </w:r>
    <w:r>
      <w:tab/>
    </w:r>
    <w:r w:rsidRPr="00603DBC">
      <w:rPr>
        <w:b/>
        <w:sz w:val="18"/>
      </w:rPr>
      <w:fldChar w:fldCharType="begin"/>
    </w:r>
    <w:r w:rsidRPr="00603DBC">
      <w:rPr>
        <w:b/>
        <w:sz w:val="18"/>
      </w:rPr>
      <w:instrText xml:space="preserve"> PAGE  \* MERGEFORMAT </w:instrText>
    </w:r>
    <w:r w:rsidRPr="00603DBC">
      <w:rPr>
        <w:b/>
        <w:sz w:val="18"/>
      </w:rPr>
      <w:fldChar w:fldCharType="separate"/>
    </w:r>
    <w:r w:rsidR="009213D5">
      <w:rPr>
        <w:b/>
        <w:noProof/>
        <w:sz w:val="18"/>
      </w:rPr>
      <w:t>3</w:t>
    </w:r>
    <w:r w:rsidRPr="00603D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03DBC" w:rsidRDefault="00603DBC" w:rsidP="00603DB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18-12057  (F)    220818    270818</w:t>
    </w:r>
    <w:r>
      <w:rPr>
        <w:sz w:val="20"/>
      </w:rPr>
      <w:br/>
    </w:r>
    <w:r w:rsidRPr="00603DBC">
      <w:rPr>
        <w:rFonts w:ascii="C39T30Lfz" w:hAnsi="C39T30Lfz"/>
        <w:sz w:val="56"/>
      </w:rPr>
      <w:t></w:t>
    </w:r>
    <w:r w:rsidRPr="00603DBC">
      <w:rPr>
        <w:rFonts w:ascii="C39T30Lfz" w:hAnsi="C39T30Lfz"/>
        <w:sz w:val="56"/>
      </w:rPr>
      <w:t></w:t>
    </w:r>
    <w:r w:rsidRPr="00603DBC">
      <w:rPr>
        <w:rFonts w:ascii="C39T30Lfz" w:hAnsi="C39T30Lfz"/>
        <w:sz w:val="56"/>
      </w:rPr>
      <w:t></w:t>
    </w:r>
    <w:r w:rsidRPr="00603DBC">
      <w:rPr>
        <w:rFonts w:ascii="C39T30Lfz" w:hAnsi="C39T30Lfz"/>
        <w:sz w:val="56"/>
      </w:rPr>
      <w:t></w:t>
    </w:r>
    <w:r w:rsidRPr="00603DBC">
      <w:rPr>
        <w:rFonts w:ascii="C39T30Lfz" w:hAnsi="C39T30Lfz"/>
        <w:sz w:val="56"/>
      </w:rPr>
      <w:t></w:t>
    </w:r>
    <w:r w:rsidRPr="00603DBC">
      <w:rPr>
        <w:rFonts w:ascii="C39T30Lfz" w:hAnsi="C39T30Lfz"/>
        <w:sz w:val="56"/>
      </w:rPr>
      <w:t></w:t>
    </w:r>
    <w:r w:rsidRPr="00603DBC">
      <w:rPr>
        <w:rFonts w:ascii="C39T30Lfz" w:hAnsi="C39T30Lfz"/>
        <w:sz w:val="56"/>
      </w:rPr>
      <w:t></w:t>
    </w:r>
    <w:r w:rsidRPr="00603DBC">
      <w:rPr>
        <w:rFonts w:ascii="C39T30Lfz" w:hAnsi="C39T30Lfz"/>
        <w:sz w:val="56"/>
      </w:rPr>
      <w:t></w:t>
    </w:r>
    <w:r w:rsidRPr="00603DB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B3" w:rsidRPr="00AC3823" w:rsidRDefault="009D7DB3" w:rsidP="00AC3823">
      <w:pPr>
        <w:pStyle w:val="Footer"/>
        <w:tabs>
          <w:tab w:val="right" w:pos="2155"/>
        </w:tabs>
        <w:spacing w:after="80" w:line="240" w:lineRule="atLeast"/>
        <w:ind w:left="680"/>
        <w:rPr>
          <w:u w:val="single"/>
        </w:rPr>
      </w:pPr>
      <w:r>
        <w:rPr>
          <w:u w:val="single"/>
        </w:rPr>
        <w:tab/>
      </w:r>
    </w:p>
  </w:footnote>
  <w:footnote w:type="continuationSeparator" w:id="0">
    <w:p w:rsidR="009D7DB3" w:rsidRPr="00AC3823" w:rsidRDefault="009D7DB3" w:rsidP="00AC3823">
      <w:pPr>
        <w:pStyle w:val="Footer"/>
        <w:tabs>
          <w:tab w:val="right" w:pos="2155"/>
        </w:tabs>
        <w:spacing w:after="80" w:line="240" w:lineRule="atLeast"/>
        <w:ind w:left="680"/>
        <w:rPr>
          <w:u w:val="single"/>
        </w:rPr>
      </w:pPr>
      <w:r>
        <w:rPr>
          <w:u w:val="single"/>
        </w:rPr>
        <w:tab/>
      </w:r>
    </w:p>
  </w:footnote>
  <w:footnote w:type="continuationNotice" w:id="1">
    <w:p w:rsidR="009D7DB3" w:rsidRPr="00AC3823" w:rsidRDefault="009D7DB3">
      <w:pPr>
        <w:spacing w:line="240" w:lineRule="auto"/>
        <w:rPr>
          <w:sz w:val="2"/>
          <w:szCs w:val="2"/>
        </w:rPr>
      </w:pPr>
    </w:p>
  </w:footnote>
  <w:footnote w:id="2">
    <w:p w:rsidR="00603DBC" w:rsidRPr="00603DBC" w:rsidRDefault="00603DBC">
      <w:pPr>
        <w:pStyle w:val="FootnoteText"/>
      </w:pPr>
      <w:r>
        <w:rPr>
          <w:rStyle w:val="FootnoteReference"/>
        </w:rPr>
        <w:tab/>
      </w:r>
      <w:r w:rsidRPr="00603DBC">
        <w:rPr>
          <w:rStyle w:val="FootnoteReference"/>
          <w:sz w:val="20"/>
          <w:vertAlign w:val="baseline"/>
        </w:rPr>
        <w:t>*</w:t>
      </w:r>
      <w:r>
        <w:rPr>
          <w:rStyle w:val="FootnoteReference"/>
          <w:sz w:val="20"/>
          <w:vertAlign w:val="baseline"/>
        </w:rPr>
        <w:tab/>
      </w:r>
      <w:r w:rsidRPr="00C5130F">
        <w:t>Conformément au programme de travail du Comité des transports intérieurs pour la période 2014</w:t>
      </w:r>
      <w:r>
        <w:noBreakHyphen/>
      </w:r>
      <w:r w:rsidRPr="00C5130F">
        <w:t xml:space="preserve">2018 (ECE/TRANS/240, par. 105, et ECE/TRANS/2014/26, activité 02.4), le Forum mondial a pour mission d’élaborer, d’harmoniser et de mettre à jour les Règlements </w:t>
      </w:r>
      <w:r>
        <w:t xml:space="preserve">ONU </w:t>
      </w:r>
      <w:r w:rsidRPr="00C5130F">
        <w:t>en vue d’améliorer les caractéristiques fonctionnelles des véhicules.</w:t>
      </w:r>
      <w:r>
        <w:t xml:space="preserve"> </w:t>
      </w:r>
      <w:r w:rsidRPr="00522B7C">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BC" w:rsidRPr="00603DBC" w:rsidRDefault="005D3D87">
    <w:pPr>
      <w:pStyle w:val="Header"/>
    </w:pPr>
    <w:r>
      <w:fldChar w:fldCharType="begin"/>
    </w:r>
    <w:r>
      <w:instrText xml:space="preserve"> TITLE  \* MERGEFORMAT </w:instrText>
    </w:r>
    <w:r>
      <w:fldChar w:fldCharType="separate"/>
    </w:r>
    <w:r w:rsidR="009213D5">
      <w:t>ECE/TRANS/WP.29/GRSG/2018/12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BC" w:rsidRPr="00603DBC" w:rsidRDefault="005D3D87" w:rsidP="00603DBC">
    <w:pPr>
      <w:pStyle w:val="Header"/>
      <w:jc w:val="right"/>
    </w:pPr>
    <w:r>
      <w:fldChar w:fldCharType="begin"/>
    </w:r>
    <w:r>
      <w:instrText xml:space="preserve"> TITLE  \* MERGEFORMAT </w:instrText>
    </w:r>
    <w:r>
      <w:fldChar w:fldCharType="separate"/>
    </w:r>
    <w:r w:rsidR="009213D5">
      <w:t>ECE/TRANS/WP.29/GRSG/2018/12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DB3"/>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4DFE"/>
    <w:rsid w:val="00305801"/>
    <w:rsid w:val="003916DE"/>
    <w:rsid w:val="00421996"/>
    <w:rsid w:val="00441C3B"/>
    <w:rsid w:val="00446FE5"/>
    <w:rsid w:val="00452396"/>
    <w:rsid w:val="004837D8"/>
    <w:rsid w:val="004E2EED"/>
    <w:rsid w:val="004E468C"/>
    <w:rsid w:val="005505B7"/>
    <w:rsid w:val="00573BE5"/>
    <w:rsid w:val="00586ED3"/>
    <w:rsid w:val="00596AA9"/>
    <w:rsid w:val="005D3D87"/>
    <w:rsid w:val="006035A1"/>
    <w:rsid w:val="00603DBC"/>
    <w:rsid w:val="0071601D"/>
    <w:rsid w:val="00794BA8"/>
    <w:rsid w:val="007A62E6"/>
    <w:rsid w:val="007F20FA"/>
    <w:rsid w:val="0080684C"/>
    <w:rsid w:val="00871C75"/>
    <w:rsid w:val="008776DC"/>
    <w:rsid w:val="009213D5"/>
    <w:rsid w:val="009446C0"/>
    <w:rsid w:val="009705C8"/>
    <w:rsid w:val="009C1CF4"/>
    <w:rsid w:val="009D7DB3"/>
    <w:rsid w:val="009F6B74"/>
    <w:rsid w:val="00A3029F"/>
    <w:rsid w:val="00A30353"/>
    <w:rsid w:val="00A53236"/>
    <w:rsid w:val="00AC3823"/>
    <w:rsid w:val="00AE323C"/>
    <w:rsid w:val="00AF0CB5"/>
    <w:rsid w:val="00B00181"/>
    <w:rsid w:val="00B00B0D"/>
    <w:rsid w:val="00B45F2E"/>
    <w:rsid w:val="00B765F7"/>
    <w:rsid w:val="00B84150"/>
    <w:rsid w:val="00BA0CA9"/>
    <w:rsid w:val="00C02897"/>
    <w:rsid w:val="00C12910"/>
    <w:rsid w:val="00C97039"/>
    <w:rsid w:val="00D3439C"/>
    <w:rsid w:val="00DB1831"/>
    <w:rsid w:val="00DD3BFD"/>
    <w:rsid w:val="00DF6678"/>
    <w:rsid w:val="00E0299A"/>
    <w:rsid w:val="00E85C74"/>
    <w:rsid w:val="00EA6547"/>
    <w:rsid w:val="00EB6F38"/>
    <w:rsid w:val="00ED61B5"/>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450D14-0EFB-4F1C-9DD3-4B791F3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5155</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ECE/TRANS/WP.29/GRSG/2018/12</vt:lpstr>
      <vt:lpstr>ECE/TRANS/WP.29/GRSG/2018/12</vt:lpstr>
    </vt:vector>
  </TitlesOfParts>
  <Company>DCM</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ECE/TRANS/WP.29/GRSG/2018/12</dc:title>
  <dc:subject/>
  <dc:creator>Christine DEVOUASSOUX</dc:creator>
  <cp:keywords/>
  <cp:lastModifiedBy>Secretariat</cp:lastModifiedBy>
  <cp:revision>2</cp:revision>
  <cp:lastPrinted>2018-08-27T12:12:00Z</cp:lastPrinted>
  <dcterms:created xsi:type="dcterms:W3CDTF">2018-08-28T12:42:00Z</dcterms:created>
  <dcterms:modified xsi:type="dcterms:W3CDTF">2018-08-28T12:42:00Z</dcterms:modified>
</cp:coreProperties>
</file>