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715C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715CB" w:rsidP="001715CB">
            <w:pPr>
              <w:jc w:val="right"/>
            </w:pPr>
            <w:r w:rsidRPr="001715CB">
              <w:rPr>
                <w:sz w:val="40"/>
              </w:rPr>
              <w:t>ECE</w:t>
            </w:r>
            <w:r>
              <w:t>/TRANS/WP.29/GRRF/2018/7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715CB" w:rsidP="00C97039">
            <w:pPr>
              <w:spacing w:before="240"/>
            </w:pPr>
            <w:r>
              <w:t>Distr. générale</w:t>
            </w:r>
          </w:p>
          <w:p w:rsidR="001715CB" w:rsidRDefault="00E4088D" w:rsidP="001715CB">
            <w:pPr>
              <w:spacing w:line="240" w:lineRule="exact"/>
            </w:pPr>
            <w:r>
              <w:t>4 </w:t>
            </w:r>
            <w:r w:rsidR="001715CB">
              <w:t>décembre 2017</w:t>
            </w:r>
          </w:p>
          <w:p w:rsidR="001715CB" w:rsidRDefault="001715CB" w:rsidP="001715CB">
            <w:pPr>
              <w:spacing w:line="240" w:lineRule="exact"/>
            </w:pPr>
            <w:r>
              <w:t>Français</w:t>
            </w:r>
          </w:p>
          <w:p w:rsidR="001715CB" w:rsidRPr="00DB58B5" w:rsidRDefault="001715CB" w:rsidP="001715C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715CB" w:rsidRDefault="001715CB"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715CB" w:rsidRDefault="001715CB" w:rsidP="00257168">
      <w:pPr>
        <w:spacing w:before="120" w:after="120" w:line="240" w:lineRule="exact"/>
        <w:rPr>
          <w:b/>
        </w:rPr>
      </w:pPr>
      <w:r>
        <w:rPr>
          <w:b/>
        </w:rPr>
        <w:t>Groupe de travail en matière de roulement et de freinage</w:t>
      </w:r>
    </w:p>
    <w:p w:rsidR="001715CB" w:rsidRDefault="00CE11E9" w:rsidP="00257168">
      <w:pPr>
        <w:spacing w:before="120" w:line="240" w:lineRule="exact"/>
        <w:rPr>
          <w:b/>
        </w:rPr>
      </w:pPr>
      <w:r w:rsidRPr="001715CB">
        <w:rPr>
          <w:b/>
        </w:rPr>
        <w:t>Quatre</w:t>
      </w:r>
      <w:r w:rsidR="00B20481">
        <w:rPr>
          <w:b/>
        </w:rPr>
        <w:noBreakHyphen/>
      </w:r>
      <w:r w:rsidRPr="001715CB">
        <w:rPr>
          <w:b/>
        </w:rPr>
        <w:t>vingt</w:t>
      </w:r>
      <w:r w:rsidR="00B20481">
        <w:rPr>
          <w:b/>
        </w:rPr>
        <w:noBreakHyphen/>
      </w:r>
      <w:r w:rsidRPr="001715CB">
        <w:rPr>
          <w:b/>
        </w:rPr>
        <w:t>sixième</w:t>
      </w:r>
      <w:r w:rsidR="001715CB">
        <w:rPr>
          <w:b/>
        </w:rPr>
        <w:t xml:space="preserve"> session</w:t>
      </w:r>
    </w:p>
    <w:p w:rsidR="001715CB" w:rsidRDefault="001715CB" w:rsidP="00257168">
      <w:pPr>
        <w:spacing w:line="240" w:lineRule="exact"/>
      </w:pPr>
      <w:r>
        <w:t xml:space="preserve">Genève, </w:t>
      </w:r>
      <w:r w:rsidR="00CE11E9" w:rsidRPr="001715CB">
        <w:t>12</w:t>
      </w:r>
      <w:r w:rsidR="00B20481">
        <w:noBreakHyphen/>
      </w:r>
      <w:r w:rsidR="00CE11E9" w:rsidRPr="001715CB">
        <w:t>16</w:t>
      </w:r>
      <w:r>
        <w:t> </w:t>
      </w:r>
      <w:r w:rsidR="00CE11E9" w:rsidRPr="001715CB">
        <w:t>février 2018</w:t>
      </w:r>
    </w:p>
    <w:p w:rsidR="001715CB" w:rsidRDefault="00F47A01" w:rsidP="00257168">
      <w:pPr>
        <w:spacing w:line="240" w:lineRule="exact"/>
      </w:pPr>
      <w:r>
        <w:t>Point 7 e)</w:t>
      </w:r>
      <w:r w:rsidR="001715CB">
        <w:t xml:space="preserve"> de l’ordre du jour</w:t>
      </w:r>
      <w:r w:rsidR="00BB3146">
        <w:t xml:space="preserve"> provisoire</w:t>
      </w:r>
    </w:p>
    <w:p w:rsidR="00F9573C" w:rsidRDefault="00CE11E9" w:rsidP="00AF0CB5">
      <w:pPr>
        <w:rPr>
          <w:b/>
        </w:rPr>
      </w:pPr>
      <w:r w:rsidRPr="00F47A01">
        <w:rPr>
          <w:b/>
        </w:rPr>
        <w:t>Pneumatiques : Règ</w:t>
      </w:r>
      <w:r w:rsidR="00F47A01">
        <w:rPr>
          <w:b/>
        </w:rPr>
        <w:t xml:space="preserve">lement </w:t>
      </w:r>
      <w:r w:rsidR="00F47A01" w:rsidRPr="00F47A01">
        <w:rPr>
          <w:rFonts w:eastAsia="MS Mincho"/>
          <w:b/>
          <w:szCs w:val="22"/>
        </w:rPr>
        <w:t>n</w:t>
      </w:r>
      <w:r w:rsidR="00F47A01" w:rsidRPr="00F47A01">
        <w:rPr>
          <w:rFonts w:eastAsia="MS Mincho"/>
          <w:b/>
          <w:szCs w:val="22"/>
          <w:vertAlign w:val="superscript"/>
        </w:rPr>
        <w:t>o</w:t>
      </w:r>
      <w:r w:rsidR="00F47A01">
        <w:rPr>
          <w:b/>
        </w:rPr>
        <w:t> </w:t>
      </w:r>
      <w:r w:rsidRPr="00F47A01">
        <w:rPr>
          <w:b/>
        </w:rPr>
        <w:t>106</w:t>
      </w:r>
    </w:p>
    <w:p w:rsidR="003A3485" w:rsidRPr="00F47A01" w:rsidRDefault="00F47A01" w:rsidP="00F47A01">
      <w:pPr>
        <w:pStyle w:val="HChG"/>
      </w:pPr>
      <w:r>
        <w:tab/>
      </w:r>
      <w:r>
        <w:tab/>
      </w:r>
      <w:r w:rsidR="00CE11E9" w:rsidRPr="00F47A01">
        <w:t>Proposition d’</w:t>
      </w:r>
      <w:r w:rsidR="00A312EB">
        <w:t xml:space="preserve">amendements au Règlement </w:t>
      </w:r>
      <w:r w:rsidR="00A312EB" w:rsidRPr="002D76F4">
        <w:rPr>
          <w:rFonts w:eastAsia="MS Mincho"/>
          <w:szCs w:val="22"/>
        </w:rPr>
        <w:t>n</w:t>
      </w:r>
      <w:r w:rsidR="00A312EB" w:rsidRPr="002D76F4">
        <w:rPr>
          <w:rFonts w:eastAsia="MS Mincho"/>
          <w:szCs w:val="22"/>
          <w:vertAlign w:val="superscript"/>
        </w:rPr>
        <w:t>o</w:t>
      </w:r>
      <w:r w:rsidR="00A312EB">
        <w:t> </w:t>
      </w:r>
      <w:r w:rsidR="00CE11E9" w:rsidRPr="00F47A01">
        <w:t>106 (Pneumatiques pour véhicules agricoles et leurs remorques)</w:t>
      </w:r>
    </w:p>
    <w:p w:rsidR="003A3485" w:rsidRPr="00F47A01" w:rsidRDefault="00CE11E9" w:rsidP="00F47A01">
      <w:pPr>
        <w:pStyle w:val="H1G"/>
      </w:pPr>
      <w:r w:rsidRPr="00F47A01">
        <w:tab/>
      </w:r>
      <w:r w:rsidRPr="00F47A01">
        <w:tab/>
        <w:t xml:space="preserve">Communication des experts de l’Organisation technique européenne </w:t>
      </w:r>
      <w:r w:rsidR="00BB3146">
        <w:br/>
      </w:r>
      <w:r w:rsidRPr="00F47A01">
        <w:t>du pneumatique et de la jante</w:t>
      </w:r>
      <w:r w:rsidRPr="00F47A01">
        <w:rPr>
          <w:b w:val="0"/>
          <w:sz w:val="20"/>
        </w:rPr>
        <w:footnoteReference w:customMarkFollows="1" w:id="2"/>
        <w:t>*</w:t>
      </w:r>
    </w:p>
    <w:p w:rsidR="00F47A01" w:rsidRDefault="00CE11E9" w:rsidP="00F47A01">
      <w:pPr>
        <w:pStyle w:val="SingleTxtG"/>
        <w:ind w:firstLine="567"/>
      </w:pPr>
      <w:r w:rsidRPr="00F47A01">
        <w:t>Le texte reproduit ci</w:t>
      </w:r>
      <w:r w:rsidR="00B20481">
        <w:noBreakHyphen/>
      </w:r>
      <w:r w:rsidRPr="00F47A01">
        <w:t>après, établi par les experts de l’</w:t>
      </w:r>
      <w:r w:rsidRPr="00F47A01">
        <w:rPr>
          <w:iCs/>
        </w:rPr>
        <w:t>Organisation technique européenne du pneumatique et de la jante</w:t>
      </w:r>
      <w:r w:rsidRPr="00F47A01">
        <w:t xml:space="preserve"> (ETRTO), </w:t>
      </w:r>
      <w:r w:rsidR="00A312EB">
        <w:t xml:space="preserve">vise à modifier le Règlement </w:t>
      </w:r>
      <w:r w:rsidR="00A312EB" w:rsidRPr="002D76F4">
        <w:rPr>
          <w:rFonts w:eastAsia="MS Mincho"/>
          <w:szCs w:val="22"/>
        </w:rPr>
        <w:t>n</w:t>
      </w:r>
      <w:r w:rsidR="00A312EB" w:rsidRPr="002D76F4">
        <w:rPr>
          <w:rFonts w:eastAsia="MS Mincho"/>
          <w:szCs w:val="22"/>
          <w:vertAlign w:val="superscript"/>
        </w:rPr>
        <w:t>o</w:t>
      </w:r>
      <w:r w:rsidR="00A312EB">
        <w:t> </w:t>
      </w:r>
      <w:r w:rsidRPr="00F47A01">
        <w:t>106. Les modifications qu’il est proposé d’apporter au texte actuel du Règlement figurent en caractères gras pour les ajouts et biffés pour les suppressions.</w:t>
      </w:r>
    </w:p>
    <w:p w:rsidR="003A3485" w:rsidRPr="005915DD" w:rsidRDefault="00F47A01" w:rsidP="005915DD">
      <w:pPr>
        <w:pStyle w:val="HChG"/>
      </w:pPr>
      <w:r>
        <w:br w:type="page"/>
      </w:r>
      <w:r w:rsidR="00CE11E9" w:rsidRPr="005915DD">
        <w:lastRenderedPageBreak/>
        <w:tab/>
        <w:t>I.</w:t>
      </w:r>
      <w:r w:rsidR="00CE11E9" w:rsidRPr="005915DD">
        <w:tab/>
        <w:t>Proposition</w:t>
      </w:r>
    </w:p>
    <w:p w:rsidR="003A3485" w:rsidRPr="005915DD" w:rsidRDefault="00CE11E9" w:rsidP="005915DD">
      <w:pPr>
        <w:pStyle w:val="SingleTxtG"/>
        <w:ind w:firstLine="567"/>
      </w:pPr>
      <w:r w:rsidRPr="005915DD">
        <w:rPr>
          <w:i/>
        </w:rPr>
        <w:t>Ajouter les nouveaux paragraphes 3.1.16 et 3.1.16.1</w:t>
      </w:r>
      <w:r w:rsidRPr="005915DD">
        <w:t>, libellés comme suit :</w:t>
      </w:r>
    </w:p>
    <w:p w:rsidR="003A3485" w:rsidRPr="005915DD" w:rsidRDefault="00CE11E9" w:rsidP="005A4190">
      <w:pPr>
        <w:pStyle w:val="SingleTxtG"/>
        <w:ind w:left="2268" w:hanging="1134"/>
        <w:rPr>
          <w:bCs/>
        </w:rPr>
      </w:pPr>
      <w:r w:rsidRPr="005915DD">
        <w:rPr>
          <w:bCs/>
        </w:rPr>
        <w:t>« 3.1.16</w:t>
      </w:r>
      <w:r w:rsidRPr="005915DD">
        <w:rPr>
          <w:bCs/>
        </w:rPr>
        <w:tab/>
        <w:t xml:space="preserve">Une indication, en kPa, de la pression de gonflage à adopter pour effectuer les mesures (conformément aux spécifications du point 1 de l’annexe 6) et les essais de résistance du pneumatique à l’éclatement (conformément aux spécifications du point 2.1 de l’annexe 8) et, le cas échéant, l’essai de variation de la capacité de charge en fonction de la vitesse (conformément aux spécifications du point 2.3 de l’annexe 9). Cette marque doit être précédée du symbole </w:t>
      </w:r>
      <w:r w:rsidR="00A312EB" w:rsidRPr="00A312EB">
        <w:rPr>
          <w:bCs/>
        </w:rPr>
        <w:t>“</w:t>
      </w:r>
      <w:r w:rsidRPr="005915DD">
        <w:rPr>
          <w:bCs/>
        </w:rPr>
        <w:t>@</w:t>
      </w:r>
      <w:r w:rsidR="00A312EB" w:rsidRPr="00A312EB">
        <w:rPr>
          <w:bCs/>
        </w:rPr>
        <w:t>”</w:t>
      </w:r>
      <w:r w:rsidRPr="005915DD">
        <w:rPr>
          <w:bCs/>
        </w:rPr>
        <w:t xml:space="preserve"> ou du mot </w:t>
      </w:r>
      <w:r w:rsidR="00A312EB" w:rsidRPr="00A312EB">
        <w:rPr>
          <w:bCs/>
        </w:rPr>
        <w:t>“</w:t>
      </w:r>
      <w:r w:rsidRPr="005915DD">
        <w:rPr>
          <w:bCs/>
        </w:rPr>
        <w:t>à</w:t>
      </w:r>
      <w:r w:rsidR="00A312EB" w:rsidRPr="00A312EB">
        <w:rPr>
          <w:bCs/>
        </w:rPr>
        <w:t>”</w:t>
      </w:r>
      <w:r w:rsidRPr="005915DD">
        <w:rPr>
          <w:bCs/>
        </w:rPr>
        <w:t xml:space="preserve"> (par exemple</w:t>
      </w:r>
      <w:r w:rsidR="00A312EB">
        <w:rPr>
          <w:bCs/>
        </w:rPr>
        <w:t xml:space="preserve"> </w:t>
      </w:r>
      <w:r w:rsidR="00A312EB" w:rsidRPr="00A312EB">
        <w:rPr>
          <w:bCs/>
        </w:rPr>
        <w:t>“</w:t>
      </w:r>
      <w:r w:rsidR="00A312EB">
        <w:rPr>
          <w:bCs/>
        </w:rPr>
        <w:t>@ 240 </w:t>
      </w:r>
      <w:r w:rsidRPr="005915DD">
        <w:rPr>
          <w:bCs/>
        </w:rPr>
        <w:t>kPa</w:t>
      </w:r>
      <w:r w:rsidR="00A312EB" w:rsidRPr="00A312EB">
        <w:rPr>
          <w:bCs/>
        </w:rPr>
        <w:t>”</w:t>
      </w:r>
      <w:r w:rsidRPr="005915DD">
        <w:rPr>
          <w:bCs/>
        </w:rPr>
        <w:t xml:space="preserve"> ou </w:t>
      </w:r>
      <w:r w:rsidR="00A312EB" w:rsidRPr="00A312EB">
        <w:rPr>
          <w:bCs/>
        </w:rPr>
        <w:t>“</w:t>
      </w:r>
      <w:r w:rsidRPr="005915DD">
        <w:rPr>
          <w:bCs/>
        </w:rPr>
        <w:t>à 240 kPa</w:t>
      </w:r>
      <w:r w:rsidR="00A312EB" w:rsidRPr="00A312EB">
        <w:rPr>
          <w:bCs/>
        </w:rPr>
        <w:t>”</w:t>
      </w:r>
      <w:r w:rsidRPr="005915DD">
        <w:rPr>
          <w:bCs/>
        </w:rPr>
        <w:t>) et elle doit être placée après la description de service ou en</w:t>
      </w:r>
      <w:r w:rsidR="00B20481">
        <w:rPr>
          <w:bCs/>
        </w:rPr>
        <w:noBreakHyphen/>
      </w:r>
      <w:r w:rsidRPr="005915DD">
        <w:rPr>
          <w:bCs/>
        </w:rPr>
        <w:t>dessous de celle</w:t>
      </w:r>
      <w:r w:rsidR="00B20481">
        <w:rPr>
          <w:bCs/>
        </w:rPr>
        <w:noBreakHyphen/>
      </w:r>
      <w:r w:rsidRPr="005915DD">
        <w:rPr>
          <w:bCs/>
        </w:rPr>
        <w:t>ci.</w:t>
      </w:r>
    </w:p>
    <w:p w:rsidR="003A3485" w:rsidRPr="005915DD" w:rsidRDefault="00CE11E9" w:rsidP="005A4190">
      <w:pPr>
        <w:pStyle w:val="SingleTxtG"/>
        <w:ind w:left="2268" w:hanging="1134"/>
        <w:rPr>
          <w:bCs/>
          <w:iCs/>
        </w:rPr>
      </w:pPr>
      <w:r w:rsidRPr="005915DD">
        <w:rPr>
          <w:iCs/>
        </w:rPr>
        <w:t>3.1.16.1</w:t>
      </w:r>
      <w:r w:rsidRPr="005915DD">
        <w:rPr>
          <w:iCs/>
        </w:rPr>
        <w:tab/>
      </w:r>
      <w:r w:rsidRPr="005915DD">
        <w:rPr>
          <w:bCs/>
          <w:iCs/>
        </w:rPr>
        <w:t xml:space="preserve">Il </w:t>
      </w:r>
      <w:r w:rsidRPr="005A4190">
        <w:rPr>
          <w:bCs/>
        </w:rPr>
        <w:t>n’est</w:t>
      </w:r>
      <w:r w:rsidRPr="005915DD">
        <w:rPr>
          <w:bCs/>
          <w:iCs/>
        </w:rPr>
        <w:t xml:space="preserve"> toutefois pas obligatoire d’apposer cette marque sur tous les types de pneumatiques </w:t>
      </w:r>
      <w:r w:rsidRPr="005915DD">
        <w:rPr>
          <w:bCs/>
        </w:rPr>
        <w:t>homologués</w:t>
      </w:r>
      <w:r w:rsidRPr="005915DD">
        <w:rPr>
          <w:bCs/>
          <w:iCs/>
        </w:rPr>
        <w:t xml:space="preserve"> avant l’entrée en vigueur du complément 16 au présent Règlement. ».</w:t>
      </w:r>
    </w:p>
    <w:p w:rsidR="003A3485" w:rsidRPr="005915DD" w:rsidRDefault="00CE11E9" w:rsidP="005915DD">
      <w:pPr>
        <w:pStyle w:val="SingleTxtG"/>
        <w:ind w:firstLine="567"/>
      </w:pPr>
      <w:r w:rsidRPr="005915DD">
        <w:rPr>
          <w:i/>
          <w:iCs/>
        </w:rPr>
        <w:t>Paragraphe 4.1.12</w:t>
      </w:r>
      <w:r w:rsidRPr="005915DD">
        <w:rPr>
          <w:iCs/>
        </w:rPr>
        <w:t>,</w:t>
      </w:r>
      <w:r w:rsidRPr="005915DD">
        <w:rPr>
          <w:i/>
          <w:iCs/>
        </w:rPr>
        <w:t xml:space="preserve"> </w:t>
      </w:r>
      <w:r w:rsidRPr="005915DD">
        <w:t xml:space="preserve">modifier comme suit : </w:t>
      </w:r>
    </w:p>
    <w:p w:rsidR="003A3485" w:rsidRPr="005915DD" w:rsidRDefault="00CE11E9" w:rsidP="006B6001">
      <w:pPr>
        <w:pStyle w:val="SingleTxtG"/>
        <w:ind w:left="2268" w:hanging="1134"/>
      </w:pPr>
      <w:r w:rsidRPr="005915DD">
        <w:t>« 4.1.12</w:t>
      </w:r>
      <w:r w:rsidRPr="005915DD">
        <w:tab/>
        <w:t xml:space="preserve">La pression </w:t>
      </w:r>
      <w:r w:rsidRPr="006B6001">
        <w:rPr>
          <w:bCs/>
          <w:iCs/>
        </w:rPr>
        <w:t>de</w:t>
      </w:r>
      <w:r w:rsidRPr="005915DD">
        <w:t xml:space="preserve"> </w:t>
      </w:r>
      <w:r w:rsidRPr="005915DD">
        <w:rPr>
          <w:bCs/>
        </w:rPr>
        <w:t>gonflage</w:t>
      </w:r>
      <w:r w:rsidRPr="005915DD">
        <w:t xml:space="preserve"> préconisée pour les mesures</w:t>
      </w:r>
      <w:r w:rsidRPr="005915DD">
        <w:rPr>
          <w:b/>
        </w:rPr>
        <w:t>, conformément au</w:t>
      </w:r>
      <w:r w:rsidRPr="005915DD">
        <w:rPr>
          <w:b/>
          <w:bCs/>
        </w:rPr>
        <w:t xml:space="preserve"> paragraphe 3.1.16</w:t>
      </w:r>
      <w:r w:rsidRPr="005915DD">
        <w:rPr>
          <w:bCs/>
        </w:rPr>
        <w:t>.</w:t>
      </w:r>
      <w:r w:rsidRPr="005915DD">
        <w:t> ».</w:t>
      </w:r>
    </w:p>
    <w:p w:rsidR="003A3485" w:rsidRPr="005915DD" w:rsidRDefault="00CE11E9" w:rsidP="005915DD">
      <w:pPr>
        <w:pStyle w:val="SingleTxtG"/>
        <w:ind w:firstLine="567"/>
      </w:pPr>
      <w:r w:rsidRPr="005915DD">
        <w:rPr>
          <w:i/>
          <w:iCs/>
        </w:rPr>
        <w:t>Paragraphe 4.1.15</w:t>
      </w:r>
      <w:r w:rsidRPr="005915DD">
        <w:rPr>
          <w:iCs/>
        </w:rPr>
        <w:t>,</w:t>
      </w:r>
      <w:r w:rsidRPr="005915DD">
        <w:rPr>
          <w:i/>
          <w:iCs/>
        </w:rPr>
        <w:t xml:space="preserve"> </w:t>
      </w:r>
      <w:r w:rsidRPr="005915DD">
        <w:t xml:space="preserve">modifier comme suit : </w:t>
      </w:r>
    </w:p>
    <w:p w:rsidR="003A3485" w:rsidRPr="005915DD" w:rsidRDefault="00CE11E9" w:rsidP="00F81AC4">
      <w:pPr>
        <w:pStyle w:val="SingleTxtG"/>
        <w:ind w:left="2268" w:hanging="1134"/>
      </w:pPr>
      <w:r w:rsidRPr="005915DD">
        <w:t>« 4.1.15</w:t>
      </w:r>
      <w:r w:rsidRPr="005915DD">
        <w:tab/>
        <w:t xml:space="preserve">La pression </w:t>
      </w:r>
      <w:r w:rsidRPr="00F81AC4">
        <w:rPr>
          <w:bCs/>
          <w:iCs/>
        </w:rPr>
        <w:t>d’essai</w:t>
      </w:r>
      <w:r w:rsidRPr="005915DD">
        <w:rPr>
          <w:b/>
        </w:rPr>
        <w:t>, conformément au</w:t>
      </w:r>
      <w:r w:rsidRPr="005915DD">
        <w:rPr>
          <w:b/>
          <w:bCs/>
        </w:rPr>
        <w:t xml:space="preserve"> paragraphe 3.1.16</w:t>
      </w:r>
      <w:r w:rsidRPr="005915DD">
        <w:t>. ».</w:t>
      </w:r>
    </w:p>
    <w:p w:rsidR="003A3485" w:rsidRPr="005915DD" w:rsidRDefault="00CE11E9" w:rsidP="005915DD">
      <w:pPr>
        <w:pStyle w:val="SingleTxtG"/>
        <w:ind w:firstLine="567"/>
        <w:rPr>
          <w:iCs/>
        </w:rPr>
      </w:pPr>
      <w:r w:rsidRPr="005915DD">
        <w:rPr>
          <w:i/>
          <w:iCs/>
        </w:rPr>
        <w:t>Annexe</w:t>
      </w:r>
      <w:r w:rsidR="00AF2D72">
        <w:rPr>
          <w:i/>
          <w:iCs/>
        </w:rPr>
        <w:t> </w:t>
      </w:r>
      <w:r w:rsidRPr="005915DD">
        <w:rPr>
          <w:i/>
          <w:iCs/>
        </w:rPr>
        <w:t>3</w:t>
      </w:r>
      <w:r w:rsidRPr="005915DD">
        <w:rPr>
          <w:iCs/>
        </w:rPr>
        <w:t xml:space="preserve">, </w:t>
      </w:r>
      <w:r w:rsidRPr="005915DD">
        <w:rPr>
          <w:i/>
          <w:iCs/>
        </w:rPr>
        <w:t>parties A à E</w:t>
      </w:r>
      <w:r w:rsidRPr="005915DD">
        <w:rPr>
          <w:iCs/>
        </w:rPr>
        <w:t>, ajouter sur les schémas explicatifs l’exemple suivant :</w:t>
      </w:r>
    </w:p>
    <w:p w:rsidR="003A3485" w:rsidRPr="005915DD" w:rsidRDefault="00CE11E9" w:rsidP="006C73D7">
      <w:pPr>
        <w:pStyle w:val="SingleTxtG"/>
        <w:ind w:left="2268"/>
      </w:pPr>
      <w:r w:rsidRPr="005915DD">
        <w:rPr>
          <w:b/>
          <w:bCs/>
        </w:rPr>
        <w:t>« c         @ 240 kPa       c</w:t>
      </w:r>
      <w:r w:rsidRPr="005915DD">
        <w:rPr>
          <w:bCs/>
        </w:rPr>
        <w:t> ».</w:t>
      </w:r>
    </w:p>
    <w:p w:rsidR="003A3485" w:rsidRPr="005915DD" w:rsidRDefault="00CE11E9" w:rsidP="005915DD">
      <w:pPr>
        <w:pStyle w:val="SingleTxtG"/>
        <w:ind w:firstLine="567"/>
        <w:rPr>
          <w:b/>
        </w:rPr>
      </w:pPr>
      <w:r w:rsidRPr="005915DD">
        <w:rPr>
          <w:i/>
          <w:iCs/>
        </w:rPr>
        <w:t xml:space="preserve">Annexe 3 </w:t>
      </w:r>
      <w:r w:rsidR="000E3CFC">
        <w:rPr>
          <w:i/>
          <w:iCs/>
        </w:rPr>
        <w:t>−</w:t>
      </w:r>
      <w:r w:rsidRPr="005915DD">
        <w:rPr>
          <w:i/>
          <w:iCs/>
        </w:rPr>
        <w:t xml:space="preserve"> partie A,</w:t>
      </w:r>
      <w:r w:rsidRPr="005915DD">
        <w:rPr>
          <w:bCs/>
        </w:rPr>
        <w:t xml:space="preserve"> </w:t>
      </w:r>
      <w:r w:rsidRPr="005915DD">
        <w:rPr>
          <w:iCs/>
        </w:rPr>
        <w:t>ajouter</w:t>
      </w:r>
      <w:r w:rsidR="00A62A49">
        <w:rPr>
          <w:iCs/>
        </w:rPr>
        <w:t xml:space="preserve"> </w:t>
      </w:r>
      <w:r w:rsidRPr="005915DD">
        <w:rPr>
          <w:iCs/>
        </w:rPr>
        <w:t>l’alinéa</w:t>
      </w:r>
      <w:r w:rsidR="000E3CFC">
        <w:rPr>
          <w:iCs/>
        </w:rPr>
        <w:t> </w:t>
      </w:r>
      <w:r w:rsidRPr="005915DD">
        <w:rPr>
          <w:iCs/>
        </w:rPr>
        <w:t>k), libellé comme suit </w:t>
      </w:r>
      <w:r w:rsidRPr="005915DD">
        <w:t>:</w:t>
      </w:r>
    </w:p>
    <w:p w:rsidR="003A3485" w:rsidRPr="005915DD" w:rsidRDefault="00CE11E9" w:rsidP="008F27EC">
      <w:pPr>
        <w:pStyle w:val="SingleTxtG"/>
        <w:tabs>
          <w:tab w:val="left" w:pos="2552"/>
        </w:tabs>
        <w:ind w:left="2268" w:hanging="1134"/>
        <w:rPr>
          <w:b/>
        </w:rPr>
      </w:pPr>
      <w:r w:rsidRPr="005915DD">
        <w:rPr>
          <w:bCs/>
        </w:rPr>
        <w:t>« </w:t>
      </w:r>
      <w:r w:rsidRPr="005915DD">
        <w:rPr>
          <w:bCs/>
        </w:rPr>
        <w:tab/>
      </w:r>
      <w:r w:rsidR="006625EE">
        <w:rPr>
          <w:bCs/>
        </w:rPr>
        <w:t>k)</w:t>
      </w:r>
      <w:r w:rsidR="006625EE">
        <w:rPr>
          <w:bCs/>
        </w:rPr>
        <w:tab/>
      </w:r>
      <w:r w:rsidRPr="005915DD">
        <w:rPr>
          <w:bCs/>
        </w:rPr>
        <w:t>Doit être gonflé à</w:t>
      </w:r>
      <w:r w:rsidR="006C73D7">
        <w:rPr>
          <w:bCs/>
        </w:rPr>
        <w:t xml:space="preserve"> 240 </w:t>
      </w:r>
      <w:r w:rsidRPr="005915DD">
        <w:rPr>
          <w:bCs/>
        </w:rPr>
        <w:t xml:space="preserve">kPa </w:t>
      </w:r>
      <w:r w:rsidRPr="00F81AC4">
        <w:rPr>
          <w:bCs/>
          <w:iCs/>
        </w:rPr>
        <w:t>aux</w:t>
      </w:r>
      <w:r w:rsidRPr="005915DD">
        <w:rPr>
          <w:bCs/>
        </w:rPr>
        <w:t xml:space="preserve"> fins des mesures et de l’essai de résistance à l’éclatement et, le cas échéant, de l’essai de variation de la capacité de charge en fonction de la vitesse. ».</w:t>
      </w:r>
    </w:p>
    <w:p w:rsidR="003A3485" w:rsidRPr="005915DD" w:rsidRDefault="00CE11E9" w:rsidP="005915DD">
      <w:pPr>
        <w:pStyle w:val="SingleTxtG"/>
        <w:ind w:firstLine="567"/>
        <w:rPr>
          <w:b/>
        </w:rPr>
      </w:pPr>
      <w:r w:rsidRPr="005915DD">
        <w:rPr>
          <w:iCs/>
        </w:rPr>
        <w:t xml:space="preserve">Ajouter, à la fin de la partie A, </w:t>
      </w:r>
      <w:r w:rsidRPr="005915DD">
        <w:rPr>
          <w:i/>
          <w:iCs/>
        </w:rPr>
        <w:t>la note suivante </w:t>
      </w:r>
      <w:r w:rsidRPr="00B20481">
        <w:rPr>
          <w:iCs/>
        </w:rPr>
        <w:t>:</w:t>
      </w:r>
    </w:p>
    <w:p w:rsidR="003A3485" w:rsidRPr="005915DD" w:rsidRDefault="00CE11E9" w:rsidP="00F81AC4">
      <w:pPr>
        <w:pStyle w:val="SingleTxtG"/>
        <w:ind w:left="2268" w:hanging="1134"/>
        <w:rPr>
          <w:b/>
        </w:rPr>
      </w:pPr>
      <w:r w:rsidRPr="005915DD">
        <w:rPr>
          <w:bCs/>
        </w:rPr>
        <w:t>« </w:t>
      </w:r>
      <w:r w:rsidRPr="005915DD">
        <w:rPr>
          <w:bCs/>
        </w:rPr>
        <w:tab/>
        <w:t xml:space="preserve">La </w:t>
      </w:r>
      <w:r w:rsidRPr="00F81AC4">
        <w:rPr>
          <w:bCs/>
          <w:iCs/>
        </w:rPr>
        <w:t>pression</w:t>
      </w:r>
      <w:r w:rsidRPr="005915DD">
        <w:rPr>
          <w:bCs/>
        </w:rPr>
        <w:t xml:space="preserve"> de gonflage à utiliser aux fins des mesures et des essais doit être indiquée après la description de service ou en</w:t>
      </w:r>
      <w:r w:rsidR="00B20481">
        <w:rPr>
          <w:bCs/>
        </w:rPr>
        <w:noBreakHyphen/>
      </w:r>
      <w:r w:rsidRPr="005915DD">
        <w:rPr>
          <w:bCs/>
        </w:rPr>
        <w:t>dessous de celle</w:t>
      </w:r>
      <w:r w:rsidR="00B20481">
        <w:rPr>
          <w:bCs/>
        </w:rPr>
        <w:noBreakHyphen/>
      </w:r>
      <w:r w:rsidRPr="005915DD">
        <w:rPr>
          <w:bCs/>
        </w:rPr>
        <w:t>ci. ».</w:t>
      </w:r>
    </w:p>
    <w:p w:rsidR="003A3485" w:rsidRPr="005915DD" w:rsidRDefault="00CE11E9" w:rsidP="005915DD">
      <w:pPr>
        <w:pStyle w:val="SingleTxtG"/>
        <w:ind w:firstLine="567"/>
        <w:rPr>
          <w:b/>
        </w:rPr>
      </w:pPr>
      <w:r w:rsidRPr="005915DD">
        <w:rPr>
          <w:i/>
          <w:iCs/>
        </w:rPr>
        <w:t>Annexe 3 – partie B</w:t>
      </w:r>
      <w:r w:rsidRPr="005915DD">
        <w:rPr>
          <w:iCs/>
        </w:rPr>
        <w:t>,</w:t>
      </w:r>
      <w:r w:rsidRPr="005915DD">
        <w:rPr>
          <w:i/>
          <w:iCs/>
        </w:rPr>
        <w:t xml:space="preserve"> </w:t>
      </w:r>
      <w:r w:rsidRPr="005915DD">
        <w:rPr>
          <w:iCs/>
        </w:rPr>
        <w:t>ajouter</w:t>
      </w:r>
      <w:r w:rsidR="00A62A49">
        <w:rPr>
          <w:iCs/>
        </w:rPr>
        <w:t xml:space="preserve"> </w:t>
      </w:r>
      <w:r w:rsidRPr="005915DD">
        <w:rPr>
          <w:iCs/>
        </w:rPr>
        <w:t>l’alinéa</w:t>
      </w:r>
      <w:r w:rsidRPr="005915DD">
        <w:rPr>
          <w:i/>
          <w:iCs/>
        </w:rPr>
        <w:t xml:space="preserve"> i)</w:t>
      </w:r>
      <w:r w:rsidRPr="005915DD">
        <w:rPr>
          <w:iCs/>
        </w:rPr>
        <w:t>, libellé comme suit </w:t>
      </w:r>
      <w:r w:rsidRPr="005915DD">
        <w:t xml:space="preserve">: </w:t>
      </w:r>
    </w:p>
    <w:p w:rsidR="003A3485" w:rsidRPr="005915DD" w:rsidRDefault="00CE11E9" w:rsidP="008F27EC">
      <w:pPr>
        <w:pStyle w:val="SingleTxtG"/>
        <w:tabs>
          <w:tab w:val="left" w:pos="2552"/>
        </w:tabs>
        <w:ind w:left="2268" w:hanging="1134"/>
        <w:rPr>
          <w:b/>
        </w:rPr>
      </w:pPr>
      <w:r w:rsidRPr="005915DD">
        <w:rPr>
          <w:bCs/>
        </w:rPr>
        <w:t>« </w:t>
      </w:r>
      <w:r w:rsidR="006625EE">
        <w:rPr>
          <w:bCs/>
        </w:rPr>
        <w:tab/>
        <w:t>i)</w:t>
      </w:r>
      <w:r w:rsidR="008F27EC">
        <w:rPr>
          <w:bCs/>
        </w:rPr>
        <w:tab/>
      </w:r>
      <w:r w:rsidRPr="005915DD">
        <w:rPr>
          <w:bCs/>
        </w:rPr>
        <w:t xml:space="preserve">Doit être gonflé à </w:t>
      </w:r>
      <w:r w:rsidR="00B20481">
        <w:rPr>
          <w:bCs/>
        </w:rPr>
        <w:t>240 </w:t>
      </w:r>
      <w:r w:rsidRPr="005915DD">
        <w:rPr>
          <w:bCs/>
        </w:rPr>
        <w:t>kPa aux fins des mesures et de l’essai de résistance à l’éclatement. ».</w:t>
      </w:r>
    </w:p>
    <w:p w:rsidR="003A3485" w:rsidRPr="005915DD" w:rsidRDefault="00CE11E9" w:rsidP="005915DD">
      <w:pPr>
        <w:pStyle w:val="SingleTxtG"/>
        <w:ind w:firstLine="567"/>
        <w:rPr>
          <w:b/>
        </w:rPr>
      </w:pPr>
      <w:r w:rsidRPr="005915DD">
        <w:rPr>
          <w:iCs/>
        </w:rPr>
        <w:t xml:space="preserve">Ajouter, à la fin de la partie B, </w:t>
      </w:r>
      <w:r w:rsidRPr="005915DD">
        <w:rPr>
          <w:i/>
          <w:iCs/>
        </w:rPr>
        <w:t>la note suivante </w:t>
      </w:r>
      <w:r w:rsidRPr="00B20481">
        <w:rPr>
          <w:iCs/>
        </w:rPr>
        <w:t>:</w:t>
      </w:r>
    </w:p>
    <w:p w:rsidR="003A3485" w:rsidRPr="005915DD" w:rsidRDefault="00CE11E9" w:rsidP="00F81AC4">
      <w:pPr>
        <w:pStyle w:val="SingleTxtG"/>
        <w:ind w:left="2268" w:hanging="1134"/>
        <w:rPr>
          <w:b/>
        </w:rPr>
      </w:pPr>
      <w:r w:rsidRPr="005915DD">
        <w:rPr>
          <w:bCs/>
        </w:rPr>
        <w:t>« </w:t>
      </w:r>
      <w:r w:rsidRPr="005915DD">
        <w:rPr>
          <w:bCs/>
        </w:rPr>
        <w:tab/>
        <w:t xml:space="preserve">La pression de gonflage à utiliser aux fins des mesures et des essais doit être indiquée après la </w:t>
      </w:r>
      <w:r w:rsidRPr="00F81AC4">
        <w:rPr>
          <w:bCs/>
          <w:iCs/>
        </w:rPr>
        <w:t>description</w:t>
      </w:r>
      <w:r w:rsidRPr="005915DD">
        <w:rPr>
          <w:bCs/>
        </w:rPr>
        <w:t xml:space="preserve"> de service ou en</w:t>
      </w:r>
      <w:r w:rsidR="00B20481">
        <w:rPr>
          <w:bCs/>
        </w:rPr>
        <w:noBreakHyphen/>
      </w:r>
      <w:r w:rsidRPr="005915DD">
        <w:rPr>
          <w:bCs/>
        </w:rPr>
        <w:t>dessous de celle</w:t>
      </w:r>
      <w:r w:rsidR="00B20481">
        <w:rPr>
          <w:bCs/>
        </w:rPr>
        <w:noBreakHyphen/>
      </w:r>
      <w:r w:rsidRPr="005915DD">
        <w:rPr>
          <w:bCs/>
        </w:rPr>
        <w:t>ci. ».</w:t>
      </w:r>
    </w:p>
    <w:p w:rsidR="003A3485" w:rsidRPr="005915DD" w:rsidRDefault="00CE11E9" w:rsidP="005915DD">
      <w:pPr>
        <w:pStyle w:val="SingleTxtG"/>
        <w:ind w:firstLine="567"/>
        <w:rPr>
          <w:b/>
        </w:rPr>
      </w:pPr>
      <w:r w:rsidRPr="005915DD">
        <w:rPr>
          <w:i/>
          <w:iCs/>
        </w:rPr>
        <w:t xml:space="preserve">Annexe 3 </w:t>
      </w:r>
      <w:r w:rsidR="000E3CFC">
        <w:rPr>
          <w:i/>
          <w:iCs/>
        </w:rPr>
        <w:t>−</w:t>
      </w:r>
      <w:r w:rsidRPr="005915DD">
        <w:rPr>
          <w:i/>
          <w:iCs/>
        </w:rPr>
        <w:t xml:space="preserve"> partie C</w:t>
      </w:r>
      <w:r w:rsidRPr="005915DD">
        <w:rPr>
          <w:iCs/>
        </w:rPr>
        <w:t>,</w:t>
      </w:r>
      <w:r w:rsidRPr="005915DD">
        <w:rPr>
          <w:i/>
          <w:iCs/>
        </w:rPr>
        <w:t xml:space="preserve"> </w:t>
      </w:r>
      <w:r w:rsidRPr="005915DD">
        <w:rPr>
          <w:iCs/>
        </w:rPr>
        <w:t>ajouter</w:t>
      </w:r>
      <w:r w:rsidR="00A62A49">
        <w:rPr>
          <w:iCs/>
        </w:rPr>
        <w:t xml:space="preserve"> </w:t>
      </w:r>
      <w:r w:rsidRPr="005915DD">
        <w:rPr>
          <w:iCs/>
        </w:rPr>
        <w:t>l’alinéa</w:t>
      </w:r>
      <w:r w:rsidR="000E3CFC">
        <w:rPr>
          <w:i/>
          <w:iCs/>
        </w:rPr>
        <w:t> </w:t>
      </w:r>
      <w:r w:rsidRPr="005915DD">
        <w:rPr>
          <w:i/>
          <w:iCs/>
        </w:rPr>
        <w:t>k)</w:t>
      </w:r>
      <w:r w:rsidRPr="005915DD">
        <w:rPr>
          <w:iCs/>
        </w:rPr>
        <w:t>, libellé comme suit </w:t>
      </w:r>
      <w:r w:rsidRPr="005915DD">
        <w:t>:</w:t>
      </w:r>
    </w:p>
    <w:p w:rsidR="003A3485" w:rsidRPr="005915DD" w:rsidRDefault="00CE11E9" w:rsidP="008F27EC">
      <w:pPr>
        <w:pStyle w:val="SingleTxtG"/>
        <w:tabs>
          <w:tab w:val="left" w:pos="2552"/>
        </w:tabs>
        <w:ind w:left="2268" w:hanging="1134"/>
        <w:rPr>
          <w:b/>
        </w:rPr>
      </w:pPr>
      <w:r w:rsidRPr="005915DD">
        <w:rPr>
          <w:bCs/>
        </w:rPr>
        <w:t>« </w:t>
      </w:r>
      <w:r w:rsidR="006625EE">
        <w:rPr>
          <w:bCs/>
        </w:rPr>
        <w:tab/>
        <w:t>k)</w:t>
      </w:r>
      <w:r w:rsidR="006625EE">
        <w:rPr>
          <w:bCs/>
        </w:rPr>
        <w:tab/>
      </w:r>
      <w:r w:rsidRPr="005915DD">
        <w:rPr>
          <w:bCs/>
        </w:rPr>
        <w:t>Doit être gonflé à</w:t>
      </w:r>
      <w:r w:rsidR="000E3CFC">
        <w:rPr>
          <w:bCs/>
        </w:rPr>
        <w:t xml:space="preserve"> 240 </w:t>
      </w:r>
      <w:r w:rsidRPr="005915DD">
        <w:rPr>
          <w:bCs/>
        </w:rPr>
        <w:t xml:space="preserve">kPa aux fins des mesures et de l’essai de résistance à l’éclatement et, le cas </w:t>
      </w:r>
      <w:r w:rsidRPr="00F81AC4">
        <w:rPr>
          <w:bCs/>
          <w:iCs/>
        </w:rPr>
        <w:t>échéant</w:t>
      </w:r>
      <w:r w:rsidRPr="005915DD">
        <w:rPr>
          <w:bCs/>
        </w:rPr>
        <w:t>, de l’essai de variation de la capacité de charge en fonction de la vitesse. ».</w:t>
      </w:r>
    </w:p>
    <w:p w:rsidR="003A3485" w:rsidRPr="005915DD" w:rsidRDefault="00CE11E9" w:rsidP="005915DD">
      <w:pPr>
        <w:pStyle w:val="SingleTxtG"/>
        <w:ind w:firstLine="567"/>
        <w:rPr>
          <w:b/>
        </w:rPr>
      </w:pPr>
      <w:r w:rsidRPr="005915DD">
        <w:rPr>
          <w:iCs/>
        </w:rPr>
        <w:t xml:space="preserve">Ajouter, à la fin de la partie C, </w:t>
      </w:r>
      <w:r w:rsidRPr="005915DD">
        <w:rPr>
          <w:i/>
          <w:iCs/>
        </w:rPr>
        <w:t>la note suivante </w:t>
      </w:r>
      <w:r w:rsidRPr="00B20481">
        <w:rPr>
          <w:iCs/>
        </w:rPr>
        <w:t>:</w:t>
      </w:r>
    </w:p>
    <w:p w:rsidR="003A3485" w:rsidRPr="005915DD" w:rsidRDefault="00CE11E9" w:rsidP="00F81AC4">
      <w:pPr>
        <w:pStyle w:val="SingleTxtG"/>
        <w:ind w:left="2268" w:hanging="1134"/>
        <w:rPr>
          <w:b/>
        </w:rPr>
      </w:pPr>
      <w:r w:rsidRPr="005915DD">
        <w:rPr>
          <w:bCs/>
        </w:rPr>
        <w:t>« </w:t>
      </w:r>
      <w:r w:rsidRPr="005915DD">
        <w:rPr>
          <w:bCs/>
        </w:rPr>
        <w:tab/>
        <w:t xml:space="preserve">La </w:t>
      </w:r>
      <w:r w:rsidRPr="00F81AC4">
        <w:rPr>
          <w:bCs/>
          <w:iCs/>
        </w:rPr>
        <w:t>pression</w:t>
      </w:r>
      <w:r w:rsidRPr="005915DD">
        <w:rPr>
          <w:bCs/>
        </w:rPr>
        <w:t xml:space="preserve"> de gonflage à utiliser aux fins des mesures et des essais doit être indiquée après la description de service ou en</w:t>
      </w:r>
      <w:r w:rsidR="00B20481">
        <w:rPr>
          <w:bCs/>
        </w:rPr>
        <w:noBreakHyphen/>
      </w:r>
      <w:r w:rsidRPr="005915DD">
        <w:rPr>
          <w:bCs/>
        </w:rPr>
        <w:t>dessous de celle</w:t>
      </w:r>
      <w:r w:rsidR="00B20481">
        <w:rPr>
          <w:bCs/>
        </w:rPr>
        <w:noBreakHyphen/>
      </w:r>
      <w:r w:rsidRPr="005915DD">
        <w:rPr>
          <w:bCs/>
        </w:rPr>
        <w:t>ci. ».</w:t>
      </w:r>
    </w:p>
    <w:p w:rsidR="003A3485" w:rsidRPr="005915DD" w:rsidRDefault="00CE11E9" w:rsidP="005915DD">
      <w:pPr>
        <w:pStyle w:val="SingleTxtG"/>
        <w:ind w:firstLine="567"/>
        <w:rPr>
          <w:b/>
        </w:rPr>
      </w:pPr>
      <w:r w:rsidRPr="005915DD">
        <w:rPr>
          <w:i/>
          <w:iCs/>
        </w:rPr>
        <w:t xml:space="preserve">Annexe 3 </w:t>
      </w:r>
      <w:r w:rsidR="000E3CFC">
        <w:rPr>
          <w:i/>
          <w:iCs/>
        </w:rPr>
        <w:t>−</w:t>
      </w:r>
      <w:r w:rsidRPr="005915DD">
        <w:rPr>
          <w:i/>
          <w:iCs/>
        </w:rPr>
        <w:t xml:space="preserve"> partie D</w:t>
      </w:r>
      <w:r w:rsidRPr="005915DD">
        <w:rPr>
          <w:iCs/>
        </w:rPr>
        <w:t>,</w:t>
      </w:r>
      <w:r w:rsidRPr="005915DD">
        <w:rPr>
          <w:i/>
          <w:iCs/>
        </w:rPr>
        <w:t xml:space="preserve"> </w:t>
      </w:r>
      <w:r w:rsidRPr="005915DD">
        <w:rPr>
          <w:iCs/>
        </w:rPr>
        <w:t>ajouter</w:t>
      </w:r>
      <w:r w:rsidR="00A62A49">
        <w:rPr>
          <w:iCs/>
        </w:rPr>
        <w:t xml:space="preserve"> </w:t>
      </w:r>
      <w:r w:rsidRPr="005915DD">
        <w:rPr>
          <w:iCs/>
        </w:rPr>
        <w:t>l’alinéa</w:t>
      </w:r>
      <w:r w:rsidR="000E3CFC">
        <w:rPr>
          <w:i/>
          <w:iCs/>
        </w:rPr>
        <w:t> </w:t>
      </w:r>
      <w:r w:rsidRPr="005915DD">
        <w:rPr>
          <w:i/>
          <w:iCs/>
        </w:rPr>
        <w:t>j)</w:t>
      </w:r>
      <w:r w:rsidRPr="005915DD">
        <w:rPr>
          <w:iCs/>
        </w:rPr>
        <w:t>, libellé comme suit </w:t>
      </w:r>
      <w:r w:rsidRPr="005915DD">
        <w:t>:</w:t>
      </w:r>
    </w:p>
    <w:p w:rsidR="003A3485" w:rsidRPr="005915DD" w:rsidRDefault="00CE11E9" w:rsidP="008F27EC">
      <w:pPr>
        <w:pStyle w:val="SingleTxtG"/>
        <w:tabs>
          <w:tab w:val="left" w:pos="2552"/>
        </w:tabs>
        <w:ind w:left="2268" w:hanging="1134"/>
        <w:rPr>
          <w:b/>
        </w:rPr>
      </w:pPr>
      <w:r w:rsidRPr="005915DD">
        <w:rPr>
          <w:bCs/>
        </w:rPr>
        <w:t>« </w:t>
      </w:r>
      <w:r w:rsidR="006625EE">
        <w:rPr>
          <w:bCs/>
        </w:rPr>
        <w:tab/>
        <w:t>j)</w:t>
      </w:r>
      <w:r w:rsidR="006625EE">
        <w:rPr>
          <w:bCs/>
        </w:rPr>
        <w:tab/>
      </w:r>
      <w:r w:rsidRPr="005915DD">
        <w:rPr>
          <w:bCs/>
        </w:rPr>
        <w:t xml:space="preserve">Doit </w:t>
      </w:r>
      <w:r w:rsidRPr="00F81AC4">
        <w:rPr>
          <w:bCs/>
          <w:iCs/>
        </w:rPr>
        <w:t>être</w:t>
      </w:r>
      <w:r w:rsidR="000E3CFC">
        <w:rPr>
          <w:bCs/>
        </w:rPr>
        <w:t xml:space="preserve"> gonflé à 240 </w:t>
      </w:r>
      <w:r w:rsidRPr="005915DD">
        <w:rPr>
          <w:bCs/>
        </w:rPr>
        <w:t>kPa aux fins des mesures et de l’essai de résistance à l’éclatement. ».</w:t>
      </w:r>
    </w:p>
    <w:p w:rsidR="003A3485" w:rsidRPr="005915DD" w:rsidRDefault="00CE11E9" w:rsidP="005E589C">
      <w:pPr>
        <w:pStyle w:val="SingleTxtG"/>
        <w:keepNext/>
        <w:ind w:firstLine="567"/>
        <w:rPr>
          <w:b/>
        </w:rPr>
      </w:pPr>
      <w:r w:rsidRPr="005915DD">
        <w:rPr>
          <w:iCs/>
        </w:rPr>
        <w:lastRenderedPageBreak/>
        <w:t xml:space="preserve">Ajouter, à la fin de la partie D, </w:t>
      </w:r>
      <w:r w:rsidRPr="005915DD">
        <w:rPr>
          <w:i/>
          <w:iCs/>
        </w:rPr>
        <w:t>la note suivante </w:t>
      </w:r>
      <w:r w:rsidRPr="00B20481">
        <w:rPr>
          <w:iCs/>
        </w:rPr>
        <w:t>:</w:t>
      </w:r>
    </w:p>
    <w:p w:rsidR="003A3485" w:rsidRPr="005915DD" w:rsidRDefault="00CE11E9" w:rsidP="00F81AC4">
      <w:pPr>
        <w:pStyle w:val="SingleTxtG"/>
        <w:ind w:left="2268" w:hanging="1134"/>
        <w:rPr>
          <w:b/>
        </w:rPr>
      </w:pPr>
      <w:r w:rsidRPr="005915DD">
        <w:rPr>
          <w:bCs/>
        </w:rPr>
        <w:t>« </w:t>
      </w:r>
      <w:r w:rsidRPr="005915DD">
        <w:rPr>
          <w:bCs/>
        </w:rPr>
        <w:tab/>
        <w:t xml:space="preserve">La </w:t>
      </w:r>
      <w:r w:rsidRPr="00F81AC4">
        <w:rPr>
          <w:bCs/>
          <w:iCs/>
        </w:rPr>
        <w:t>pression</w:t>
      </w:r>
      <w:r w:rsidRPr="005915DD">
        <w:rPr>
          <w:bCs/>
        </w:rPr>
        <w:t xml:space="preserve"> de gonflage à utiliser aux fins des mesures et des essais doit être indiquée après la description de service ou en</w:t>
      </w:r>
      <w:r w:rsidR="00B20481">
        <w:rPr>
          <w:bCs/>
        </w:rPr>
        <w:noBreakHyphen/>
      </w:r>
      <w:r w:rsidRPr="005915DD">
        <w:rPr>
          <w:bCs/>
        </w:rPr>
        <w:t>dessous de celle</w:t>
      </w:r>
      <w:r w:rsidR="00B20481">
        <w:rPr>
          <w:bCs/>
        </w:rPr>
        <w:noBreakHyphen/>
      </w:r>
      <w:r w:rsidRPr="005915DD">
        <w:rPr>
          <w:bCs/>
        </w:rPr>
        <w:t>ci. ».</w:t>
      </w:r>
    </w:p>
    <w:p w:rsidR="003A3485" w:rsidRPr="005915DD" w:rsidRDefault="00CE11E9" w:rsidP="005915DD">
      <w:pPr>
        <w:pStyle w:val="SingleTxtG"/>
        <w:ind w:firstLine="567"/>
        <w:rPr>
          <w:b/>
        </w:rPr>
      </w:pPr>
      <w:r w:rsidRPr="005915DD">
        <w:rPr>
          <w:i/>
          <w:iCs/>
        </w:rPr>
        <w:t xml:space="preserve">Annexe 3 – </w:t>
      </w:r>
      <w:r w:rsidR="00982F67">
        <w:rPr>
          <w:i/>
          <w:iCs/>
        </w:rPr>
        <w:t>partie </w:t>
      </w:r>
      <w:r w:rsidRPr="005915DD">
        <w:rPr>
          <w:i/>
          <w:iCs/>
        </w:rPr>
        <w:t>E</w:t>
      </w:r>
      <w:r w:rsidRPr="005915DD">
        <w:rPr>
          <w:iCs/>
        </w:rPr>
        <w:t>,</w:t>
      </w:r>
      <w:r w:rsidRPr="005915DD">
        <w:rPr>
          <w:i/>
          <w:iCs/>
        </w:rPr>
        <w:t xml:space="preserve"> </w:t>
      </w:r>
      <w:r w:rsidRPr="005915DD">
        <w:rPr>
          <w:iCs/>
        </w:rPr>
        <w:t>ajouter</w:t>
      </w:r>
      <w:r w:rsidR="00A62A49">
        <w:rPr>
          <w:iCs/>
        </w:rPr>
        <w:t xml:space="preserve"> </w:t>
      </w:r>
      <w:r w:rsidRPr="005915DD">
        <w:rPr>
          <w:iCs/>
        </w:rPr>
        <w:t>l’alinéa</w:t>
      </w:r>
      <w:r w:rsidR="009640C4">
        <w:rPr>
          <w:i/>
          <w:iCs/>
        </w:rPr>
        <w:t> </w:t>
      </w:r>
      <w:r w:rsidRPr="005915DD">
        <w:rPr>
          <w:i/>
          <w:iCs/>
        </w:rPr>
        <w:t>j)</w:t>
      </w:r>
      <w:r w:rsidRPr="005915DD">
        <w:rPr>
          <w:iCs/>
        </w:rPr>
        <w:t>, libellé comme suit </w:t>
      </w:r>
      <w:r w:rsidRPr="005915DD">
        <w:t>:</w:t>
      </w:r>
    </w:p>
    <w:p w:rsidR="003A3485" w:rsidRPr="005915DD" w:rsidRDefault="00CE11E9" w:rsidP="008F27EC">
      <w:pPr>
        <w:pStyle w:val="SingleTxtG"/>
        <w:tabs>
          <w:tab w:val="left" w:pos="2552"/>
        </w:tabs>
        <w:ind w:left="2268" w:hanging="1134"/>
        <w:rPr>
          <w:b/>
        </w:rPr>
      </w:pPr>
      <w:r w:rsidRPr="005915DD">
        <w:rPr>
          <w:bCs/>
        </w:rPr>
        <w:t>« </w:t>
      </w:r>
      <w:r w:rsidR="006625EE">
        <w:rPr>
          <w:bCs/>
        </w:rPr>
        <w:tab/>
        <w:t>j)</w:t>
      </w:r>
      <w:r w:rsidR="006625EE">
        <w:rPr>
          <w:bCs/>
        </w:rPr>
        <w:tab/>
      </w:r>
      <w:r w:rsidR="00A62A49">
        <w:rPr>
          <w:bCs/>
        </w:rPr>
        <w:t>Doit être gonflé à 240 </w:t>
      </w:r>
      <w:r w:rsidRPr="005915DD">
        <w:rPr>
          <w:bCs/>
        </w:rPr>
        <w:t xml:space="preserve">kPa aux fins des mesures et de l’essai de résistance à l’éclatement et, le </w:t>
      </w:r>
      <w:r w:rsidRPr="00F81AC4">
        <w:rPr>
          <w:bCs/>
          <w:iCs/>
        </w:rPr>
        <w:t>cas</w:t>
      </w:r>
      <w:r w:rsidRPr="005915DD">
        <w:rPr>
          <w:bCs/>
        </w:rPr>
        <w:t xml:space="preserve"> échéant, de l’essai de variation de la capacité de charge en fonction de la vitesse. ».</w:t>
      </w:r>
    </w:p>
    <w:p w:rsidR="003A3485" w:rsidRPr="005915DD" w:rsidRDefault="00CE11E9" w:rsidP="005915DD">
      <w:pPr>
        <w:pStyle w:val="SingleTxtG"/>
        <w:ind w:firstLine="567"/>
        <w:rPr>
          <w:bCs/>
        </w:rPr>
      </w:pPr>
      <w:r w:rsidRPr="005915DD">
        <w:rPr>
          <w:bCs/>
        </w:rPr>
        <w:t>Ajouter, à la fin de la partie</w:t>
      </w:r>
      <w:r w:rsidR="00F127E1">
        <w:rPr>
          <w:bCs/>
        </w:rPr>
        <w:t> </w:t>
      </w:r>
      <w:r w:rsidRPr="005915DD">
        <w:rPr>
          <w:bCs/>
        </w:rPr>
        <w:t>E, la note suivante :</w:t>
      </w:r>
    </w:p>
    <w:p w:rsidR="003A3485" w:rsidRPr="005915DD" w:rsidRDefault="00CE11E9" w:rsidP="00F81AC4">
      <w:pPr>
        <w:pStyle w:val="SingleTxtG"/>
        <w:ind w:left="2268" w:hanging="1134"/>
      </w:pPr>
      <w:r w:rsidRPr="005915DD">
        <w:rPr>
          <w:bCs/>
        </w:rPr>
        <w:t>« </w:t>
      </w:r>
      <w:r w:rsidRPr="005915DD">
        <w:rPr>
          <w:bCs/>
        </w:rPr>
        <w:tab/>
        <w:t xml:space="preserve">La pression de gonflage à utiliser aux fins des mesures et des essais doit être indiquée après la </w:t>
      </w:r>
      <w:r w:rsidRPr="00F81AC4">
        <w:rPr>
          <w:bCs/>
          <w:iCs/>
        </w:rPr>
        <w:t>description</w:t>
      </w:r>
      <w:r w:rsidRPr="005915DD">
        <w:rPr>
          <w:bCs/>
        </w:rPr>
        <w:t xml:space="preserve"> de service ou en</w:t>
      </w:r>
      <w:r w:rsidR="00B20481">
        <w:rPr>
          <w:bCs/>
        </w:rPr>
        <w:noBreakHyphen/>
      </w:r>
      <w:r w:rsidRPr="005915DD">
        <w:rPr>
          <w:bCs/>
        </w:rPr>
        <w:t>dessous de celle</w:t>
      </w:r>
      <w:r w:rsidR="00B20481">
        <w:rPr>
          <w:bCs/>
        </w:rPr>
        <w:noBreakHyphen/>
      </w:r>
      <w:r w:rsidRPr="005915DD">
        <w:rPr>
          <w:bCs/>
        </w:rPr>
        <w:t>ci. ».</w:t>
      </w:r>
    </w:p>
    <w:p w:rsidR="003A3485" w:rsidRPr="005915DD" w:rsidRDefault="00CE11E9" w:rsidP="003D2316">
      <w:pPr>
        <w:pStyle w:val="HChG"/>
      </w:pPr>
      <w:r w:rsidRPr="005915DD">
        <w:tab/>
        <w:t>II.</w:t>
      </w:r>
      <w:r w:rsidRPr="005915DD">
        <w:tab/>
        <w:t>Justification</w:t>
      </w:r>
    </w:p>
    <w:p w:rsidR="003A3485" w:rsidRPr="005915DD" w:rsidRDefault="00CE11E9" w:rsidP="003D2316">
      <w:pPr>
        <w:pStyle w:val="SingleTxtG"/>
        <w:rPr>
          <w:b/>
        </w:rPr>
      </w:pPr>
      <w:r w:rsidRPr="005915DD">
        <w:t>1.</w:t>
      </w:r>
      <w:r w:rsidRPr="005915DD">
        <w:tab/>
        <w:t>Le paragraphe 3.1.16 permet d’ajouter aux marques apposées sur les pneumatiques des renseignements relatifs à la pression de gonflage à utiliser pour les mesures et les essais.</w:t>
      </w:r>
    </w:p>
    <w:p w:rsidR="003A3485" w:rsidRPr="005915DD" w:rsidRDefault="00CE11E9" w:rsidP="003D2316">
      <w:pPr>
        <w:pStyle w:val="SingleTxtG"/>
        <w:rPr>
          <w:b/>
        </w:rPr>
      </w:pPr>
      <w:r w:rsidRPr="005915DD">
        <w:t>2.</w:t>
      </w:r>
      <w:r w:rsidRPr="005915DD">
        <w:tab/>
        <w:t>Ces renseignements sont actuellement communiqués par écrit par le fabricant des pneumatiques, dans la demande d’homologation (voir les par</w:t>
      </w:r>
      <w:r w:rsidR="005D63C7">
        <w:t>agraphes</w:t>
      </w:r>
      <w:r w:rsidRPr="005915DD">
        <w:t> 4.1.12 et 4.1.15), et ne figurent pas</w:t>
      </w:r>
      <w:r w:rsidR="00A62A49">
        <w:t xml:space="preserve"> </w:t>
      </w:r>
      <w:r w:rsidRPr="005915DD">
        <w:t>parmi les marques apposées sur les pneumatiques.</w:t>
      </w:r>
    </w:p>
    <w:p w:rsidR="003A3485" w:rsidRPr="005915DD" w:rsidRDefault="00CE11E9" w:rsidP="003D2316">
      <w:pPr>
        <w:pStyle w:val="SingleTxtG"/>
        <w:rPr>
          <w:b/>
        </w:rPr>
      </w:pPr>
      <w:r w:rsidRPr="005915DD">
        <w:t>3.</w:t>
      </w:r>
      <w:r w:rsidRPr="005915DD">
        <w:tab/>
        <w:t>La pression de gonflage à utiliser pour les mesures et les essais dépend de la version de la capacité de charge affectée au pneumatique et ne doit pas être confondue avec la prescription de sécurité concernant « la pression de gonflage à froid à ne pas dépasser pour caler les talons lors du montage du pneumatique » (voir par. 4.1.14), qui doit figurer expressément sur le pictogramme décrit à l’annexe 11.</w:t>
      </w:r>
    </w:p>
    <w:p w:rsidR="003A3485" w:rsidRPr="005915DD" w:rsidRDefault="00CE11E9" w:rsidP="003D2316">
      <w:pPr>
        <w:pStyle w:val="SingleTxtG"/>
        <w:rPr>
          <w:b/>
        </w:rPr>
      </w:pPr>
      <w:r w:rsidRPr="005915DD">
        <w:t>4.</w:t>
      </w:r>
      <w:r w:rsidRPr="005915DD">
        <w:tab/>
        <w:t xml:space="preserve">L’ajout, sur le flanc du pneumatique, de la marque proposée, conformément aux prescriptions du Règlement </w:t>
      </w:r>
      <w:r w:rsidR="000E3CFC" w:rsidRPr="002D76F4">
        <w:rPr>
          <w:rFonts w:eastAsia="MS Mincho"/>
          <w:szCs w:val="22"/>
        </w:rPr>
        <w:t>n</w:t>
      </w:r>
      <w:r w:rsidR="000E3CFC" w:rsidRPr="002D76F4">
        <w:rPr>
          <w:rFonts w:eastAsia="MS Mincho"/>
          <w:szCs w:val="22"/>
          <w:vertAlign w:val="superscript"/>
        </w:rPr>
        <w:t>o</w:t>
      </w:r>
      <w:r w:rsidR="000E3CFC">
        <w:t> </w:t>
      </w:r>
      <w:r w:rsidRPr="005915DD">
        <w:t xml:space="preserve">54, permettrait d’informer directement les autorités d’homologation de la pression de gonflage à utiliser pour les essais, dans le cadre d’une nouvelle homologation de type et des vérifications ultérieures concernant la conformité de la production. </w:t>
      </w:r>
    </w:p>
    <w:p w:rsidR="00F47A01" w:rsidRDefault="00CE11E9" w:rsidP="003D2316">
      <w:pPr>
        <w:pStyle w:val="SingleTxtG"/>
      </w:pPr>
      <w:r w:rsidRPr="005915DD">
        <w:t>5.</w:t>
      </w:r>
      <w:r w:rsidRPr="005915DD">
        <w:tab/>
        <w:t>En outre, de tels renseignements seraient aussi utiles en ce qu’ils permettraient aux utilisateurs de connaître la pression de gonflage de référence lorsque des pneumatiques de dimensions identiques sont disponibles avec différentes capacités de charge.</w:t>
      </w:r>
    </w:p>
    <w:p w:rsidR="00FC68D2" w:rsidRPr="00FC68D2" w:rsidRDefault="00FC68D2" w:rsidP="00FC68D2">
      <w:pPr>
        <w:pStyle w:val="SingleTxtG"/>
        <w:spacing w:before="240" w:after="0"/>
        <w:jc w:val="center"/>
        <w:rPr>
          <w:u w:val="single"/>
        </w:rPr>
      </w:pPr>
      <w:r>
        <w:rPr>
          <w:u w:val="single"/>
        </w:rPr>
        <w:tab/>
      </w:r>
      <w:r>
        <w:rPr>
          <w:u w:val="single"/>
        </w:rPr>
        <w:tab/>
      </w:r>
      <w:r>
        <w:rPr>
          <w:u w:val="single"/>
        </w:rPr>
        <w:tab/>
      </w:r>
    </w:p>
    <w:sectPr w:rsidR="00FC68D2" w:rsidRPr="00FC68D2" w:rsidSect="001715C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5C7" w:rsidRDefault="008E75C7" w:rsidP="00F95C08">
      <w:pPr>
        <w:spacing w:line="240" w:lineRule="auto"/>
      </w:pPr>
    </w:p>
  </w:endnote>
  <w:endnote w:type="continuationSeparator" w:id="0">
    <w:p w:rsidR="008E75C7" w:rsidRPr="00AC3823" w:rsidRDefault="008E75C7" w:rsidP="00AC3823">
      <w:pPr>
        <w:pStyle w:val="Footer"/>
      </w:pPr>
    </w:p>
  </w:endnote>
  <w:endnote w:type="continuationNotice" w:id="1">
    <w:p w:rsidR="008E75C7" w:rsidRDefault="008E75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CB" w:rsidRPr="001715CB" w:rsidRDefault="001715CB" w:rsidP="001715CB">
    <w:pPr>
      <w:pStyle w:val="Footer"/>
      <w:tabs>
        <w:tab w:val="right" w:pos="9638"/>
      </w:tabs>
    </w:pPr>
    <w:r w:rsidRPr="001715CB">
      <w:rPr>
        <w:b/>
        <w:sz w:val="18"/>
      </w:rPr>
      <w:fldChar w:fldCharType="begin"/>
    </w:r>
    <w:r w:rsidRPr="001715CB">
      <w:rPr>
        <w:b/>
        <w:sz w:val="18"/>
      </w:rPr>
      <w:instrText xml:space="preserve"> PAGE  \* MERGEFORMAT </w:instrText>
    </w:r>
    <w:r w:rsidRPr="001715CB">
      <w:rPr>
        <w:b/>
        <w:sz w:val="18"/>
      </w:rPr>
      <w:fldChar w:fldCharType="separate"/>
    </w:r>
    <w:r w:rsidR="00816EA1">
      <w:rPr>
        <w:b/>
        <w:noProof/>
        <w:sz w:val="18"/>
      </w:rPr>
      <w:t>2</w:t>
    </w:r>
    <w:r w:rsidRPr="001715CB">
      <w:rPr>
        <w:b/>
        <w:sz w:val="18"/>
      </w:rPr>
      <w:fldChar w:fldCharType="end"/>
    </w:r>
    <w:r>
      <w:rPr>
        <w:b/>
        <w:sz w:val="18"/>
      </w:rPr>
      <w:tab/>
    </w:r>
    <w:r>
      <w:t>GE.17-21541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CB" w:rsidRPr="001715CB" w:rsidRDefault="001715CB" w:rsidP="001715CB">
    <w:pPr>
      <w:pStyle w:val="Footer"/>
      <w:tabs>
        <w:tab w:val="right" w:pos="9638"/>
      </w:tabs>
      <w:rPr>
        <w:b/>
        <w:sz w:val="18"/>
      </w:rPr>
    </w:pPr>
    <w:r>
      <w:t>GE.17-21541</w:t>
    </w:r>
    <w:r>
      <w:tab/>
    </w:r>
    <w:r w:rsidRPr="001715CB">
      <w:rPr>
        <w:b/>
        <w:sz w:val="18"/>
      </w:rPr>
      <w:fldChar w:fldCharType="begin"/>
    </w:r>
    <w:r w:rsidRPr="001715CB">
      <w:rPr>
        <w:b/>
        <w:sz w:val="18"/>
      </w:rPr>
      <w:instrText xml:space="preserve"> PAGE  \* MERGEFORMAT </w:instrText>
    </w:r>
    <w:r w:rsidRPr="001715CB">
      <w:rPr>
        <w:b/>
        <w:sz w:val="18"/>
      </w:rPr>
      <w:fldChar w:fldCharType="separate"/>
    </w:r>
    <w:r w:rsidR="00816EA1">
      <w:rPr>
        <w:b/>
        <w:noProof/>
        <w:sz w:val="18"/>
      </w:rPr>
      <w:t>3</w:t>
    </w:r>
    <w:r w:rsidRPr="001715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1715CB" w:rsidRDefault="001715CB" w:rsidP="001715CB">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17-21541  (F)</w:t>
    </w:r>
    <w:r w:rsidR="008471B1">
      <w:rPr>
        <w:sz w:val="20"/>
      </w:rPr>
      <w:t xml:space="preserve">    221217    261217</w:t>
    </w:r>
    <w:r>
      <w:rPr>
        <w:sz w:val="20"/>
      </w:rPr>
      <w:br/>
    </w:r>
    <w:r w:rsidRPr="001715CB">
      <w:rPr>
        <w:rFonts w:ascii="C39T30Lfz" w:hAnsi="C39T30Lfz"/>
        <w:sz w:val="56"/>
      </w:rPr>
      <w:t></w:t>
    </w:r>
    <w:r w:rsidRPr="001715CB">
      <w:rPr>
        <w:rFonts w:ascii="C39T30Lfz" w:hAnsi="C39T30Lfz"/>
        <w:sz w:val="56"/>
      </w:rPr>
      <w:t></w:t>
    </w:r>
    <w:r w:rsidRPr="001715CB">
      <w:rPr>
        <w:rFonts w:ascii="C39T30Lfz" w:hAnsi="C39T30Lfz"/>
        <w:sz w:val="56"/>
      </w:rPr>
      <w:t></w:t>
    </w:r>
    <w:r w:rsidRPr="001715CB">
      <w:rPr>
        <w:rFonts w:ascii="C39T30Lfz" w:hAnsi="C39T30Lfz"/>
        <w:sz w:val="56"/>
      </w:rPr>
      <w:t></w:t>
    </w:r>
    <w:r w:rsidRPr="001715CB">
      <w:rPr>
        <w:rFonts w:ascii="C39T30Lfz" w:hAnsi="C39T30Lfz"/>
        <w:sz w:val="56"/>
      </w:rPr>
      <w:t></w:t>
    </w:r>
    <w:r w:rsidRPr="001715CB">
      <w:rPr>
        <w:rFonts w:ascii="C39T30Lfz" w:hAnsi="C39T30Lfz"/>
        <w:sz w:val="56"/>
      </w:rPr>
      <w:t></w:t>
    </w:r>
    <w:r w:rsidRPr="001715CB">
      <w:rPr>
        <w:rFonts w:ascii="C39T30Lfz" w:hAnsi="C39T30Lfz"/>
        <w:sz w:val="56"/>
      </w:rPr>
      <w:t></w:t>
    </w:r>
    <w:r w:rsidRPr="001715CB">
      <w:rPr>
        <w:rFonts w:ascii="C39T30Lfz" w:hAnsi="C39T30Lfz"/>
        <w:sz w:val="56"/>
      </w:rPr>
      <w:t></w:t>
    </w:r>
    <w:r w:rsidRPr="001715C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RF/2018/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8/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5C7" w:rsidRPr="00AC3823" w:rsidRDefault="008E75C7" w:rsidP="00AC3823">
      <w:pPr>
        <w:pStyle w:val="Footer"/>
        <w:tabs>
          <w:tab w:val="right" w:pos="2155"/>
        </w:tabs>
        <w:spacing w:after="80" w:line="240" w:lineRule="atLeast"/>
        <w:ind w:left="680"/>
        <w:rPr>
          <w:u w:val="single"/>
        </w:rPr>
      </w:pPr>
      <w:r>
        <w:rPr>
          <w:u w:val="single"/>
        </w:rPr>
        <w:tab/>
      </w:r>
    </w:p>
  </w:footnote>
  <w:footnote w:type="continuationSeparator" w:id="0">
    <w:p w:rsidR="008E75C7" w:rsidRPr="00AC3823" w:rsidRDefault="008E75C7" w:rsidP="00AC3823">
      <w:pPr>
        <w:pStyle w:val="Footer"/>
        <w:tabs>
          <w:tab w:val="right" w:pos="2155"/>
        </w:tabs>
        <w:spacing w:after="80" w:line="240" w:lineRule="atLeast"/>
        <w:ind w:left="680"/>
        <w:rPr>
          <w:u w:val="single"/>
        </w:rPr>
      </w:pPr>
      <w:r>
        <w:rPr>
          <w:u w:val="single"/>
        </w:rPr>
        <w:tab/>
      </w:r>
    </w:p>
  </w:footnote>
  <w:footnote w:type="continuationNotice" w:id="1">
    <w:p w:rsidR="008E75C7" w:rsidRPr="00AC3823" w:rsidRDefault="008E75C7">
      <w:pPr>
        <w:spacing w:line="240" w:lineRule="auto"/>
        <w:rPr>
          <w:sz w:val="2"/>
          <w:szCs w:val="2"/>
        </w:rPr>
      </w:pPr>
    </w:p>
  </w:footnote>
  <w:footnote w:id="2">
    <w:p w:rsidR="00F47A01" w:rsidRPr="003A3485" w:rsidRDefault="00F47A01" w:rsidP="00F47A01">
      <w:pPr>
        <w:pStyle w:val="FootnoteText"/>
      </w:pPr>
      <w:r>
        <w:tab/>
      </w:r>
      <w:r w:rsidRPr="003A3485">
        <w:rPr>
          <w:rStyle w:val="FootnoteReference"/>
          <w:sz w:val="20"/>
        </w:rPr>
        <w:t>*</w:t>
      </w:r>
      <w:r w:rsidRPr="003A3485">
        <w:rPr>
          <w:sz w:val="20"/>
        </w:rPr>
        <w:tab/>
      </w:r>
      <w:r w:rsidRPr="004E2BDD">
        <w:t>Conformément au programme de travail du Comité des transports intérieurs pour la période 2014</w:t>
      </w:r>
      <w:r w:rsidR="00B20481">
        <w:noBreakHyphen/>
      </w:r>
      <w:r>
        <w:t>2018 (ECE/TRANS/240, par. </w:t>
      </w:r>
      <w:r w:rsidRPr="004E2BDD">
        <w:t>105,</w:t>
      </w:r>
      <w:r w:rsidR="00903536">
        <w:t xml:space="preserve"> et ECE/TRANS/2014/26, activité </w:t>
      </w:r>
      <w:r w:rsidRPr="004E2BDD">
        <w:t>02.4), le Forum mondial a pour mission d’élaborer, d’harmoniser et de mettre à jour les Règlements en vue d’améliorer les caractéristiques fonctionnelles des véhicules. Le présent document est soumis en vertu de ce mandat</w:t>
      </w:r>
      <w:r w:rsidRPr="003A348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CB" w:rsidRPr="001715CB" w:rsidRDefault="00816EA1">
    <w:pPr>
      <w:pStyle w:val="Header"/>
    </w:pPr>
    <w:r>
      <w:fldChar w:fldCharType="begin"/>
    </w:r>
    <w:r>
      <w:instrText xml:space="preserve"> TITLE  \* MERGEFORMAT </w:instrText>
    </w:r>
    <w:r>
      <w:fldChar w:fldCharType="separate"/>
    </w:r>
    <w:r w:rsidR="00CE11E9">
      <w:t>ECE/TRANS/WP.29/GRRF/2018/7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CB" w:rsidRPr="001715CB" w:rsidRDefault="00816EA1" w:rsidP="001715CB">
    <w:pPr>
      <w:pStyle w:val="Header"/>
      <w:jc w:val="right"/>
    </w:pPr>
    <w:r>
      <w:fldChar w:fldCharType="begin"/>
    </w:r>
    <w:r>
      <w:instrText xml:space="preserve"> TITLE  \* MERGEFORMAT </w:instrText>
    </w:r>
    <w:r>
      <w:fldChar w:fldCharType="separate"/>
    </w:r>
    <w:r w:rsidR="00CE11E9">
      <w:t>ECE/TRANS/WP.29/GRRF/2018/7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C7"/>
    <w:rsid w:val="00017F94"/>
    <w:rsid w:val="00023842"/>
    <w:rsid w:val="000334F9"/>
    <w:rsid w:val="00045FEB"/>
    <w:rsid w:val="0007796D"/>
    <w:rsid w:val="000B7790"/>
    <w:rsid w:val="000E3CFC"/>
    <w:rsid w:val="00111F2F"/>
    <w:rsid w:val="001155D9"/>
    <w:rsid w:val="0014365E"/>
    <w:rsid w:val="00143C66"/>
    <w:rsid w:val="001715CB"/>
    <w:rsid w:val="00176178"/>
    <w:rsid w:val="001F525A"/>
    <w:rsid w:val="00223272"/>
    <w:rsid w:val="0024779E"/>
    <w:rsid w:val="00257168"/>
    <w:rsid w:val="002744B8"/>
    <w:rsid w:val="002832AC"/>
    <w:rsid w:val="002D7C93"/>
    <w:rsid w:val="00305801"/>
    <w:rsid w:val="003501FC"/>
    <w:rsid w:val="003916DE"/>
    <w:rsid w:val="003D2316"/>
    <w:rsid w:val="00441C3B"/>
    <w:rsid w:val="00446FE5"/>
    <w:rsid w:val="00452396"/>
    <w:rsid w:val="004837D8"/>
    <w:rsid w:val="004E468C"/>
    <w:rsid w:val="005505B7"/>
    <w:rsid w:val="00573BE5"/>
    <w:rsid w:val="00586ED3"/>
    <w:rsid w:val="005915DD"/>
    <w:rsid w:val="00596AA9"/>
    <w:rsid w:val="005A4190"/>
    <w:rsid w:val="005D63C7"/>
    <w:rsid w:val="005E589C"/>
    <w:rsid w:val="00600EE6"/>
    <w:rsid w:val="006625EE"/>
    <w:rsid w:val="006B6001"/>
    <w:rsid w:val="006C73D7"/>
    <w:rsid w:val="0071601D"/>
    <w:rsid w:val="007A62E6"/>
    <w:rsid w:val="007F20FA"/>
    <w:rsid w:val="0080684C"/>
    <w:rsid w:val="00816EA1"/>
    <w:rsid w:val="00835B20"/>
    <w:rsid w:val="008471B1"/>
    <w:rsid w:val="00871C75"/>
    <w:rsid w:val="008776DC"/>
    <w:rsid w:val="008E1CF8"/>
    <w:rsid w:val="008E75C7"/>
    <w:rsid w:val="008F27EC"/>
    <w:rsid w:val="00903536"/>
    <w:rsid w:val="009446C0"/>
    <w:rsid w:val="009640C4"/>
    <w:rsid w:val="009705C8"/>
    <w:rsid w:val="00982F67"/>
    <w:rsid w:val="009C1CF4"/>
    <w:rsid w:val="009F200B"/>
    <w:rsid w:val="009F6B74"/>
    <w:rsid w:val="00A30353"/>
    <w:rsid w:val="00A312EB"/>
    <w:rsid w:val="00A62A49"/>
    <w:rsid w:val="00AC3823"/>
    <w:rsid w:val="00AE323C"/>
    <w:rsid w:val="00AF0CB5"/>
    <w:rsid w:val="00AF2D72"/>
    <w:rsid w:val="00B00181"/>
    <w:rsid w:val="00B00B0D"/>
    <w:rsid w:val="00B16DF7"/>
    <w:rsid w:val="00B20481"/>
    <w:rsid w:val="00B765F7"/>
    <w:rsid w:val="00BA0CA9"/>
    <w:rsid w:val="00BB3146"/>
    <w:rsid w:val="00C02897"/>
    <w:rsid w:val="00C97039"/>
    <w:rsid w:val="00CE11E9"/>
    <w:rsid w:val="00D3439C"/>
    <w:rsid w:val="00DA155D"/>
    <w:rsid w:val="00DB1831"/>
    <w:rsid w:val="00DD3BFD"/>
    <w:rsid w:val="00DF6678"/>
    <w:rsid w:val="00E0299A"/>
    <w:rsid w:val="00E4088D"/>
    <w:rsid w:val="00E85C74"/>
    <w:rsid w:val="00EA6547"/>
    <w:rsid w:val="00EB1DA1"/>
    <w:rsid w:val="00EF2E22"/>
    <w:rsid w:val="00F127E1"/>
    <w:rsid w:val="00F35BAF"/>
    <w:rsid w:val="00F47A01"/>
    <w:rsid w:val="00F660DF"/>
    <w:rsid w:val="00F81AC4"/>
    <w:rsid w:val="00F94664"/>
    <w:rsid w:val="00F9573C"/>
    <w:rsid w:val="00F95C08"/>
    <w:rsid w:val="00FC68D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98825D-BA6E-4BFE-9EA7-B7B0E03B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4981</Characters>
  <Application>Microsoft Office Word</Application>
  <DocSecurity>4</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ECE/TRANS/WP.29/GRRF/2018/7</vt:lpstr>
      <vt:lpstr>ECE/TRANS/WP.29/GRRF/2018/7</vt:lpstr>
    </vt:vector>
  </TitlesOfParts>
  <Company>DCM</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ECE/TRANS/WP.29/GRRF/2018/7</dc:title>
  <dc:subject/>
  <dc:creator>DEVOS</dc:creator>
  <cp:keywords/>
  <cp:lastModifiedBy>Benedicte Boudol</cp:lastModifiedBy>
  <cp:revision>2</cp:revision>
  <cp:lastPrinted>2017-12-26T06:56:00Z</cp:lastPrinted>
  <dcterms:created xsi:type="dcterms:W3CDTF">2017-12-27T11:23:00Z</dcterms:created>
  <dcterms:modified xsi:type="dcterms:W3CDTF">2017-12-27T11:23:00Z</dcterms:modified>
</cp:coreProperties>
</file>