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F2A2A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F2A2A" w:rsidRDefault="002D5AAC" w:rsidP="00BF2A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F2A2A" w:rsidRDefault="00DF71B9" w:rsidP="00BF2A2A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BF2A2A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F2A2A" w:rsidRDefault="00097C9D" w:rsidP="00BF2A2A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BF2A2A">
              <w:rPr>
                <w:spacing w:val="0"/>
                <w:w w:val="100"/>
                <w:kern w:val="0"/>
                <w:sz w:val="40"/>
              </w:rPr>
              <w:t>ECE</w:t>
            </w:r>
            <w:r w:rsidRPr="00BF2A2A">
              <w:rPr>
                <w:spacing w:val="0"/>
                <w:w w:val="100"/>
                <w:kern w:val="0"/>
              </w:rPr>
              <w:t>/TRANS/WP.29/GRPE/2018/18</w:t>
            </w:r>
          </w:p>
        </w:tc>
      </w:tr>
      <w:tr w:rsidR="002D5AAC" w:rsidRPr="007E62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F2A2A" w:rsidRDefault="002E5067" w:rsidP="00BF2A2A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BF2A2A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F2A2A" w:rsidRDefault="008A37C8" w:rsidP="00BF2A2A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BF2A2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BF2A2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F2A2A" w:rsidRDefault="00097C9D" w:rsidP="00BF2A2A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BF2A2A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097C9D" w:rsidRPr="00BF2A2A" w:rsidRDefault="00097C9D" w:rsidP="00BF2A2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F2A2A">
              <w:rPr>
                <w:spacing w:val="0"/>
                <w:w w:val="100"/>
                <w:kern w:val="0"/>
                <w:lang w:val="en-US"/>
              </w:rPr>
              <w:t>26 March 2018</w:t>
            </w:r>
          </w:p>
          <w:p w:rsidR="00097C9D" w:rsidRPr="00BF2A2A" w:rsidRDefault="00097C9D" w:rsidP="00BF2A2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F2A2A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097C9D" w:rsidRPr="00BF2A2A" w:rsidRDefault="00097C9D" w:rsidP="00BF2A2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F2A2A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BF2A2A" w:rsidRDefault="008A37C8" w:rsidP="00BF2A2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BF2A2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097C9D" w:rsidRPr="00BF2A2A" w:rsidRDefault="00097C9D" w:rsidP="00BF2A2A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BF2A2A">
        <w:rPr>
          <w:spacing w:val="0"/>
          <w:w w:val="100"/>
          <w:kern w:val="0"/>
          <w:sz w:val="28"/>
          <w:szCs w:val="28"/>
        </w:rPr>
        <w:t xml:space="preserve">Комитет по внутреннему транспорту </w:t>
      </w:r>
    </w:p>
    <w:p w:rsidR="00097C9D" w:rsidRPr="00BF2A2A" w:rsidRDefault="00097C9D" w:rsidP="00BF2A2A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BF2A2A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BF2A2A">
        <w:rPr>
          <w:b/>
          <w:bCs/>
          <w:spacing w:val="0"/>
          <w:w w:val="100"/>
          <w:kern w:val="0"/>
          <w:sz w:val="24"/>
          <w:szCs w:val="24"/>
        </w:rPr>
        <w:br/>
        <w:t xml:space="preserve">в области транспортных средств </w:t>
      </w:r>
    </w:p>
    <w:p w:rsidR="00097C9D" w:rsidRPr="00BF2A2A" w:rsidRDefault="00097C9D" w:rsidP="00BF2A2A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BF2A2A">
        <w:rPr>
          <w:b/>
          <w:bCs/>
          <w:spacing w:val="0"/>
          <w:w w:val="100"/>
          <w:kern w:val="0"/>
        </w:rPr>
        <w:t xml:space="preserve">Рабочая группа по проблемам энергии и загрязнения </w:t>
      </w:r>
      <w:r w:rsidRPr="00BF2A2A">
        <w:rPr>
          <w:b/>
          <w:bCs/>
          <w:spacing w:val="0"/>
          <w:w w:val="100"/>
          <w:kern w:val="0"/>
        </w:rPr>
        <w:br/>
        <w:t xml:space="preserve">окружающей среды </w:t>
      </w:r>
    </w:p>
    <w:p w:rsidR="00097C9D" w:rsidRPr="00BF2A2A" w:rsidRDefault="00097C9D" w:rsidP="00BF2A2A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BF2A2A">
        <w:rPr>
          <w:b/>
          <w:bCs/>
          <w:spacing w:val="0"/>
          <w:w w:val="100"/>
          <w:kern w:val="0"/>
        </w:rPr>
        <w:t>Семьдесят седьмая сессия</w:t>
      </w:r>
    </w:p>
    <w:p w:rsidR="00097C9D" w:rsidRPr="00BF2A2A" w:rsidRDefault="00097C9D" w:rsidP="00BF2A2A">
      <w:pPr>
        <w:suppressAutoHyphens/>
        <w:spacing w:line="240" w:lineRule="auto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Женева, 6–8 июня 2018 года</w:t>
      </w:r>
    </w:p>
    <w:p w:rsidR="00097C9D" w:rsidRPr="00BF2A2A" w:rsidRDefault="00097C9D" w:rsidP="00BF2A2A">
      <w:pPr>
        <w:suppressAutoHyphens/>
        <w:spacing w:line="240" w:lineRule="auto"/>
        <w:rPr>
          <w:bCs/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Пункт 3 a) предварительной повестки дня</w:t>
      </w:r>
    </w:p>
    <w:p w:rsidR="00097C9D" w:rsidRPr="00BF2A2A" w:rsidRDefault="00097C9D" w:rsidP="00BF2A2A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BF2A2A">
        <w:rPr>
          <w:b/>
          <w:bCs/>
          <w:spacing w:val="0"/>
          <w:w w:val="100"/>
          <w:kern w:val="0"/>
        </w:rPr>
        <w:t xml:space="preserve">Легкие транспортные средства: Правила № 68 </w:t>
      </w:r>
      <w:r w:rsidRPr="00BF2A2A">
        <w:rPr>
          <w:b/>
          <w:bCs/>
          <w:spacing w:val="0"/>
          <w:w w:val="100"/>
          <w:kern w:val="0"/>
        </w:rPr>
        <w:br/>
        <w:t xml:space="preserve">(измерение максимальной скорости, включая </w:t>
      </w:r>
      <w:r w:rsidRPr="00BF2A2A">
        <w:rPr>
          <w:b/>
          <w:bCs/>
          <w:spacing w:val="0"/>
          <w:w w:val="100"/>
          <w:kern w:val="0"/>
        </w:rPr>
        <w:br/>
        <w:t xml:space="preserve">электромобили), 83 (выбросы загрязняющих </w:t>
      </w:r>
      <w:r w:rsidRPr="00BF2A2A">
        <w:rPr>
          <w:b/>
          <w:bCs/>
          <w:spacing w:val="0"/>
          <w:w w:val="100"/>
          <w:kern w:val="0"/>
        </w:rPr>
        <w:br/>
        <w:t>веществ транспортными средствами категорий M</w:t>
      </w:r>
      <w:r w:rsidRPr="00BF2A2A">
        <w:rPr>
          <w:b/>
          <w:bCs/>
          <w:spacing w:val="0"/>
          <w:w w:val="100"/>
          <w:kern w:val="0"/>
          <w:vertAlign w:val="subscript"/>
        </w:rPr>
        <w:t>1</w:t>
      </w:r>
      <w:r w:rsidRPr="00BF2A2A">
        <w:rPr>
          <w:b/>
          <w:bCs/>
          <w:spacing w:val="0"/>
          <w:w w:val="100"/>
          <w:kern w:val="0"/>
        </w:rPr>
        <w:t xml:space="preserve"> и N</w:t>
      </w:r>
      <w:r w:rsidRPr="00BF2A2A">
        <w:rPr>
          <w:b/>
          <w:bCs/>
          <w:spacing w:val="0"/>
          <w:w w:val="100"/>
          <w:kern w:val="0"/>
          <w:vertAlign w:val="subscript"/>
        </w:rPr>
        <w:t>1</w:t>
      </w:r>
      <w:r w:rsidRPr="00BF2A2A">
        <w:rPr>
          <w:b/>
          <w:bCs/>
          <w:spacing w:val="0"/>
          <w:w w:val="100"/>
          <w:kern w:val="0"/>
        </w:rPr>
        <w:t xml:space="preserve">), </w:t>
      </w:r>
      <w:r w:rsidR="00DE1B01">
        <w:rPr>
          <w:b/>
          <w:bCs/>
          <w:spacing w:val="0"/>
          <w:w w:val="100"/>
          <w:kern w:val="0"/>
        </w:rPr>
        <w:br/>
      </w:r>
      <w:r w:rsidRPr="00BF2A2A">
        <w:rPr>
          <w:b/>
          <w:bCs/>
          <w:spacing w:val="0"/>
          <w:w w:val="100"/>
          <w:kern w:val="0"/>
        </w:rPr>
        <w:t>101 (выбросы СО</w:t>
      </w:r>
      <w:r w:rsidRPr="00BF2A2A">
        <w:rPr>
          <w:b/>
          <w:bCs/>
          <w:spacing w:val="0"/>
          <w:w w:val="100"/>
          <w:kern w:val="0"/>
          <w:vertAlign w:val="subscript"/>
        </w:rPr>
        <w:t>2</w:t>
      </w:r>
      <w:r w:rsidRPr="00BF2A2A">
        <w:rPr>
          <w:b/>
          <w:bCs/>
          <w:spacing w:val="0"/>
          <w:w w:val="100"/>
          <w:kern w:val="0"/>
        </w:rPr>
        <w:t xml:space="preserve">/расход топлива) </w:t>
      </w:r>
      <w:r w:rsidRPr="00BF2A2A">
        <w:rPr>
          <w:b/>
          <w:bCs/>
          <w:spacing w:val="0"/>
          <w:w w:val="100"/>
          <w:kern w:val="0"/>
        </w:rPr>
        <w:br/>
        <w:t xml:space="preserve">и 103 (сменные устройства для </w:t>
      </w:r>
      <w:r w:rsidR="00DE1B01">
        <w:rPr>
          <w:b/>
          <w:bCs/>
          <w:spacing w:val="0"/>
          <w:w w:val="100"/>
          <w:kern w:val="0"/>
        </w:rPr>
        <w:br/>
      </w:r>
      <w:r w:rsidRPr="00BF2A2A">
        <w:rPr>
          <w:b/>
          <w:bCs/>
          <w:spacing w:val="0"/>
          <w:w w:val="100"/>
          <w:kern w:val="0"/>
        </w:rPr>
        <w:t>предотвращения загрязнения)</w:t>
      </w:r>
    </w:p>
    <w:p w:rsidR="00097C9D" w:rsidRPr="00BF2A2A" w:rsidRDefault="00097C9D" w:rsidP="00BF2A2A">
      <w:pPr>
        <w:pStyle w:val="HChGR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ab/>
      </w:r>
      <w:r w:rsidRPr="00BF2A2A">
        <w:rPr>
          <w:spacing w:val="0"/>
          <w:w w:val="100"/>
          <w:kern w:val="0"/>
        </w:rPr>
        <w:tab/>
        <w:t>Предложение по новому дополнению к поправкам серий</w:t>
      </w:r>
      <w:r w:rsidR="0050387A">
        <w:rPr>
          <w:spacing w:val="0"/>
          <w:w w:val="100"/>
          <w:kern w:val="0"/>
          <w:lang w:val="en-US"/>
        </w:rPr>
        <w:t> </w:t>
      </w:r>
      <w:r w:rsidRPr="00BF2A2A">
        <w:rPr>
          <w:spacing w:val="0"/>
          <w:w w:val="100"/>
          <w:kern w:val="0"/>
        </w:rPr>
        <w:t xml:space="preserve">03, 04, 05, 06 и 07 к Правилам № 83 ООН </w:t>
      </w:r>
      <w:r w:rsidR="0050387A">
        <w:rPr>
          <w:spacing w:val="0"/>
          <w:w w:val="100"/>
          <w:kern w:val="0"/>
        </w:rPr>
        <w:br/>
      </w:r>
      <w:r w:rsidRPr="00BF2A2A">
        <w:rPr>
          <w:spacing w:val="0"/>
          <w:w w:val="100"/>
          <w:kern w:val="0"/>
        </w:rPr>
        <w:t>(выбросы загрязняющих веществ транспортными средствами M</w:t>
      </w:r>
      <w:r w:rsidRPr="00BF2A2A">
        <w:rPr>
          <w:spacing w:val="0"/>
          <w:w w:val="100"/>
          <w:kern w:val="0"/>
          <w:vertAlign w:val="subscript"/>
        </w:rPr>
        <w:t>1</w:t>
      </w:r>
      <w:r w:rsidRPr="00BF2A2A">
        <w:rPr>
          <w:spacing w:val="0"/>
          <w:w w:val="100"/>
          <w:kern w:val="0"/>
        </w:rPr>
        <w:t xml:space="preserve"> и</w:t>
      </w:r>
      <w:r w:rsidR="00DE1B01">
        <w:rPr>
          <w:spacing w:val="0"/>
          <w:w w:val="100"/>
          <w:kern w:val="0"/>
          <w:lang w:val="en-US"/>
        </w:rPr>
        <w:t> </w:t>
      </w:r>
      <w:r w:rsidRPr="00BF2A2A">
        <w:rPr>
          <w:spacing w:val="0"/>
          <w:w w:val="100"/>
          <w:kern w:val="0"/>
        </w:rPr>
        <w:t>N</w:t>
      </w:r>
      <w:r w:rsidRPr="00BF2A2A">
        <w:rPr>
          <w:spacing w:val="0"/>
          <w:w w:val="100"/>
          <w:kern w:val="0"/>
          <w:vertAlign w:val="subscript"/>
        </w:rPr>
        <w:t>1</w:t>
      </w:r>
      <w:r w:rsidRPr="00BF2A2A">
        <w:rPr>
          <w:spacing w:val="0"/>
          <w:w w:val="100"/>
          <w:kern w:val="0"/>
        </w:rPr>
        <w:t>)</w:t>
      </w:r>
    </w:p>
    <w:p w:rsidR="00097C9D" w:rsidRPr="00BF2A2A" w:rsidRDefault="00097C9D" w:rsidP="00BF2A2A">
      <w:pPr>
        <w:pStyle w:val="H1GR"/>
        <w:rPr>
          <w:spacing w:val="0"/>
          <w:w w:val="100"/>
          <w:kern w:val="0"/>
          <w:lang w:val="x-none"/>
        </w:rPr>
      </w:pPr>
      <w:r w:rsidRPr="00BF2A2A">
        <w:rPr>
          <w:spacing w:val="0"/>
          <w:w w:val="100"/>
          <w:kern w:val="0"/>
        </w:rPr>
        <w:tab/>
      </w:r>
      <w:r w:rsidRPr="00BF2A2A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DE1B01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097C9D" w:rsidRPr="00BF2A2A" w:rsidRDefault="00DE1B01" w:rsidP="00BF2A2A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097C9D" w:rsidRPr="00BF2A2A">
        <w:rPr>
          <w:spacing w:val="0"/>
          <w:w w:val="100"/>
          <w:kern w:val="0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 в целях изменения требований, касающихся времени реагирования температурного датчика системы отбора проб при постоянном объеме. Изменения к действующему тексту Правил выделены жирным шрифтом в случае новых положений и зачеркиванием в случае исключенных элементов.</w:t>
      </w:r>
    </w:p>
    <w:p w:rsidR="00097C9D" w:rsidRPr="00BF2A2A" w:rsidRDefault="00097C9D" w:rsidP="00BF2A2A">
      <w:pPr>
        <w:pStyle w:val="HChGR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lastRenderedPageBreak/>
        <w:tab/>
        <w:t>I.</w:t>
      </w:r>
      <w:r w:rsidRPr="00BF2A2A">
        <w:rPr>
          <w:spacing w:val="0"/>
          <w:w w:val="100"/>
          <w:kern w:val="0"/>
        </w:rPr>
        <w:tab/>
      </w:r>
      <w:r w:rsidRPr="00BF2A2A">
        <w:rPr>
          <w:spacing w:val="0"/>
          <w:w w:val="100"/>
          <w:kern w:val="0"/>
        </w:rPr>
        <w:tab/>
        <w:t>Предложения</w:t>
      </w:r>
    </w:p>
    <w:p w:rsidR="00097C9D" w:rsidRPr="00BF2A2A" w:rsidRDefault="00097C9D" w:rsidP="00BF2A2A">
      <w:pPr>
        <w:pStyle w:val="H1GR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ab/>
        <w:t>A.</w:t>
      </w:r>
      <w:r w:rsidRPr="00BF2A2A">
        <w:rPr>
          <w:spacing w:val="0"/>
          <w:w w:val="100"/>
          <w:kern w:val="0"/>
        </w:rPr>
        <w:tab/>
      </w:r>
      <w:r w:rsidRPr="00BF2A2A">
        <w:rPr>
          <w:spacing w:val="0"/>
          <w:w w:val="100"/>
          <w:kern w:val="0"/>
        </w:rPr>
        <w:tab/>
        <w:t>Новое дополнение к поправкам серий 03, 04 и 05</w:t>
      </w:r>
    </w:p>
    <w:p w:rsidR="00097C9D" w:rsidRPr="00BF2A2A" w:rsidRDefault="00097C9D" w:rsidP="00BF2A2A">
      <w:pPr>
        <w:pStyle w:val="SingleTxtGR"/>
        <w:suppressAutoHyphens/>
        <w:rPr>
          <w:i/>
          <w:spacing w:val="0"/>
          <w:w w:val="100"/>
          <w:kern w:val="0"/>
        </w:rPr>
      </w:pPr>
      <w:r w:rsidRPr="00BF2A2A">
        <w:rPr>
          <w:i/>
          <w:iCs/>
          <w:spacing w:val="0"/>
          <w:w w:val="100"/>
          <w:kern w:val="0"/>
        </w:rPr>
        <w:t>Добавление 5 к приложению 4, пункт 2.3.3.2</w:t>
      </w:r>
      <w:r w:rsidR="0050387A" w:rsidRPr="0050387A">
        <w:rPr>
          <w:iCs/>
          <w:spacing w:val="0"/>
          <w:w w:val="100"/>
          <w:kern w:val="0"/>
        </w:rPr>
        <w:t>,</w:t>
      </w:r>
      <w:r w:rsidRPr="00BF2A2A">
        <w:rPr>
          <w:spacing w:val="0"/>
          <w:w w:val="100"/>
          <w:kern w:val="0"/>
        </w:rPr>
        <w:t xml:space="preserve"> изменить следующим образом:</w:t>
      </w:r>
    </w:p>
    <w:p w:rsidR="00097C9D" w:rsidRPr="00BF2A2A" w:rsidRDefault="0050387A" w:rsidP="00BF2A2A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097C9D" w:rsidRPr="00BF2A2A">
        <w:rPr>
          <w:spacing w:val="0"/>
          <w:w w:val="100"/>
          <w:kern w:val="0"/>
        </w:rPr>
        <w:t xml:space="preserve">2.3.3.2 </w:t>
      </w:r>
      <w:r w:rsidR="00097C9D" w:rsidRPr="00BF2A2A">
        <w:rPr>
          <w:spacing w:val="0"/>
          <w:w w:val="100"/>
          <w:kern w:val="0"/>
        </w:rPr>
        <w:tab/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="00097C9D" w:rsidRPr="0050387A">
        <w:rPr>
          <w:strike/>
          <w:spacing w:val="0"/>
          <w:w w:val="100"/>
          <w:kern w:val="0"/>
        </w:rPr>
        <w:t>− 0,1</w:t>
      </w:r>
      <w:r w:rsidR="00097C9D" w:rsidRPr="00BF2A2A">
        <w:rPr>
          <w:spacing w:val="0"/>
          <w:w w:val="100"/>
          <w:kern w:val="0"/>
        </w:rPr>
        <w:t xml:space="preserve"> </w:t>
      </w:r>
      <w:r w:rsidR="00097C9D" w:rsidRPr="00BF2A2A">
        <w:rPr>
          <w:b/>
          <w:bCs/>
          <w:spacing w:val="0"/>
          <w:w w:val="100"/>
          <w:kern w:val="0"/>
        </w:rPr>
        <w:t>менее 1,0</w:t>
      </w:r>
      <w:r w:rsidR="00097C9D" w:rsidRPr="00BF2A2A">
        <w:rPr>
          <w:spacing w:val="0"/>
          <w:w w:val="100"/>
          <w:kern w:val="0"/>
        </w:rPr>
        <w:t xml:space="preserve"> секунды при изменении указанной температуры на 62% (величина, измеряемая в силиконовом масле)</w:t>
      </w:r>
      <w:r>
        <w:rPr>
          <w:spacing w:val="0"/>
          <w:w w:val="100"/>
          <w:kern w:val="0"/>
        </w:rPr>
        <w:t>»</w:t>
      </w:r>
      <w:r w:rsidR="00097C9D" w:rsidRPr="00BF2A2A">
        <w:rPr>
          <w:spacing w:val="0"/>
          <w:w w:val="100"/>
          <w:kern w:val="0"/>
        </w:rPr>
        <w:t>.</w:t>
      </w:r>
    </w:p>
    <w:p w:rsidR="00097C9D" w:rsidRPr="00BF2A2A" w:rsidRDefault="00097C9D" w:rsidP="00BF2A2A">
      <w:pPr>
        <w:pStyle w:val="H1GR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ab/>
        <w:t>B.</w:t>
      </w:r>
      <w:r w:rsidRPr="00BF2A2A">
        <w:rPr>
          <w:spacing w:val="0"/>
          <w:w w:val="100"/>
          <w:kern w:val="0"/>
        </w:rPr>
        <w:tab/>
        <w:t>Новое дополнение к поправкам серий 06 и 07</w:t>
      </w:r>
    </w:p>
    <w:p w:rsidR="00097C9D" w:rsidRPr="00BF2A2A" w:rsidRDefault="00097C9D" w:rsidP="00BF2A2A">
      <w:pPr>
        <w:pStyle w:val="SingleTxtGR"/>
        <w:suppressAutoHyphens/>
        <w:rPr>
          <w:i/>
          <w:spacing w:val="0"/>
          <w:w w:val="100"/>
          <w:kern w:val="0"/>
        </w:rPr>
      </w:pPr>
      <w:r w:rsidRPr="00BF2A2A">
        <w:rPr>
          <w:i/>
          <w:iCs/>
          <w:spacing w:val="0"/>
          <w:w w:val="100"/>
          <w:kern w:val="0"/>
        </w:rPr>
        <w:t>Добавление 2 к приложению 4A, пункт 1.3.5</w:t>
      </w:r>
      <w:r w:rsidR="0050387A">
        <w:rPr>
          <w:iCs/>
          <w:spacing w:val="0"/>
          <w:w w:val="100"/>
          <w:kern w:val="0"/>
        </w:rPr>
        <w:t>,</w:t>
      </w:r>
      <w:r w:rsidRPr="00BF2A2A">
        <w:rPr>
          <w:spacing w:val="0"/>
          <w:w w:val="100"/>
          <w:kern w:val="0"/>
        </w:rPr>
        <w:t xml:space="preserve"> изменить следующим образом:</w:t>
      </w:r>
    </w:p>
    <w:p w:rsidR="00097C9D" w:rsidRPr="00BF2A2A" w:rsidRDefault="0050387A" w:rsidP="00BF2A2A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097C9D" w:rsidRPr="00BF2A2A">
        <w:rPr>
          <w:spacing w:val="0"/>
          <w:w w:val="100"/>
          <w:kern w:val="0"/>
        </w:rPr>
        <w:t xml:space="preserve">1.3.5 </w:t>
      </w:r>
      <w:r w:rsidR="00097C9D" w:rsidRPr="00BF2A2A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="00097C9D" w:rsidRPr="00BF2A2A">
        <w:rPr>
          <w:spacing w:val="0"/>
          <w:w w:val="100"/>
          <w:kern w:val="0"/>
        </w:rPr>
        <w:t>Измерение объема в системе первичного разбавления</w:t>
      </w:r>
    </w:p>
    <w:p w:rsidR="00097C9D" w:rsidRPr="00BF2A2A" w:rsidRDefault="00097C9D" w:rsidP="00BF2A2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Метод измерения общего объема разбавленных отработавших газов, поступающих в отборник проб постоянного объема, должен обеспечивать точность измерения в ±2% во всех режимах работы.</w:t>
      </w:r>
      <w:r w:rsidR="0050387A">
        <w:rPr>
          <w:spacing w:val="0"/>
          <w:w w:val="100"/>
          <w:kern w:val="0"/>
        </w:rPr>
        <w:t xml:space="preserve"> Если</w:t>
      </w:r>
      <w:r w:rsidRPr="00BF2A2A">
        <w:rPr>
          <w:spacing w:val="0"/>
          <w:w w:val="100"/>
          <w:kern w:val="0"/>
        </w:rPr>
        <w:t xml:space="preserve"> устройство не позволяет компенсировать изменения температуры смеси отработавших газов и разбавляющего воздуха в момент измерения, то используют теплообменник для поддержания температуры </w:t>
      </w:r>
      <w:r w:rsidR="00CF4D0C">
        <w:rPr>
          <w:spacing w:val="0"/>
          <w:w w:val="100"/>
          <w:kern w:val="0"/>
        </w:rPr>
        <w:t>в пределах ±6 </w:t>
      </w:r>
      <w:r w:rsidRPr="00BF2A2A">
        <w:rPr>
          <w:spacing w:val="0"/>
          <w:w w:val="100"/>
          <w:kern w:val="0"/>
        </w:rPr>
        <w:t>К от предусмотренной рабочей температуры.</w:t>
      </w:r>
    </w:p>
    <w:p w:rsidR="00097C9D" w:rsidRPr="00BF2A2A" w:rsidRDefault="00097C9D" w:rsidP="00BF2A2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При необходимости допускается использование определенных средств защиты устройства для измерения объема, например сепаратора циклонного типа, фильтра основного потока и т.</w:t>
      </w:r>
      <w:r w:rsidR="00CF4D0C">
        <w:rPr>
          <w:spacing w:val="0"/>
          <w:w w:val="100"/>
          <w:kern w:val="0"/>
          <w:lang w:val="en-US"/>
        </w:rPr>
        <w:t> </w:t>
      </w:r>
      <w:r w:rsidRPr="00BF2A2A">
        <w:rPr>
          <w:spacing w:val="0"/>
          <w:w w:val="100"/>
          <w:kern w:val="0"/>
        </w:rPr>
        <w:t>п.</w:t>
      </w:r>
    </w:p>
    <w:p w:rsidR="00097C9D" w:rsidRPr="00BF2A2A" w:rsidRDefault="00097C9D" w:rsidP="00BF2A2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Pr="0050387A">
        <w:rPr>
          <w:strike/>
          <w:spacing w:val="0"/>
          <w:w w:val="100"/>
          <w:kern w:val="0"/>
        </w:rPr>
        <w:t>− 0,1</w:t>
      </w:r>
      <w:r w:rsidRPr="00BF2A2A">
        <w:rPr>
          <w:spacing w:val="0"/>
          <w:w w:val="100"/>
          <w:kern w:val="0"/>
        </w:rPr>
        <w:t xml:space="preserve"> </w:t>
      </w:r>
      <w:r w:rsidRPr="00BF2A2A">
        <w:rPr>
          <w:b/>
          <w:bCs/>
          <w:spacing w:val="0"/>
          <w:w w:val="100"/>
          <w:kern w:val="0"/>
        </w:rPr>
        <w:t>менее 1,0</w:t>
      </w:r>
      <w:r w:rsidRPr="00BF2A2A">
        <w:rPr>
          <w:spacing w:val="0"/>
          <w:w w:val="100"/>
          <w:kern w:val="0"/>
        </w:rPr>
        <w:t xml:space="preserve"> секунды при изменении указанной температуры на 62% (величина, измеряемая в силиконовом масле).</w:t>
      </w:r>
    </w:p>
    <w:p w:rsidR="00097C9D" w:rsidRPr="00BF2A2A" w:rsidRDefault="00097C9D" w:rsidP="00BF2A2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Измерение перепада давления в системе по сравнению с атмосферным давлением проводят перед и, если это необходимо, за устройством для измерения объема.</w:t>
      </w:r>
    </w:p>
    <w:p w:rsidR="00097C9D" w:rsidRPr="00BF2A2A" w:rsidRDefault="00097C9D" w:rsidP="00BF2A2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В ходе испытания точность и погрешность измерений давления должна составлять ±0,4 кПа</w:t>
      </w:r>
      <w:r w:rsidR="00CF4D0C" w:rsidRPr="00CF4D0C">
        <w:rPr>
          <w:spacing w:val="0"/>
          <w:w w:val="100"/>
          <w:kern w:val="0"/>
        </w:rPr>
        <w:t>»</w:t>
      </w:r>
      <w:r w:rsidRPr="00BF2A2A">
        <w:rPr>
          <w:spacing w:val="0"/>
          <w:w w:val="100"/>
          <w:kern w:val="0"/>
        </w:rPr>
        <w:t>.</w:t>
      </w:r>
    </w:p>
    <w:p w:rsidR="00097C9D" w:rsidRPr="00BF2A2A" w:rsidRDefault="00097C9D" w:rsidP="00BF2A2A">
      <w:pPr>
        <w:pStyle w:val="HChGR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ab/>
        <w:t>II.</w:t>
      </w:r>
      <w:r w:rsidRPr="00BF2A2A">
        <w:rPr>
          <w:spacing w:val="0"/>
          <w:w w:val="100"/>
          <w:kern w:val="0"/>
        </w:rPr>
        <w:tab/>
        <w:t>Обоснование</w:t>
      </w:r>
    </w:p>
    <w:p w:rsidR="00097C9D" w:rsidRPr="00BF2A2A" w:rsidRDefault="00097C9D" w:rsidP="00BF2A2A">
      <w:pPr>
        <w:pStyle w:val="SingleTxtGR"/>
        <w:suppressAutoHyphens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1.</w:t>
      </w:r>
      <w:r w:rsidRPr="00BF2A2A">
        <w:rPr>
          <w:spacing w:val="0"/>
          <w:w w:val="100"/>
          <w:kern w:val="0"/>
        </w:rPr>
        <w:tab/>
        <w:t>Предусмотренное в существующем тексте время реагирования в 0,1 секунды при изменении температуры на 62% и измерении в силиконовом масле выходит за</w:t>
      </w:r>
      <w:r w:rsidR="0050387A">
        <w:rPr>
          <w:spacing w:val="0"/>
          <w:w w:val="100"/>
          <w:kern w:val="0"/>
        </w:rPr>
        <w:t> </w:t>
      </w:r>
      <w:r w:rsidRPr="00BF2A2A">
        <w:rPr>
          <w:spacing w:val="0"/>
          <w:w w:val="100"/>
          <w:kern w:val="0"/>
        </w:rPr>
        <w:t>рамки возможностей наиболее доступных датчиков температуры. Использование же датчиков, способных обеспечить такое время реагирования, т</w:t>
      </w:r>
      <w:r w:rsidR="0050387A">
        <w:rPr>
          <w:spacing w:val="0"/>
          <w:w w:val="100"/>
          <w:kern w:val="0"/>
        </w:rPr>
        <w:t>. е.</w:t>
      </w:r>
      <w:r w:rsidRPr="00BF2A2A">
        <w:rPr>
          <w:spacing w:val="0"/>
          <w:w w:val="100"/>
          <w:kern w:val="0"/>
        </w:rPr>
        <w:t xml:space="preserve"> термопар с</w:t>
      </w:r>
      <w:r w:rsidR="0050387A">
        <w:rPr>
          <w:spacing w:val="0"/>
          <w:w w:val="100"/>
          <w:kern w:val="0"/>
        </w:rPr>
        <w:t> </w:t>
      </w:r>
      <w:r w:rsidRPr="00BF2A2A">
        <w:rPr>
          <w:spacing w:val="0"/>
          <w:w w:val="100"/>
          <w:kern w:val="0"/>
        </w:rPr>
        <w:t>неизолированным спаем, влечет за собой ряд обусловленных их конструкцией недостатков, а именно б</w:t>
      </w:r>
      <w:r w:rsidR="0050387A" w:rsidRPr="0050387A">
        <w:rPr>
          <w:bCs/>
          <w:iCs/>
          <w:spacing w:val="0"/>
          <w:w w:val="100"/>
          <w:kern w:val="0"/>
        </w:rPr>
        <w:t>о</w:t>
      </w:r>
      <w:r w:rsidR="0050387A">
        <w:rPr>
          <w:bCs/>
          <w:iCs/>
          <w:spacing w:val="0"/>
          <w:w w:val="100"/>
          <w:kern w:val="0"/>
        </w:rPr>
        <w:t>́</w:t>
      </w:r>
      <w:r w:rsidRPr="00BF2A2A">
        <w:rPr>
          <w:spacing w:val="0"/>
          <w:w w:val="100"/>
          <w:kern w:val="0"/>
        </w:rPr>
        <w:t>льшие трудности с настройкой точности калибровки, б</w:t>
      </w:r>
      <w:r w:rsidRPr="0050387A">
        <w:rPr>
          <w:bCs/>
          <w:iCs/>
          <w:spacing w:val="0"/>
          <w:w w:val="100"/>
          <w:kern w:val="0"/>
        </w:rPr>
        <w:t>о</w:t>
      </w:r>
      <w:r w:rsidR="0050387A">
        <w:rPr>
          <w:bCs/>
          <w:iCs/>
          <w:spacing w:val="0"/>
          <w:w w:val="100"/>
          <w:kern w:val="0"/>
        </w:rPr>
        <w:t>́</w:t>
      </w:r>
      <w:r w:rsidRPr="00BF2A2A">
        <w:rPr>
          <w:spacing w:val="0"/>
          <w:w w:val="100"/>
          <w:kern w:val="0"/>
        </w:rPr>
        <w:t>льшую чувствительность к электромагнитным помехам и меньшую устойчивость к</w:t>
      </w:r>
      <w:r w:rsidR="0050387A">
        <w:rPr>
          <w:spacing w:val="0"/>
          <w:w w:val="100"/>
          <w:kern w:val="0"/>
        </w:rPr>
        <w:t> </w:t>
      </w:r>
      <w:r w:rsidRPr="00BF2A2A">
        <w:rPr>
          <w:spacing w:val="0"/>
          <w:w w:val="100"/>
          <w:kern w:val="0"/>
        </w:rPr>
        <w:t xml:space="preserve">воздействию влаги и химических компонентов разбавленных отработавших газов.  </w:t>
      </w:r>
    </w:p>
    <w:p w:rsidR="00097C9D" w:rsidRDefault="00097C9D" w:rsidP="00BF2A2A">
      <w:pPr>
        <w:pStyle w:val="SingleTxtGR"/>
        <w:suppressAutoHyphens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2.</w:t>
      </w:r>
      <w:r w:rsidRPr="00BF2A2A">
        <w:rPr>
          <w:spacing w:val="0"/>
          <w:w w:val="100"/>
          <w:kern w:val="0"/>
        </w:rPr>
        <w:tab/>
        <w:t>Поскольку точность измерения общего объема разбавленных отработавших газов ограничена ±2% во всех режимах работы, можно считать, что требование в отношении времени реагирования датчика температуры служит излишним допол</w:t>
      </w:r>
      <w:r w:rsidR="000941D5">
        <w:rPr>
          <w:spacing w:val="0"/>
          <w:w w:val="100"/>
          <w:kern w:val="0"/>
        </w:rPr>
        <w:t>нительным ограничением, которое</w:t>
      </w:r>
      <w:r w:rsidRPr="00BF2A2A">
        <w:rPr>
          <w:spacing w:val="0"/>
          <w:w w:val="100"/>
          <w:kern w:val="0"/>
        </w:rPr>
        <w:t xml:space="preserve"> в обычных усло</w:t>
      </w:r>
      <w:r w:rsidR="000941D5">
        <w:rPr>
          <w:spacing w:val="0"/>
          <w:w w:val="100"/>
          <w:kern w:val="0"/>
        </w:rPr>
        <w:t>виях</w:t>
      </w:r>
      <w:r w:rsidRPr="00BF2A2A">
        <w:rPr>
          <w:spacing w:val="0"/>
          <w:w w:val="100"/>
          <w:kern w:val="0"/>
        </w:rPr>
        <w:t xml:space="preserve"> оказывает лишь незначительное воздействие на точность измерения расхода</w:t>
      </w:r>
      <w:r w:rsidR="000941D5">
        <w:rPr>
          <w:spacing w:val="0"/>
          <w:w w:val="100"/>
          <w:kern w:val="0"/>
        </w:rPr>
        <w:t xml:space="preserve">. </w:t>
      </w:r>
      <w:r w:rsidRPr="00BF2A2A">
        <w:rPr>
          <w:spacing w:val="0"/>
          <w:w w:val="100"/>
          <w:kern w:val="0"/>
        </w:rPr>
        <w:t xml:space="preserve">В случае системы CVS с использованием трубки Вентури с критическим расходом расход (Q) зависит от </w:t>
      </w:r>
      <w:r w:rsidRPr="00BF2A2A">
        <w:rPr>
          <w:spacing w:val="0"/>
          <w:w w:val="100"/>
          <w:kern w:val="0"/>
        </w:rPr>
        <w:lastRenderedPageBreak/>
        <w:t>давления на входе (P) и температуры на входе (T), а также от калибровочной постоянной (Kv):</w:t>
      </w:r>
    </w:p>
    <w:p w:rsidR="00DE1B01" w:rsidRPr="003B4777" w:rsidRDefault="00DE1B01" w:rsidP="00DE1B01">
      <w:pPr>
        <w:spacing w:after="120"/>
        <w:ind w:left="2256" w:right="1134" w:hanging="567"/>
        <w:jc w:val="center"/>
      </w:pPr>
      <m:oMathPara>
        <m:oMath>
          <m:r>
            <w:rPr>
              <w:rFonts w:ascii="Cambria Math" w:eastAsia="Calibri" w:hAnsi="Cambria Math"/>
              <w:sz w:val="22"/>
            </w:rPr>
            <m:t xml:space="preserve">Q= </m:t>
          </m:r>
          <m:sSub>
            <m:sSubPr>
              <m:ctrlPr>
                <w:rPr>
                  <w:rFonts w:ascii="Cambria Math" w:eastAsia="Calibri" w:hAnsi="Cambria Math"/>
                  <w:i/>
                  <w:sz w:val="22"/>
                </w:rPr>
              </m:ctrlPr>
            </m:sSubPr>
            <m:e>
              <m:r>
                <w:rPr>
                  <w:rFonts w:ascii="Cambria Math" w:eastAsia="Calibri" w:hAnsi="Cambria Math"/>
                  <w:sz w:val="22"/>
                </w:rPr>
                <m:t>K</m:t>
              </m:r>
            </m:e>
            <m:sub>
              <m:r>
                <w:rPr>
                  <w:rFonts w:ascii="Cambria Math" w:eastAsia="Calibri" w:hAnsi="Cambria Math"/>
                  <w:sz w:val="22"/>
                </w:rPr>
                <m:t>v</m:t>
              </m:r>
            </m:sub>
          </m:sSub>
          <m:f>
            <m:fPr>
              <m:ctrlPr>
                <w:rPr>
                  <w:rFonts w:ascii="Cambria Math" w:eastAsia="Calibri" w:hAnsi="Cambria Math"/>
                  <w:i/>
                  <w:sz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</w:rPr>
                <m:t>P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2"/>
                    </w:rPr>
                    <m:t>T</m:t>
                  </m:r>
                </m:e>
              </m:rad>
            </m:den>
          </m:f>
        </m:oMath>
      </m:oMathPara>
    </w:p>
    <w:p w:rsidR="00097C9D" w:rsidRDefault="00097C9D" w:rsidP="00BF2A2A">
      <w:pPr>
        <w:pStyle w:val="SingleTxtGR"/>
        <w:suppressAutoHyphens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Эффект распространения ошибки из-за ошибочных измерений температуры можно выразить следующим образом:</w:t>
      </w:r>
    </w:p>
    <w:p w:rsidR="00DE1B01" w:rsidRPr="003B4777" w:rsidRDefault="007E62B3" w:rsidP="00DE1B01">
      <w:pPr>
        <w:spacing w:after="120"/>
        <w:ind w:left="2256" w:right="1134" w:hanging="567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Q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Q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den>
              </m:f>
            </m:e>
          </m:d>
        </m:oMath>
      </m:oMathPara>
    </w:p>
    <w:p w:rsidR="00097C9D" w:rsidRPr="00BF2A2A" w:rsidRDefault="00097C9D" w:rsidP="00BF2A2A">
      <w:pPr>
        <w:pStyle w:val="SingleTxtGR"/>
        <w:suppressAutoHyphens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3.</w:t>
      </w:r>
      <w:r w:rsidRPr="00BF2A2A">
        <w:rPr>
          <w:spacing w:val="0"/>
          <w:w w:val="100"/>
          <w:kern w:val="0"/>
        </w:rPr>
        <w:tab/>
        <w:t>Ввиду наличия коэффициента 0,5 влияние ошибки при измерении температуры на ошибку в значениях расхода снижается вдвое. По сути, значение расхода не зависит от ошибки в измерении температуры. Кроме того, для целей анализа содержимого мешков важна ошибка во взвешенном по расходу значении суммарного расхода CVS, а не ошибка в значении расхода для конкретного момента времени. В таблице 1 приведены результаты двух показательных испытаний по ВПИМ (4-этапных), проанализированные с использованием двух различных методов для моделирования воздействия времени реагирования термопары на значение суммарного расхода CVS. В примере 1 расход CVS установлен в качестве постоянной величины, что соответствует использованию датчика температуры с бесконечным временем реагирования. Этот эффект был смоделирован путем установки расхода CVS в качестве постоянного значения, равного максимальному и минимальному значениям расхода, измеренным в</w:t>
      </w:r>
      <w:r w:rsidR="000941D5">
        <w:rPr>
          <w:spacing w:val="0"/>
          <w:w w:val="100"/>
          <w:kern w:val="0"/>
        </w:rPr>
        <w:t xml:space="preserve"> ходе испытаний согласно ВПИМ. </w:t>
      </w:r>
      <w:r w:rsidRPr="00BF2A2A">
        <w:rPr>
          <w:spacing w:val="0"/>
          <w:w w:val="100"/>
          <w:kern w:val="0"/>
        </w:rPr>
        <w:t xml:space="preserve">Значение суммарного расхода для испытания было пересчитано и сопоставлено со значением, полученным с учетом колебаний температурного сигнала от датчика температуры. В примере 2 частота выборки значений расхода CVS снижена с 10 Гц до 1 Гц, что соответствует датчику температуры с более медленным (но не бесконечным) временем реагирования; пересчитанное значение суммарного расхода было также сопоставлено с исходным значением. Даже при наихудшем сценарии (постоянное значение расхода в ходе испытания, установленное в качестве равного минимальному измеренному значению расхода) ошибка в значении суммарного расхода CVS составляет </w:t>
      </w:r>
      <w:r w:rsidR="00DE1B01" w:rsidRPr="00DE1B01">
        <w:rPr>
          <w:spacing w:val="0"/>
          <w:w w:val="100"/>
          <w:kern w:val="0"/>
        </w:rPr>
        <w:t>–</w:t>
      </w:r>
      <w:r w:rsidR="00DE1B01">
        <w:rPr>
          <w:spacing w:val="0"/>
          <w:w w:val="100"/>
          <w:kern w:val="0"/>
        </w:rPr>
        <w:t>1,29</w:t>
      </w:r>
      <w:r w:rsidR="000941D5">
        <w:rPr>
          <w:spacing w:val="0"/>
          <w:w w:val="100"/>
          <w:kern w:val="0"/>
        </w:rPr>
        <w:t>%</w:t>
      </w:r>
      <w:r w:rsidRPr="00BF2A2A">
        <w:rPr>
          <w:spacing w:val="0"/>
          <w:w w:val="100"/>
          <w:kern w:val="0"/>
        </w:rPr>
        <w:t>.</w:t>
      </w:r>
    </w:p>
    <w:p w:rsidR="00097C9D" w:rsidRPr="00BF2A2A" w:rsidRDefault="00097C9D" w:rsidP="00BF2A2A">
      <w:pPr>
        <w:pStyle w:val="SingleTxtGR"/>
        <w:suppressAutoHyphens/>
        <w:rPr>
          <w:spacing w:val="0"/>
          <w:w w:val="100"/>
          <w:kern w:val="0"/>
        </w:rPr>
      </w:pPr>
      <w:r w:rsidRPr="00BF2A2A">
        <w:rPr>
          <w:b/>
          <w:bCs/>
          <w:spacing w:val="0"/>
          <w:w w:val="100"/>
          <w:kern w:val="0"/>
        </w:rPr>
        <w:t>Таблица 1:</w:t>
      </w:r>
      <w:r w:rsidRPr="00BF2A2A">
        <w:rPr>
          <w:spacing w:val="0"/>
          <w:w w:val="100"/>
          <w:kern w:val="0"/>
        </w:rPr>
        <w:t xml:space="preserve"> Ошибка в общем расходе</w:t>
      </w:r>
      <w:r w:rsidR="000941D5">
        <w:rPr>
          <w:spacing w:val="0"/>
          <w:w w:val="100"/>
          <w:kern w:val="0"/>
        </w:rPr>
        <w:t xml:space="preserve"> CVS на примере двух испытаний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99"/>
        <w:gridCol w:w="2241"/>
        <w:gridCol w:w="2425"/>
        <w:gridCol w:w="1505"/>
      </w:tblGrid>
      <w:tr w:rsidR="00097C9D" w:rsidRPr="00BF2A2A" w:rsidTr="00BF2A2A">
        <w:trPr>
          <w:tblHeader/>
        </w:trPr>
        <w:tc>
          <w:tcPr>
            <w:tcW w:w="3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7C9D" w:rsidRPr="00BF2A2A" w:rsidRDefault="00097C9D" w:rsidP="0022371C">
            <w:pPr>
              <w:suppressAutoHyphens/>
              <w:spacing w:before="80" w:after="80"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Испытание</w:t>
            </w:r>
          </w:p>
        </w:tc>
        <w:tc>
          <w:tcPr>
            <w:tcW w:w="2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7C9D" w:rsidRPr="00BF2A2A" w:rsidRDefault="00097C9D" w:rsidP="0022371C">
            <w:pPr>
              <w:suppressAutoHyphens/>
              <w:spacing w:before="80" w:after="80"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Суммарный расход разбавленных отработавших газов в системе CVS</w:t>
            </w:r>
            <w:r w:rsidRPr="00BF2A2A">
              <w:rPr>
                <w:spacing w:val="0"/>
                <w:w w:val="100"/>
                <w:kern w:val="0"/>
                <w:szCs w:val="20"/>
              </w:rPr>
              <w:br/>
              <w:t>(м</w:t>
            </w:r>
            <w:r w:rsidRPr="00BF2A2A">
              <w:rPr>
                <w:spacing w:val="0"/>
                <w:w w:val="100"/>
                <w:kern w:val="0"/>
                <w:szCs w:val="20"/>
                <w:vertAlign w:val="superscript"/>
              </w:rPr>
              <w:t>3</w:t>
            </w:r>
            <w:r w:rsidRPr="00BF2A2A">
              <w:rPr>
                <w:spacing w:val="0"/>
                <w:w w:val="100"/>
                <w:kern w:val="0"/>
                <w:szCs w:val="20"/>
              </w:rPr>
              <w:t xml:space="preserve"> при 1 атмосфере </w:t>
            </w:r>
            <w:r w:rsidRPr="00BF2A2A">
              <w:rPr>
                <w:spacing w:val="0"/>
                <w:w w:val="100"/>
                <w:kern w:val="0"/>
                <w:szCs w:val="20"/>
              </w:rPr>
              <w:br/>
              <w:t>и 0° 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9D" w:rsidRPr="00BF2A2A" w:rsidRDefault="00097C9D" w:rsidP="0022371C">
            <w:pPr>
              <w:suppressAutoHyphens/>
              <w:spacing w:before="80" w:after="80"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Ошибки в значении расхода CVS</w:t>
            </w:r>
            <w:r w:rsidRPr="00BF2A2A">
              <w:rPr>
                <w:spacing w:val="0"/>
                <w:w w:val="100"/>
                <w:kern w:val="0"/>
                <w:szCs w:val="20"/>
              </w:rPr>
              <w:br/>
              <w:t>(%)</w:t>
            </w:r>
          </w:p>
        </w:tc>
      </w:tr>
      <w:tr w:rsidR="00BF2A2A" w:rsidRPr="00BF2A2A" w:rsidTr="00BF2A2A">
        <w:tc>
          <w:tcPr>
            <w:tcW w:w="1199" w:type="dxa"/>
            <w:vMerge w:val="restart"/>
            <w:tcBorders>
              <w:top w:val="single" w:sz="12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Постоянный расход</w:t>
            </w: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 xml:space="preserve">Исходное значение на основе ВПИМ </w:t>
            </w:r>
            <w:r w:rsidR="0022371C">
              <w:rPr>
                <w:spacing w:val="0"/>
                <w:w w:val="100"/>
                <w:kern w:val="0"/>
                <w:szCs w:val="20"/>
              </w:rPr>
              <w:br/>
            </w:r>
            <w:r w:rsidRPr="00BF2A2A">
              <w:rPr>
                <w:spacing w:val="0"/>
                <w:w w:val="100"/>
                <w:kern w:val="0"/>
                <w:szCs w:val="20"/>
              </w:rPr>
              <w:t>(4-этапные испытания)</w:t>
            </w: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490,2545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7C9D" w:rsidRPr="000941D5" w:rsidRDefault="00097C9D" w:rsidP="000941D5">
            <w:pPr>
              <w:suppressAutoHyphens/>
              <w:spacing w:line="220" w:lineRule="exact"/>
              <w:jc w:val="center"/>
              <w:rPr>
                <w:b/>
                <w:spacing w:val="0"/>
                <w:w w:val="100"/>
                <w:kern w:val="0"/>
                <w:szCs w:val="20"/>
              </w:rPr>
            </w:pPr>
            <w:r w:rsidRPr="000941D5">
              <w:rPr>
                <w:b/>
                <w:spacing w:val="0"/>
                <w:w w:val="100"/>
                <w:kern w:val="0"/>
                <w:szCs w:val="20"/>
              </w:rPr>
              <w:t>(</w:t>
            </w:r>
            <w:r w:rsidR="000941D5" w:rsidRPr="000941D5">
              <w:rPr>
                <w:b/>
                <w:spacing w:val="0"/>
                <w:w w:val="100"/>
                <w:kern w:val="0"/>
                <w:szCs w:val="20"/>
              </w:rPr>
              <w:t>–</w:t>
            </w:r>
            <w:r w:rsidRPr="000941D5">
              <w:rPr>
                <w:b/>
                <w:spacing w:val="0"/>
                <w:w w:val="100"/>
                <w:kern w:val="0"/>
                <w:szCs w:val="20"/>
              </w:rPr>
              <w:t>)</w:t>
            </w:r>
          </w:p>
        </w:tc>
      </w:tr>
      <w:tr w:rsidR="00BF2A2A" w:rsidRPr="00BF2A2A" w:rsidTr="00BF2A2A">
        <w:tc>
          <w:tcPr>
            <w:tcW w:w="1199" w:type="dxa"/>
            <w:vMerge/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241" w:type="dxa"/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 xml:space="preserve">установленный расход, равный максимальному значению, измеренному в ходе испытания </w:t>
            </w:r>
            <w:r w:rsidR="0022371C">
              <w:rPr>
                <w:spacing w:val="0"/>
                <w:w w:val="100"/>
                <w:kern w:val="0"/>
                <w:szCs w:val="20"/>
              </w:rPr>
              <w:br/>
            </w:r>
            <w:r w:rsidRPr="00BF2A2A">
              <w:rPr>
                <w:spacing w:val="0"/>
                <w:w w:val="100"/>
                <w:kern w:val="0"/>
                <w:szCs w:val="20"/>
              </w:rPr>
              <w:t>ВПИМ</w:t>
            </w:r>
          </w:p>
        </w:tc>
        <w:tc>
          <w:tcPr>
            <w:tcW w:w="2425" w:type="dxa"/>
          </w:tcPr>
          <w:p w:rsidR="00097C9D" w:rsidRPr="00BF2A2A" w:rsidRDefault="00097C9D" w:rsidP="0022371C">
            <w:pPr>
              <w:suppressAutoHyphens/>
              <w:spacing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493,3287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jc w:val="center"/>
              <w:rPr>
                <w:b/>
                <w:spacing w:val="0"/>
                <w:w w:val="100"/>
                <w:kern w:val="0"/>
                <w:szCs w:val="20"/>
              </w:rPr>
            </w:pPr>
            <w:r w:rsidRPr="00BF2A2A">
              <w:rPr>
                <w:b/>
                <w:spacing w:val="0"/>
                <w:w w:val="100"/>
                <w:kern w:val="0"/>
                <w:szCs w:val="20"/>
              </w:rPr>
              <w:t>+0,65</w:t>
            </w:r>
          </w:p>
        </w:tc>
      </w:tr>
      <w:tr w:rsidR="00BF2A2A" w:rsidRPr="00BF2A2A" w:rsidTr="00BF2A2A">
        <w:tc>
          <w:tcPr>
            <w:tcW w:w="1199" w:type="dxa"/>
            <w:vMerge/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241" w:type="dxa"/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 xml:space="preserve">установленный расход, равный минимальному значению, измеренному в ходе испытания </w:t>
            </w:r>
            <w:r w:rsidR="0022371C">
              <w:rPr>
                <w:spacing w:val="0"/>
                <w:w w:val="100"/>
                <w:kern w:val="0"/>
                <w:szCs w:val="20"/>
              </w:rPr>
              <w:br/>
            </w:r>
            <w:r w:rsidRPr="00BF2A2A">
              <w:rPr>
                <w:spacing w:val="0"/>
                <w:w w:val="100"/>
                <w:kern w:val="0"/>
                <w:szCs w:val="20"/>
              </w:rPr>
              <w:t>ВПИМ</w:t>
            </w:r>
          </w:p>
        </w:tc>
        <w:tc>
          <w:tcPr>
            <w:tcW w:w="2425" w:type="dxa"/>
          </w:tcPr>
          <w:p w:rsidR="00097C9D" w:rsidRPr="00BF2A2A" w:rsidRDefault="00097C9D" w:rsidP="0022371C">
            <w:pPr>
              <w:suppressAutoHyphens/>
              <w:spacing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483,8529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D" w:rsidRPr="00BF2A2A" w:rsidRDefault="000941D5" w:rsidP="0022371C">
            <w:pPr>
              <w:suppressAutoHyphens/>
              <w:spacing w:line="220" w:lineRule="exact"/>
              <w:jc w:val="center"/>
              <w:rPr>
                <w:b/>
                <w:spacing w:val="0"/>
                <w:w w:val="100"/>
                <w:kern w:val="0"/>
                <w:szCs w:val="20"/>
              </w:rPr>
            </w:pPr>
            <w:r>
              <w:rPr>
                <w:b/>
                <w:spacing w:val="0"/>
                <w:w w:val="100"/>
                <w:kern w:val="0"/>
                <w:szCs w:val="20"/>
              </w:rPr>
              <w:t>–</w:t>
            </w:r>
            <w:r w:rsidR="00097C9D" w:rsidRPr="00BF2A2A">
              <w:rPr>
                <w:b/>
                <w:spacing w:val="0"/>
                <w:w w:val="100"/>
                <w:kern w:val="0"/>
                <w:szCs w:val="20"/>
              </w:rPr>
              <w:t>1,29</w:t>
            </w:r>
          </w:p>
        </w:tc>
      </w:tr>
      <w:tr w:rsidR="00BF2A2A" w:rsidRPr="00BF2A2A" w:rsidTr="00BF2A2A">
        <w:tc>
          <w:tcPr>
            <w:tcW w:w="1199" w:type="dxa"/>
            <w:vMerge w:val="restart"/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Снижение частоты выборки</w:t>
            </w:r>
          </w:p>
        </w:tc>
        <w:tc>
          <w:tcPr>
            <w:tcW w:w="2241" w:type="dxa"/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 xml:space="preserve">Исходное значение на основе ВПИМ </w:t>
            </w:r>
            <w:r w:rsidR="0022371C">
              <w:rPr>
                <w:spacing w:val="0"/>
                <w:w w:val="100"/>
                <w:kern w:val="0"/>
                <w:szCs w:val="20"/>
              </w:rPr>
              <w:br/>
            </w:r>
            <w:r w:rsidRPr="00BF2A2A">
              <w:rPr>
                <w:spacing w:val="0"/>
                <w:w w:val="100"/>
                <w:kern w:val="0"/>
                <w:szCs w:val="20"/>
              </w:rPr>
              <w:t>(4-этапные испытания)</w:t>
            </w:r>
          </w:p>
        </w:tc>
        <w:tc>
          <w:tcPr>
            <w:tcW w:w="2425" w:type="dxa"/>
          </w:tcPr>
          <w:p w:rsidR="00097C9D" w:rsidRPr="00BF2A2A" w:rsidRDefault="00097C9D" w:rsidP="0022371C">
            <w:pPr>
              <w:suppressAutoHyphens/>
              <w:spacing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491,1044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D" w:rsidRPr="00BF2A2A" w:rsidRDefault="00097C9D" w:rsidP="000941D5">
            <w:pPr>
              <w:suppressAutoHyphens/>
              <w:spacing w:line="220" w:lineRule="exact"/>
              <w:jc w:val="center"/>
              <w:rPr>
                <w:b/>
                <w:spacing w:val="0"/>
                <w:w w:val="100"/>
                <w:kern w:val="0"/>
                <w:szCs w:val="20"/>
              </w:rPr>
            </w:pPr>
            <w:r w:rsidRPr="00BF2A2A">
              <w:rPr>
                <w:b/>
                <w:spacing w:val="0"/>
                <w:w w:val="100"/>
                <w:kern w:val="0"/>
                <w:szCs w:val="20"/>
              </w:rPr>
              <w:t>(</w:t>
            </w:r>
            <w:r w:rsidR="000941D5">
              <w:rPr>
                <w:b/>
                <w:spacing w:val="0"/>
                <w:w w:val="100"/>
                <w:kern w:val="0"/>
                <w:szCs w:val="20"/>
              </w:rPr>
              <w:t>–</w:t>
            </w:r>
            <w:r w:rsidRPr="00BF2A2A">
              <w:rPr>
                <w:b/>
                <w:spacing w:val="0"/>
                <w:w w:val="100"/>
                <w:kern w:val="0"/>
                <w:szCs w:val="20"/>
              </w:rPr>
              <w:t>)</w:t>
            </w:r>
          </w:p>
        </w:tc>
      </w:tr>
      <w:tr w:rsidR="00BF2A2A" w:rsidRPr="00BF2A2A" w:rsidTr="00BF2A2A">
        <w:tc>
          <w:tcPr>
            <w:tcW w:w="1199" w:type="dxa"/>
            <w:vMerge/>
            <w:tcBorders>
              <w:bottom w:val="single" w:sz="12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ind w:left="17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 xml:space="preserve">10 Гц </w:t>
            </w:r>
            <w:r w:rsidRPr="00BF2A2A">
              <w:rPr>
                <w:spacing w:val="0"/>
                <w:w w:val="100"/>
                <w:kern w:val="0"/>
                <w:szCs w:val="20"/>
              </w:rPr>
              <w:sym w:font="Wingdings" w:char="F0E0"/>
            </w:r>
            <w:r w:rsidRPr="00BF2A2A">
              <w:rPr>
                <w:spacing w:val="0"/>
                <w:w w:val="100"/>
                <w:kern w:val="0"/>
                <w:szCs w:val="20"/>
              </w:rPr>
              <w:t xml:space="preserve"> 1 Гц</w:t>
            </w:r>
          </w:p>
        </w:tc>
        <w:tc>
          <w:tcPr>
            <w:tcW w:w="2425" w:type="dxa"/>
            <w:tcBorders>
              <w:bottom w:val="single" w:sz="12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jc w:val="center"/>
              <w:rPr>
                <w:spacing w:val="0"/>
                <w:w w:val="100"/>
                <w:kern w:val="0"/>
                <w:szCs w:val="20"/>
              </w:rPr>
            </w:pPr>
            <w:r w:rsidRPr="00BF2A2A">
              <w:rPr>
                <w:spacing w:val="0"/>
                <w:w w:val="100"/>
                <w:kern w:val="0"/>
                <w:szCs w:val="20"/>
              </w:rPr>
              <w:t>491,4950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097C9D" w:rsidRPr="00BF2A2A" w:rsidRDefault="00097C9D" w:rsidP="0022371C">
            <w:pPr>
              <w:suppressAutoHyphens/>
              <w:spacing w:line="220" w:lineRule="exact"/>
              <w:jc w:val="center"/>
              <w:rPr>
                <w:b/>
                <w:spacing w:val="0"/>
                <w:w w:val="100"/>
                <w:kern w:val="0"/>
                <w:szCs w:val="20"/>
              </w:rPr>
            </w:pPr>
            <w:r w:rsidRPr="00BF2A2A">
              <w:rPr>
                <w:b/>
                <w:spacing w:val="0"/>
                <w:w w:val="100"/>
                <w:kern w:val="0"/>
                <w:szCs w:val="20"/>
              </w:rPr>
              <w:t>+0,08</w:t>
            </w:r>
          </w:p>
        </w:tc>
      </w:tr>
    </w:tbl>
    <w:p w:rsidR="00097C9D" w:rsidRPr="00BF2A2A" w:rsidRDefault="00097C9D" w:rsidP="00BF2A2A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lastRenderedPageBreak/>
        <w:t>4.</w:t>
      </w:r>
      <w:r w:rsidRPr="00BF2A2A">
        <w:rPr>
          <w:spacing w:val="0"/>
          <w:w w:val="100"/>
          <w:kern w:val="0"/>
        </w:rPr>
        <w:tab/>
        <w:t>Хотя в условиях, в которых обычно проводятся испытания транспортных средств малой грузоподъемности, происходят лишь незначительные колебания температуры потока CVS и значение расхода CVS остается в пределах, соответствующих требованию о допустимой погрешности в +/</w:t>
      </w:r>
      <w:r w:rsidR="000941D5">
        <w:rPr>
          <w:spacing w:val="0"/>
          <w:w w:val="100"/>
          <w:kern w:val="0"/>
        </w:rPr>
        <w:t>–</w:t>
      </w:r>
      <w:r w:rsidRPr="00BF2A2A">
        <w:rPr>
          <w:spacing w:val="0"/>
          <w:w w:val="100"/>
          <w:kern w:val="0"/>
        </w:rPr>
        <w:t xml:space="preserve"> 2% (как было проиллюстрировано выше), существуют две причины для сохранения требования в отношении времени реагирования:</w:t>
      </w:r>
    </w:p>
    <w:p w:rsidR="00097C9D" w:rsidRPr="00BF2A2A" w:rsidRDefault="00097C9D" w:rsidP="00BF2A2A">
      <w:pPr>
        <w:pStyle w:val="SingleTxtGR"/>
        <w:suppressAutoHyphens/>
        <w:ind w:left="2268" w:hanging="567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  <w:lang w:val="en-US"/>
        </w:rPr>
        <w:t>a</w:t>
      </w:r>
      <w:r w:rsidRPr="00BF2A2A">
        <w:rPr>
          <w:spacing w:val="0"/>
          <w:w w:val="100"/>
          <w:kern w:val="0"/>
        </w:rPr>
        <w:t>)</w:t>
      </w:r>
      <w:r w:rsidRPr="00BF2A2A">
        <w:rPr>
          <w:spacing w:val="0"/>
          <w:w w:val="100"/>
          <w:kern w:val="0"/>
        </w:rPr>
        <w:tab/>
        <w:t>для некоторых испытательных условий, когда система разбавления имеет низкую тепловую инерцию, сохраняется важность требования в отношении быстрого реагирования;</w:t>
      </w:r>
    </w:p>
    <w:p w:rsidR="00097C9D" w:rsidRPr="00BF2A2A" w:rsidRDefault="00097C9D" w:rsidP="00BF2A2A">
      <w:pPr>
        <w:pStyle w:val="SingleTxtGR"/>
        <w:suppressAutoHyphens/>
        <w:ind w:left="2268" w:hanging="567"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  <w:lang w:val="en-US"/>
        </w:rPr>
        <w:t>b</w:t>
      </w:r>
      <w:r w:rsidRPr="00BF2A2A">
        <w:rPr>
          <w:spacing w:val="0"/>
          <w:w w:val="100"/>
          <w:kern w:val="0"/>
        </w:rPr>
        <w:t>)</w:t>
      </w:r>
      <w:r w:rsidRPr="00BF2A2A">
        <w:rPr>
          <w:spacing w:val="0"/>
          <w:w w:val="100"/>
          <w:kern w:val="0"/>
        </w:rPr>
        <w:tab/>
        <w:t>стандартные технические требования к системе имеют важное значение для обеспечения сопоставимости данных о выбросах, полученных с помощью различных систем измерения.</w:t>
      </w:r>
    </w:p>
    <w:p w:rsidR="00097C9D" w:rsidRPr="00BF2A2A" w:rsidRDefault="00097C9D" w:rsidP="00BF2A2A">
      <w:pPr>
        <w:pStyle w:val="SingleTxtGR"/>
        <w:suppressAutoHyphens/>
        <w:rPr>
          <w:spacing w:val="0"/>
          <w:w w:val="100"/>
          <w:kern w:val="0"/>
        </w:rPr>
      </w:pPr>
      <w:r w:rsidRPr="00BF2A2A">
        <w:rPr>
          <w:spacing w:val="0"/>
          <w:w w:val="100"/>
          <w:kern w:val="0"/>
        </w:rPr>
        <w:t>В связи с вышесказанным предлагается в качестве требования, касающегося времени реагирования, указать менее 1,0 секунды при изменении указанной температуры на 62% и измерении в силиконовом масле.</w:t>
      </w:r>
    </w:p>
    <w:p w:rsidR="00097C9D" w:rsidRPr="00BF2A2A" w:rsidRDefault="00097C9D" w:rsidP="00BF2A2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BF2A2A">
        <w:rPr>
          <w:spacing w:val="0"/>
          <w:w w:val="100"/>
          <w:kern w:val="0"/>
          <w:u w:val="single"/>
        </w:rPr>
        <w:tab/>
      </w:r>
      <w:r w:rsidRPr="00BF2A2A">
        <w:rPr>
          <w:spacing w:val="0"/>
          <w:w w:val="100"/>
          <w:kern w:val="0"/>
          <w:u w:val="single"/>
        </w:rPr>
        <w:tab/>
      </w:r>
      <w:r w:rsidRPr="00BF2A2A">
        <w:rPr>
          <w:spacing w:val="0"/>
          <w:w w:val="100"/>
          <w:kern w:val="0"/>
          <w:u w:val="single"/>
        </w:rPr>
        <w:tab/>
      </w:r>
    </w:p>
    <w:sectPr w:rsidR="00097C9D" w:rsidRPr="00BF2A2A" w:rsidSect="00097C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C3" w:rsidRPr="00A312BC" w:rsidRDefault="009179C3" w:rsidP="00A312BC"/>
  </w:endnote>
  <w:endnote w:type="continuationSeparator" w:id="0">
    <w:p w:rsidR="009179C3" w:rsidRPr="00A312BC" w:rsidRDefault="009179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9D" w:rsidRPr="00097C9D" w:rsidRDefault="00097C9D">
    <w:pPr>
      <w:pStyle w:val="Footer"/>
    </w:pPr>
    <w:r w:rsidRPr="00097C9D">
      <w:rPr>
        <w:b/>
        <w:sz w:val="18"/>
      </w:rPr>
      <w:fldChar w:fldCharType="begin"/>
    </w:r>
    <w:r w:rsidRPr="00097C9D">
      <w:rPr>
        <w:b/>
        <w:sz w:val="18"/>
      </w:rPr>
      <w:instrText xml:space="preserve"> PAGE  \* MERGEFORMAT </w:instrText>
    </w:r>
    <w:r w:rsidRPr="00097C9D">
      <w:rPr>
        <w:b/>
        <w:sz w:val="18"/>
      </w:rPr>
      <w:fldChar w:fldCharType="separate"/>
    </w:r>
    <w:r w:rsidR="007E62B3">
      <w:rPr>
        <w:b/>
        <w:noProof/>
        <w:sz w:val="18"/>
      </w:rPr>
      <w:t>4</w:t>
    </w:r>
    <w:r w:rsidRPr="00097C9D">
      <w:rPr>
        <w:b/>
        <w:sz w:val="18"/>
      </w:rPr>
      <w:fldChar w:fldCharType="end"/>
    </w:r>
    <w:r>
      <w:rPr>
        <w:b/>
        <w:sz w:val="18"/>
      </w:rPr>
      <w:tab/>
    </w:r>
    <w:r>
      <w:t>GE.18-04561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9D" w:rsidRPr="00097C9D" w:rsidRDefault="00097C9D" w:rsidP="00097C9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GE.18-04561</w:t>
    </w:r>
    <w:r>
      <w:tab/>
    </w:r>
    <w:r w:rsidRPr="00097C9D">
      <w:rPr>
        <w:b/>
        <w:sz w:val="18"/>
      </w:rPr>
      <w:fldChar w:fldCharType="begin"/>
    </w:r>
    <w:r w:rsidRPr="00097C9D">
      <w:rPr>
        <w:b/>
        <w:sz w:val="18"/>
      </w:rPr>
      <w:instrText xml:space="preserve"> PAGE  \* MERGEFORMAT </w:instrText>
    </w:r>
    <w:r w:rsidRPr="00097C9D">
      <w:rPr>
        <w:b/>
        <w:sz w:val="18"/>
      </w:rPr>
      <w:fldChar w:fldCharType="separate"/>
    </w:r>
    <w:r w:rsidR="007E62B3">
      <w:rPr>
        <w:b/>
        <w:noProof/>
        <w:sz w:val="18"/>
      </w:rPr>
      <w:t>3</w:t>
    </w:r>
    <w:r w:rsidRPr="00097C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97C9D" w:rsidRDefault="00097C9D" w:rsidP="00097C9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18-04561  (R)</w:t>
    </w:r>
    <w:r w:rsidR="00DE1B01">
      <w:rPr>
        <w:lang w:val="en-US"/>
      </w:rPr>
      <w:t xml:space="preserve">  120418  120418</w:t>
    </w:r>
    <w:r>
      <w:br/>
    </w:r>
    <w:r w:rsidRPr="00097C9D">
      <w:rPr>
        <w:rFonts w:ascii="C39T30Lfz" w:hAnsi="C39T30Lfz"/>
        <w:spacing w:val="0"/>
        <w:w w:val="100"/>
        <w:sz w:val="56"/>
      </w:rPr>
      <w:t></w:t>
    </w:r>
    <w:r w:rsidRPr="00097C9D">
      <w:rPr>
        <w:rFonts w:ascii="C39T30Lfz" w:hAnsi="C39T30Lfz"/>
        <w:spacing w:val="0"/>
        <w:w w:val="100"/>
        <w:sz w:val="56"/>
      </w:rPr>
      <w:t></w:t>
    </w:r>
    <w:r w:rsidRPr="00097C9D">
      <w:rPr>
        <w:rFonts w:ascii="C39T30Lfz" w:hAnsi="C39T30Lfz"/>
        <w:spacing w:val="0"/>
        <w:w w:val="100"/>
        <w:sz w:val="56"/>
      </w:rPr>
      <w:t></w:t>
    </w:r>
    <w:r w:rsidRPr="00097C9D">
      <w:rPr>
        <w:rFonts w:ascii="C39T30Lfz" w:hAnsi="C39T30Lfz"/>
        <w:spacing w:val="0"/>
        <w:w w:val="100"/>
        <w:sz w:val="56"/>
      </w:rPr>
      <w:t></w:t>
    </w:r>
    <w:r w:rsidRPr="00097C9D">
      <w:rPr>
        <w:rFonts w:ascii="C39T30Lfz" w:hAnsi="C39T30Lfz"/>
        <w:spacing w:val="0"/>
        <w:w w:val="100"/>
        <w:sz w:val="56"/>
      </w:rPr>
      <w:t></w:t>
    </w:r>
    <w:r w:rsidRPr="00097C9D">
      <w:rPr>
        <w:rFonts w:ascii="C39T30Lfz" w:hAnsi="C39T30Lfz"/>
        <w:spacing w:val="0"/>
        <w:w w:val="100"/>
        <w:sz w:val="56"/>
      </w:rPr>
      <w:t></w:t>
    </w:r>
    <w:r w:rsidRPr="00097C9D">
      <w:rPr>
        <w:rFonts w:ascii="C39T30Lfz" w:hAnsi="C39T30Lfz"/>
        <w:spacing w:val="0"/>
        <w:w w:val="100"/>
        <w:sz w:val="56"/>
      </w:rPr>
      <w:t></w:t>
    </w:r>
    <w:r w:rsidRPr="00097C9D">
      <w:rPr>
        <w:rFonts w:ascii="C39T30Lfz" w:hAnsi="C39T30Lfz"/>
        <w:spacing w:val="0"/>
        <w:w w:val="100"/>
        <w:sz w:val="56"/>
      </w:rPr>
      <w:t></w:t>
    </w:r>
    <w:r w:rsidRPr="00097C9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C3" w:rsidRPr="001075E9" w:rsidRDefault="009179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79C3" w:rsidRDefault="009179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7C9D" w:rsidRPr="0050387A" w:rsidRDefault="00097C9D" w:rsidP="00097C9D">
      <w:pPr>
        <w:pStyle w:val="FootnoteText"/>
        <w:rPr>
          <w:spacing w:val="0"/>
          <w:w w:val="100"/>
          <w:kern w:val="0"/>
        </w:rPr>
      </w:pPr>
      <w:r w:rsidRPr="0050387A">
        <w:rPr>
          <w:spacing w:val="0"/>
          <w:w w:val="100"/>
          <w:kern w:val="0"/>
          <w:lang w:val="ru-RU"/>
        </w:rPr>
        <w:tab/>
      </w:r>
      <w:r w:rsidRPr="0050387A">
        <w:rPr>
          <w:spacing w:val="0"/>
          <w:w w:val="100"/>
          <w:kern w:val="0"/>
          <w:sz w:val="20"/>
          <w:lang w:val="ru-RU"/>
        </w:rPr>
        <w:t>*</w:t>
      </w:r>
      <w:r w:rsidRPr="0050387A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9D" w:rsidRPr="00097C9D" w:rsidRDefault="007E62B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31596">
      <w:t>ECE/TRANS/WP.29/GRPE/2018/18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9D" w:rsidRPr="00097C9D" w:rsidRDefault="007E62B3" w:rsidP="00097C9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31596">
      <w:t>ECE/TRANS/WP.29/GRPE/2018/18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  <w:lvlOverride w:ilvl="0">
      <w:lvl w:ilvl="0" w:tplc="B8A2CBCE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  <w:lvlOverride w:ilvl="1">
      <w:lvl w:ilvl="1" w:tplc="F786618A">
        <w:start w:val="1"/>
        <w:numFmt w:val="lowerLetter"/>
        <w:lvlText w:val="%2)"/>
        <w:lvlJc w:val="left"/>
        <w:pPr>
          <w:ind w:left="221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C3"/>
    <w:rsid w:val="00033EE1"/>
    <w:rsid w:val="00042B72"/>
    <w:rsid w:val="000558BD"/>
    <w:rsid w:val="000941D5"/>
    <w:rsid w:val="00097C9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371C"/>
    <w:rsid w:val="00255343"/>
    <w:rsid w:val="00267DB9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87A"/>
    <w:rsid w:val="00513081"/>
    <w:rsid w:val="00517901"/>
    <w:rsid w:val="00526683"/>
    <w:rsid w:val="00531596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62B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9C3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A2A"/>
    <w:rsid w:val="00C106D6"/>
    <w:rsid w:val="00C119AE"/>
    <w:rsid w:val="00C60F0C"/>
    <w:rsid w:val="00C805C9"/>
    <w:rsid w:val="00C92939"/>
    <w:rsid w:val="00CA1679"/>
    <w:rsid w:val="00CB151C"/>
    <w:rsid w:val="00CE5A1A"/>
    <w:rsid w:val="00CF4D0C"/>
    <w:rsid w:val="00CF55F6"/>
    <w:rsid w:val="00D33D63"/>
    <w:rsid w:val="00D5253A"/>
    <w:rsid w:val="00D90028"/>
    <w:rsid w:val="00D90138"/>
    <w:rsid w:val="00DD78D1"/>
    <w:rsid w:val="00DE1B0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27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04B074-B336-4E6C-A084-963CBAD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ECE/TRANS/WP.29/GRPE/2018/18</vt:lpstr>
      <vt:lpstr>ECE/TRANS/WP.29/GRPE/2018/18</vt:lpstr>
      <vt:lpstr>A/</vt:lpstr>
    </vt:vector>
  </TitlesOfParts>
  <Company>DCM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ECE/TRANS/WP.29/GRPE/2018/18</dc:title>
  <dc:subject/>
  <dc:creator>Tatiana SHARKINA</dc:creator>
  <cp:keywords/>
  <cp:lastModifiedBy>Benedicte Boudol</cp:lastModifiedBy>
  <cp:revision>2</cp:revision>
  <cp:lastPrinted>2018-04-12T08:52:00Z</cp:lastPrinted>
  <dcterms:created xsi:type="dcterms:W3CDTF">2018-04-19T20:32:00Z</dcterms:created>
  <dcterms:modified xsi:type="dcterms:W3CDTF">2018-04-19T20:32:00Z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