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54F4C">
            <w:pPr>
              <w:bidi/>
            </w:pPr>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4015C" w:rsidP="00E4015C">
            <w:pPr>
              <w:jc w:val="right"/>
            </w:pPr>
            <w:r w:rsidRPr="00E4015C">
              <w:rPr>
                <w:sz w:val="40"/>
              </w:rPr>
              <w:t>ECE</w:t>
            </w:r>
            <w:r>
              <w:t>/TRANS/WP.29/GRPE/2018/12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4015C" w:rsidP="00C97039">
            <w:pPr>
              <w:spacing w:before="240"/>
            </w:pPr>
            <w:r>
              <w:t>Distr. générale</w:t>
            </w:r>
          </w:p>
          <w:p w:rsidR="00E4015C" w:rsidRDefault="00E4015C" w:rsidP="00E4015C">
            <w:pPr>
              <w:spacing w:line="240" w:lineRule="exact"/>
            </w:pPr>
            <w:r>
              <w:t>26 mars 2018</w:t>
            </w:r>
          </w:p>
          <w:p w:rsidR="00E4015C" w:rsidRDefault="00E4015C" w:rsidP="00E4015C">
            <w:pPr>
              <w:spacing w:line="240" w:lineRule="exact"/>
            </w:pPr>
            <w:r>
              <w:t>Français</w:t>
            </w:r>
          </w:p>
          <w:p w:rsidR="00E4015C" w:rsidRPr="00DB58B5" w:rsidRDefault="00E4015C" w:rsidP="00E4015C">
            <w:pPr>
              <w:spacing w:line="240" w:lineRule="exact"/>
            </w:pPr>
            <w:r>
              <w:t>Original : anglais</w:t>
            </w:r>
          </w:p>
        </w:tc>
      </w:tr>
    </w:tbl>
    <w:p w:rsidR="000C5264" w:rsidRPr="000312C0" w:rsidRDefault="000C5264" w:rsidP="000C5264">
      <w:pPr>
        <w:spacing w:before="120" w:after="120"/>
        <w:rPr>
          <w:b/>
          <w:sz w:val="28"/>
          <w:szCs w:val="28"/>
        </w:rPr>
      </w:pPr>
      <w:r w:rsidRPr="000312C0">
        <w:rPr>
          <w:b/>
          <w:sz w:val="28"/>
          <w:szCs w:val="28"/>
        </w:rPr>
        <w:t>Commission économique pour l</w:t>
      </w:r>
      <w:r>
        <w:rPr>
          <w:b/>
          <w:sz w:val="28"/>
          <w:szCs w:val="28"/>
        </w:rPr>
        <w:t>’</w:t>
      </w:r>
      <w:r w:rsidRPr="000312C0">
        <w:rPr>
          <w:b/>
          <w:sz w:val="28"/>
          <w:szCs w:val="28"/>
        </w:rPr>
        <w:t>Europe</w:t>
      </w:r>
    </w:p>
    <w:p w:rsidR="000C5264" w:rsidRDefault="000C5264" w:rsidP="000C5264">
      <w:pPr>
        <w:rPr>
          <w:sz w:val="28"/>
          <w:szCs w:val="28"/>
        </w:rPr>
      </w:pPr>
      <w:r w:rsidRPr="00685843">
        <w:rPr>
          <w:sz w:val="28"/>
          <w:szCs w:val="28"/>
        </w:rPr>
        <w:t>Comité des transports intérieurs</w:t>
      </w:r>
    </w:p>
    <w:p w:rsidR="000C5264" w:rsidRDefault="000C526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C5264" w:rsidRDefault="000C5264" w:rsidP="00257168">
      <w:pPr>
        <w:spacing w:before="120" w:after="120" w:line="240" w:lineRule="exact"/>
        <w:rPr>
          <w:b/>
        </w:rPr>
      </w:pPr>
      <w:r>
        <w:rPr>
          <w:b/>
        </w:rPr>
        <w:t>Groupe de travail de la pollution et de l’énergie</w:t>
      </w:r>
    </w:p>
    <w:p w:rsidR="000C5264" w:rsidRDefault="000C5264" w:rsidP="00257168">
      <w:pPr>
        <w:spacing w:before="120" w:line="240" w:lineRule="exact"/>
        <w:rPr>
          <w:b/>
        </w:rPr>
      </w:pPr>
      <w:r w:rsidRPr="00CE1536">
        <w:rPr>
          <w:b/>
          <w:bCs/>
          <w:lang w:val="fr-FR"/>
        </w:rPr>
        <w:t>Soixante-</w:t>
      </w:r>
      <w:r>
        <w:rPr>
          <w:b/>
          <w:bCs/>
          <w:lang w:val="fr-FR"/>
        </w:rPr>
        <w:t>dix-sept</w:t>
      </w:r>
      <w:r w:rsidRPr="00CE1536">
        <w:rPr>
          <w:b/>
          <w:bCs/>
          <w:lang w:val="fr-FR"/>
        </w:rPr>
        <w:t>ième</w:t>
      </w:r>
      <w:r>
        <w:rPr>
          <w:b/>
        </w:rPr>
        <w:t xml:space="preserve"> session</w:t>
      </w:r>
    </w:p>
    <w:p w:rsidR="000C5264" w:rsidRDefault="000C5264" w:rsidP="00257168">
      <w:pPr>
        <w:spacing w:line="240" w:lineRule="exact"/>
      </w:pPr>
      <w:r>
        <w:t xml:space="preserve">Genève, </w:t>
      </w:r>
      <w:r>
        <w:rPr>
          <w:szCs w:val="24"/>
          <w:lang w:val="fr-FR"/>
        </w:rPr>
        <w:t>6-8 juin</w:t>
      </w:r>
      <w:r w:rsidRPr="00307347">
        <w:rPr>
          <w:szCs w:val="24"/>
          <w:lang w:val="fr-FR"/>
        </w:rPr>
        <w:t xml:space="preserve"> 2018</w:t>
      </w:r>
    </w:p>
    <w:p w:rsidR="000C5264" w:rsidRDefault="000C5264" w:rsidP="00257168">
      <w:pPr>
        <w:spacing w:line="240" w:lineRule="exact"/>
      </w:pPr>
      <w:r>
        <w:t>Point 4 a) de l’ordre du jour provisoire</w:t>
      </w:r>
    </w:p>
    <w:p w:rsidR="000C5264" w:rsidRPr="005D5DED" w:rsidRDefault="000C5264" w:rsidP="000C5264">
      <w:pPr>
        <w:rPr>
          <w:b/>
          <w:bCs/>
          <w:szCs w:val="24"/>
        </w:rPr>
      </w:pPr>
      <w:r w:rsidRPr="00307347">
        <w:rPr>
          <w:b/>
          <w:bCs/>
          <w:szCs w:val="24"/>
          <w:lang w:val="fr-FR"/>
        </w:rPr>
        <w:t xml:space="preserve">Véhicules utilitaires lourds </w:t>
      </w:r>
      <w:r>
        <w:rPr>
          <w:b/>
          <w:bCs/>
          <w:szCs w:val="24"/>
          <w:lang w:val="fr-FR"/>
        </w:rPr>
        <w:t>−</w:t>
      </w:r>
      <w:r w:rsidRPr="00307347">
        <w:rPr>
          <w:b/>
          <w:bCs/>
          <w:szCs w:val="24"/>
          <w:lang w:val="fr-FR"/>
        </w:rPr>
        <w:t xml:space="preserve"> Règlements n</w:t>
      </w:r>
      <w:r w:rsidRPr="00307347">
        <w:rPr>
          <w:b/>
          <w:bCs/>
          <w:szCs w:val="24"/>
          <w:vertAlign w:val="superscript"/>
          <w:lang w:val="fr-FR"/>
        </w:rPr>
        <w:t>os</w:t>
      </w:r>
      <w:r>
        <w:rPr>
          <w:b/>
          <w:bCs/>
          <w:szCs w:val="24"/>
          <w:lang w:val="fr-FR"/>
        </w:rPr>
        <w:t> </w:t>
      </w:r>
      <w:r w:rsidRPr="00307347">
        <w:rPr>
          <w:b/>
          <w:bCs/>
          <w:szCs w:val="24"/>
          <w:lang w:val="fr-FR"/>
        </w:rPr>
        <w:t>49 (Émissions</w:t>
      </w:r>
      <w:r>
        <w:rPr>
          <w:b/>
          <w:bCs/>
          <w:szCs w:val="24"/>
          <w:lang w:val="fr-FR"/>
        </w:rPr>
        <w:t xml:space="preserve"> </w:t>
      </w:r>
      <w:r>
        <w:rPr>
          <w:b/>
          <w:bCs/>
          <w:szCs w:val="24"/>
          <w:lang w:val="fr-FR"/>
        </w:rPr>
        <w:br/>
      </w:r>
      <w:r w:rsidRPr="00CE1536">
        <w:rPr>
          <w:b/>
          <w:bCs/>
          <w:spacing w:val="2"/>
          <w:szCs w:val="24"/>
          <w:lang w:val="fr-FR"/>
        </w:rPr>
        <w:t xml:space="preserve">des moteurs à allumage par compression et des moteurs </w:t>
      </w:r>
      <w:r w:rsidRPr="00CE1536">
        <w:rPr>
          <w:b/>
          <w:bCs/>
          <w:spacing w:val="2"/>
          <w:szCs w:val="24"/>
          <w:lang w:val="fr-FR"/>
        </w:rPr>
        <w:br/>
      </w:r>
      <w:r w:rsidRPr="00307347">
        <w:rPr>
          <w:b/>
          <w:bCs/>
          <w:szCs w:val="24"/>
          <w:lang w:val="fr-FR"/>
        </w:rPr>
        <w:t xml:space="preserve">à allumage commandé (GPL et GNC)) et 132 </w:t>
      </w:r>
      <w:r>
        <w:rPr>
          <w:b/>
          <w:bCs/>
          <w:szCs w:val="24"/>
          <w:lang w:val="fr-FR"/>
        </w:rPr>
        <w:br/>
      </w:r>
      <w:r w:rsidRPr="00307347">
        <w:rPr>
          <w:b/>
          <w:bCs/>
          <w:szCs w:val="24"/>
          <w:lang w:val="fr-FR"/>
        </w:rPr>
        <w:t>(Dispositifs</w:t>
      </w:r>
      <w:r>
        <w:rPr>
          <w:b/>
          <w:bCs/>
          <w:szCs w:val="24"/>
          <w:lang w:val="fr-FR"/>
        </w:rPr>
        <w:t xml:space="preserve"> </w:t>
      </w:r>
      <w:r w:rsidRPr="00307347">
        <w:rPr>
          <w:b/>
          <w:bCs/>
          <w:szCs w:val="24"/>
          <w:lang w:val="fr-FR"/>
        </w:rPr>
        <w:t>antipollution de mise à niveau)</w:t>
      </w:r>
    </w:p>
    <w:p w:rsidR="000C5264" w:rsidRPr="005D5DED" w:rsidRDefault="000C5264" w:rsidP="000C5264">
      <w:pPr>
        <w:pStyle w:val="HChG"/>
      </w:pPr>
      <w:r w:rsidRPr="00307347">
        <w:rPr>
          <w:lang w:val="fr-FR"/>
        </w:rPr>
        <w:tab/>
      </w:r>
      <w:r w:rsidRPr="00307347">
        <w:rPr>
          <w:lang w:val="fr-FR"/>
        </w:rPr>
        <w:tab/>
        <w:t xml:space="preserve">Proposition de complément </w:t>
      </w:r>
      <w:r>
        <w:rPr>
          <w:lang w:val="fr-FR"/>
        </w:rPr>
        <w:t>1 à la série 01</w:t>
      </w:r>
      <w:r w:rsidRPr="00307347">
        <w:rPr>
          <w:lang w:val="fr-FR"/>
        </w:rPr>
        <w:t xml:space="preserve"> d</w:t>
      </w:r>
      <w:r>
        <w:rPr>
          <w:lang w:val="fr-FR"/>
        </w:rPr>
        <w:t>’</w:t>
      </w:r>
      <w:r w:rsidR="00B47DB8">
        <w:rPr>
          <w:lang w:val="fr-FR"/>
        </w:rPr>
        <w:t>amendements</w:t>
      </w:r>
      <w:r w:rsidR="00B47DB8">
        <w:rPr>
          <w:lang w:val="fr-FR"/>
        </w:rPr>
        <w:br/>
      </w:r>
      <w:r w:rsidRPr="00307347">
        <w:rPr>
          <w:lang w:val="fr-FR"/>
        </w:rPr>
        <w:t xml:space="preserve">au Règlement </w:t>
      </w:r>
      <w:r w:rsidRPr="00CE1536">
        <w:rPr>
          <w:rFonts w:eastAsia="MS Mincho"/>
          <w:szCs w:val="22"/>
          <w:lang w:val="fr-FR"/>
        </w:rPr>
        <w:t>n</w:t>
      </w:r>
      <w:r w:rsidRPr="00CE1536">
        <w:rPr>
          <w:rFonts w:eastAsia="MS Mincho"/>
          <w:szCs w:val="22"/>
          <w:vertAlign w:val="superscript"/>
          <w:lang w:val="fr-FR"/>
        </w:rPr>
        <w:t>o</w:t>
      </w:r>
      <w:r>
        <w:rPr>
          <w:rFonts w:eastAsia="MS Mincho"/>
          <w:szCs w:val="22"/>
          <w:lang w:val="fr-FR"/>
        </w:rPr>
        <w:t> </w:t>
      </w:r>
      <w:r>
        <w:rPr>
          <w:lang w:val="fr-FR"/>
        </w:rPr>
        <w:t>132</w:t>
      </w:r>
      <w:r w:rsidRPr="00307347">
        <w:rPr>
          <w:lang w:val="fr-FR"/>
        </w:rPr>
        <w:t xml:space="preserve"> (</w:t>
      </w:r>
      <w:r w:rsidRPr="00307347">
        <w:rPr>
          <w:bCs/>
          <w:szCs w:val="24"/>
          <w:lang w:val="fr-FR"/>
        </w:rPr>
        <w:t>Dispositifs</w:t>
      </w:r>
      <w:r>
        <w:rPr>
          <w:bCs/>
          <w:szCs w:val="24"/>
          <w:lang w:val="fr-FR"/>
        </w:rPr>
        <w:t xml:space="preserve"> </w:t>
      </w:r>
      <w:r w:rsidR="00B47DB8">
        <w:rPr>
          <w:bCs/>
          <w:szCs w:val="24"/>
          <w:lang w:val="fr-FR"/>
        </w:rPr>
        <w:t>antipollution</w:t>
      </w:r>
      <w:r w:rsidR="00B47DB8">
        <w:rPr>
          <w:bCs/>
          <w:szCs w:val="24"/>
          <w:lang w:val="fr-FR"/>
        </w:rPr>
        <w:br/>
      </w:r>
      <w:r w:rsidRPr="00307347">
        <w:rPr>
          <w:bCs/>
          <w:szCs w:val="24"/>
          <w:lang w:val="fr-FR"/>
        </w:rPr>
        <w:t>de mise à niveau</w:t>
      </w:r>
      <w:r>
        <w:rPr>
          <w:bCs/>
          <w:szCs w:val="24"/>
          <w:lang w:val="fr-FR"/>
        </w:rPr>
        <w:t>)</w:t>
      </w:r>
    </w:p>
    <w:p w:rsidR="000C5264" w:rsidRPr="00307347" w:rsidRDefault="000C5264" w:rsidP="000C5264">
      <w:pPr>
        <w:pStyle w:val="H1G"/>
      </w:pPr>
      <w:r w:rsidRPr="00307347">
        <w:rPr>
          <w:lang w:val="fr-FR"/>
        </w:rPr>
        <w:tab/>
      </w:r>
      <w:r w:rsidRPr="00307347">
        <w:rPr>
          <w:lang w:val="fr-FR"/>
        </w:rPr>
        <w:tab/>
        <w:t>Communication de l</w:t>
      </w:r>
      <w:r>
        <w:rPr>
          <w:lang w:val="fr-FR"/>
        </w:rPr>
        <w:t>’</w:t>
      </w:r>
      <w:r w:rsidRPr="00307347">
        <w:rPr>
          <w:lang w:val="fr-FR"/>
        </w:rPr>
        <w:t xml:space="preserve">expert de </w:t>
      </w:r>
      <w:r>
        <w:rPr>
          <w:lang w:val="fr-FR"/>
        </w:rPr>
        <w:t>la Commission européenne</w:t>
      </w:r>
      <w:r w:rsidRPr="00CE1536">
        <w:rPr>
          <w:rStyle w:val="FootnoteReference"/>
          <w:b w:val="0"/>
          <w:sz w:val="20"/>
          <w:vertAlign w:val="baseline"/>
        </w:rPr>
        <w:footnoteReference w:customMarkFollows="1" w:id="2"/>
        <w:t>*</w:t>
      </w:r>
    </w:p>
    <w:p w:rsidR="000C5264" w:rsidRDefault="000C5264" w:rsidP="000C5264">
      <w:pPr>
        <w:pStyle w:val="SingleTxtG"/>
        <w:ind w:firstLine="567"/>
        <w:rPr>
          <w:lang w:val="fr-FR"/>
        </w:rPr>
      </w:pPr>
      <w:r w:rsidRPr="00307347">
        <w:rPr>
          <w:lang w:val="fr-FR"/>
        </w:rPr>
        <w:t>Le texte</w:t>
      </w:r>
      <w:r>
        <w:rPr>
          <w:lang w:val="fr-FR"/>
        </w:rPr>
        <w:t xml:space="preserve"> reproduit ci-dessous, qui a été</w:t>
      </w:r>
      <w:r w:rsidRPr="00307347">
        <w:rPr>
          <w:lang w:val="fr-FR"/>
        </w:rPr>
        <w:t xml:space="preserve"> </w:t>
      </w:r>
      <w:r>
        <w:rPr>
          <w:lang w:val="fr-FR"/>
        </w:rPr>
        <w:t>élaboré</w:t>
      </w:r>
      <w:r w:rsidRPr="00307347">
        <w:rPr>
          <w:lang w:val="fr-FR"/>
        </w:rPr>
        <w:t xml:space="preserve"> par l</w:t>
      </w:r>
      <w:r>
        <w:rPr>
          <w:lang w:val="fr-FR"/>
        </w:rPr>
        <w:t>’</w:t>
      </w:r>
      <w:r w:rsidRPr="00307347">
        <w:rPr>
          <w:lang w:val="fr-FR"/>
        </w:rPr>
        <w:t xml:space="preserve">expert </w:t>
      </w:r>
      <w:r>
        <w:rPr>
          <w:lang w:val="fr-FR"/>
        </w:rPr>
        <w:t xml:space="preserve">du Centre commun de recherche </w:t>
      </w:r>
      <w:r w:rsidRPr="00307347">
        <w:rPr>
          <w:lang w:val="fr-FR"/>
        </w:rPr>
        <w:t>de l</w:t>
      </w:r>
      <w:r>
        <w:rPr>
          <w:lang w:val="fr-FR"/>
        </w:rPr>
        <w:t>a Commission européenne,</w:t>
      </w:r>
      <w:r w:rsidRPr="00307347">
        <w:rPr>
          <w:lang w:val="fr-FR"/>
        </w:rPr>
        <w:t xml:space="preserve"> vise à </w:t>
      </w:r>
      <w:r>
        <w:rPr>
          <w:lang w:val="fr-FR"/>
        </w:rPr>
        <w:t xml:space="preserve">aligner les prescriptions du Règlement </w:t>
      </w:r>
      <w:r w:rsidRPr="000C5264">
        <w:rPr>
          <w:rFonts w:eastAsia="MS Mincho"/>
          <w:lang w:val="fr-FR"/>
        </w:rPr>
        <w:t>n</w:t>
      </w:r>
      <w:r w:rsidRPr="000C5264">
        <w:rPr>
          <w:rFonts w:eastAsia="MS Mincho"/>
          <w:vertAlign w:val="superscript"/>
          <w:lang w:val="fr-FR"/>
        </w:rPr>
        <w:t>o</w:t>
      </w:r>
      <w:r>
        <w:rPr>
          <w:lang w:val="fr-FR"/>
        </w:rPr>
        <w:t> 132 sur la série 0</w:t>
      </w:r>
      <w:r w:rsidR="00633BBC">
        <w:rPr>
          <w:lang w:val="fr-FR"/>
        </w:rPr>
        <w:t xml:space="preserve">5 d’amendements au Règlement </w:t>
      </w:r>
      <w:r w:rsidR="00633BBC" w:rsidRPr="00633BBC">
        <w:rPr>
          <w:rFonts w:eastAsia="MS Mincho"/>
          <w:lang w:val="fr-FR"/>
        </w:rPr>
        <w:t>n</w:t>
      </w:r>
      <w:r w:rsidR="00633BBC" w:rsidRPr="00633BBC">
        <w:rPr>
          <w:rFonts w:eastAsia="MS Mincho"/>
          <w:vertAlign w:val="superscript"/>
          <w:lang w:val="fr-FR"/>
        </w:rPr>
        <w:t>o</w:t>
      </w:r>
      <w:r w:rsidR="00633BBC">
        <w:rPr>
          <w:lang w:val="fr-FR"/>
        </w:rPr>
        <w:t> </w:t>
      </w:r>
      <w:r>
        <w:rPr>
          <w:lang w:val="fr-FR"/>
        </w:rPr>
        <w:t>96. Un premier projet de proposition (GRPE-76-13) avait été présenté à la soixante-seizième session du Groupe de travail de la pollution et de l’énergie (GRPE) (voir le rapport publié sous la cote ECE/TRANS/WP.29/ GRPE/76, par. 26).</w:t>
      </w:r>
      <w:r w:rsidRPr="00307347">
        <w:rPr>
          <w:lang w:val="fr-FR"/>
        </w:rPr>
        <w:t xml:space="preserve"> </w:t>
      </w:r>
      <w:r>
        <w:rPr>
          <w:lang w:val="fr-FR"/>
        </w:rPr>
        <w:t>Le texte est reproduit sous forme récapitulative</w:t>
      </w:r>
      <w:r w:rsidRPr="00307347">
        <w:rPr>
          <w:lang w:val="fr-FR"/>
        </w:rPr>
        <w:t>.</w:t>
      </w:r>
    </w:p>
    <w:p w:rsidR="000C5264" w:rsidRPr="00CE1536" w:rsidRDefault="000C5264" w:rsidP="008513AD">
      <w:pPr>
        <w:pStyle w:val="HChG"/>
      </w:pPr>
      <w:r>
        <w:rPr>
          <w:lang w:val="fr-FR"/>
        </w:rPr>
        <w:br w:type="page"/>
      </w:r>
      <w:r>
        <w:rPr>
          <w:lang w:val="fr-FR"/>
        </w:rPr>
        <w:lastRenderedPageBreak/>
        <w:tab/>
      </w:r>
      <w:r w:rsidRPr="00CE1536">
        <w:rPr>
          <w:lang w:val="fr-FR"/>
        </w:rPr>
        <w:t>I.</w:t>
      </w:r>
      <w:r w:rsidRPr="00CE1536">
        <w:rPr>
          <w:lang w:val="fr-FR"/>
        </w:rPr>
        <w:tab/>
        <w:t>Proposition</w:t>
      </w:r>
    </w:p>
    <w:p w:rsidR="000C5264" w:rsidRPr="00CE1536" w:rsidRDefault="000C5264" w:rsidP="00DB286C">
      <w:pPr>
        <w:pStyle w:val="SingleTxtG"/>
        <w:keepNext/>
      </w:pPr>
      <w:r w:rsidRPr="00CE1536">
        <w:rPr>
          <w:i/>
          <w:iCs/>
          <w:lang w:val="fr-FR"/>
        </w:rPr>
        <w:t xml:space="preserve">Paragraphe </w:t>
      </w:r>
      <w:r>
        <w:rPr>
          <w:i/>
          <w:iCs/>
          <w:lang w:val="fr-FR"/>
        </w:rPr>
        <w:t>3.13</w:t>
      </w:r>
      <w:r w:rsidRPr="00CE1536">
        <w:rPr>
          <w:lang w:val="fr-FR"/>
        </w:rPr>
        <w:t>, modifier comme suit</w:t>
      </w:r>
      <w:r>
        <w:rPr>
          <w:lang w:val="fr-FR"/>
        </w:rPr>
        <w:t> </w:t>
      </w:r>
      <w:r w:rsidRPr="00CE1536">
        <w:rPr>
          <w:lang w:val="fr-FR"/>
        </w:rPr>
        <w:t>:</w:t>
      </w:r>
    </w:p>
    <w:p w:rsidR="000C5264" w:rsidRDefault="000C5264" w:rsidP="008513AD">
      <w:pPr>
        <w:pStyle w:val="SingleTxtG"/>
        <w:rPr>
          <w:lang w:val="fr-FR"/>
        </w:rPr>
      </w:pPr>
      <w:r>
        <w:rPr>
          <w:lang w:val="fr-FR"/>
        </w:rPr>
        <w:t>« </w:t>
      </w:r>
      <w:r w:rsidRPr="00D01EC4">
        <w:rPr>
          <w:lang w:val="fr-FR"/>
        </w:rPr>
        <w:t>3.13</w:t>
      </w:r>
      <w:r w:rsidR="008513AD">
        <w:rPr>
          <w:lang w:val="fr-FR"/>
        </w:rPr>
        <w:tab/>
      </w:r>
      <w:r w:rsidR="008513AD">
        <w:rPr>
          <w:lang w:val="fr-FR"/>
        </w:rPr>
        <w:tab/>
        <w:t>“</w:t>
      </w:r>
      <w:r w:rsidRPr="00D01EC4">
        <w:rPr>
          <w:lang w:val="fr-FR"/>
        </w:rPr>
        <w:t>Système moteur</w:t>
      </w:r>
      <w:r w:rsidR="008513AD">
        <w:rPr>
          <w:lang w:val="fr-FR"/>
        </w:rPr>
        <w:t>”</w:t>
      </w:r>
    </w:p>
    <w:p w:rsidR="008513AD" w:rsidRDefault="008513AD" w:rsidP="008513AD">
      <w:pPr>
        <w:pStyle w:val="SingleTxtG"/>
        <w:ind w:left="2268"/>
        <w:rPr>
          <w:lang w:val="fr-FR"/>
        </w:rPr>
      </w:pPr>
      <w:r>
        <w:rPr>
          <w:b/>
          <w:lang w:val="fr-FR"/>
        </w:rPr>
        <w:t>a)</w:t>
      </w:r>
      <w:r>
        <w:rPr>
          <w:b/>
          <w:lang w:val="fr-FR"/>
        </w:rPr>
        <w:tab/>
      </w:r>
      <w:r w:rsidR="000C5264">
        <w:rPr>
          <w:b/>
          <w:lang w:val="fr-FR"/>
        </w:rPr>
        <w:t>Pour les véhicules définis au paragraphe 2.1</w:t>
      </w:r>
      <w:r w:rsidR="000C5264" w:rsidRPr="008C3D70">
        <w:rPr>
          <w:b/>
          <w:lang w:val="fr-FR"/>
        </w:rPr>
        <w:t>,</w:t>
      </w:r>
      <w:r w:rsidR="000C5264">
        <w:rPr>
          <w:b/>
          <w:lang w:val="fr-FR"/>
        </w:rPr>
        <w:t xml:space="preserve"> </w:t>
      </w:r>
      <w:r w:rsidR="000C5264" w:rsidRPr="00D01EC4">
        <w:rPr>
          <w:lang w:val="fr-FR"/>
        </w:rPr>
        <w:t>le moteur, le système antipollution et l</w:t>
      </w:r>
      <w:r w:rsidR="000C5264">
        <w:rPr>
          <w:lang w:val="fr-FR"/>
        </w:rPr>
        <w:t>’</w:t>
      </w:r>
      <w:r w:rsidR="000C5264" w:rsidRPr="00D01EC4">
        <w:rPr>
          <w:lang w:val="fr-FR"/>
        </w:rPr>
        <w:t>interface de communication (matériel et messages) entre le ou les modules électroniques de gestion du moteur et tout autre module de gestion du groupe motopropulseur ou du véhicule</w:t>
      </w:r>
      <w:r>
        <w:rPr>
          <w:lang w:val="fr-FR"/>
        </w:rPr>
        <w:t> </w:t>
      </w:r>
      <w:r w:rsidR="000C5264" w:rsidRPr="00D01EC4">
        <w:rPr>
          <w:lang w:val="fr-FR"/>
        </w:rPr>
        <w:t>;</w:t>
      </w:r>
    </w:p>
    <w:p w:rsidR="000C5264" w:rsidRDefault="000C5264" w:rsidP="008513AD">
      <w:pPr>
        <w:pStyle w:val="SingleTxtG"/>
        <w:ind w:left="2268"/>
        <w:rPr>
          <w:i/>
          <w:iCs/>
          <w:lang w:val="fr-FR"/>
        </w:rPr>
      </w:pPr>
      <w:r>
        <w:rPr>
          <w:b/>
          <w:lang w:val="fr-FR"/>
        </w:rPr>
        <w:t>b)</w:t>
      </w:r>
      <w:r w:rsidR="008513AD">
        <w:rPr>
          <w:b/>
          <w:lang w:val="fr-FR"/>
        </w:rPr>
        <w:tab/>
      </w:r>
      <w:r>
        <w:rPr>
          <w:b/>
          <w:lang w:val="fr-FR"/>
        </w:rPr>
        <w:t xml:space="preserve">Pour les </w:t>
      </w:r>
      <w:r w:rsidR="00AD32E8">
        <w:rPr>
          <w:b/>
          <w:lang w:val="fr-FR"/>
        </w:rPr>
        <w:t>moteurs définis aux paragraphes </w:t>
      </w:r>
      <w:r>
        <w:rPr>
          <w:b/>
          <w:lang w:val="fr-FR"/>
        </w:rPr>
        <w:t xml:space="preserve">2.2 à 2.4, un convertisseur d’énergie, autre qu’une turbine à gaz, conçu pour transformer une énergie chimique en énergie mécanique dans un moteur à combustion interne ; le système moteur comprend, lorsqu’ils ont été installés, le système anti-pollution et l’interface de communication </w:t>
      </w:r>
      <w:r w:rsidRPr="00C14F48">
        <w:rPr>
          <w:b/>
          <w:lang w:val="fr-FR"/>
        </w:rPr>
        <w:t>(matériel et messages) entre le ou les modules électroniques de gestion du moteur</w:t>
      </w:r>
      <w:r>
        <w:rPr>
          <w:b/>
          <w:lang w:val="fr-FR"/>
        </w:rPr>
        <w:t xml:space="preserve"> et tout autre module de gestion du groupe motopropulseur, d’un véhicule de la catégorie T ou d’un engin mobile non routier. </w:t>
      </w:r>
      <w:r w:rsidRPr="008513AD">
        <w:rPr>
          <w:lang w:val="fr-FR"/>
        </w:rPr>
        <w:t>».</w:t>
      </w:r>
    </w:p>
    <w:p w:rsidR="000C5264" w:rsidRPr="00CE1536" w:rsidRDefault="000C5264" w:rsidP="00DB286C">
      <w:pPr>
        <w:pStyle w:val="SingleTxtG"/>
        <w:keepNext/>
      </w:pPr>
      <w:r w:rsidRPr="00CE1536">
        <w:rPr>
          <w:i/>
          <w:iCs/>
          <w:lang w:val="fr-FR"/>
        </w:rPr>
        <w:t xml:space="preserve">Paragraphe </w:t>
      </w:r>
      <w:r>
        <w:rPr>
          <w:i/>
          <w:iCs/>
          <w:lang w:val="fr-FR"/>
        </w:rPr>
        <w:t>3.31</w:t>
      </w:r>
      <w:r w:rsidRPr="00CE1536">
        <w:rPr>
          <w:lang w:val="fr-FR"/>
        </w:rPr>
        <w:t>, modifier comme suit</w:t>
      </w:r>
      <w:r>
        <w:rPr>
          <w:lang w:val="fr-FR"/>
        </w:rPr>
        <w:t> </w:t>
      </w:r>
      <w:r w:rsidRPr="00CE1536">
        <w:rPr>
          <w:lang w:val="fr-FR"/>
        </w:rPr>
        <w:t>:</w:t>
      </w:r>
    </w:p>
    <w:p w:rsidR="000C5264" w:rsidRDefault="000C5264" w:rsidP="008513AD">
      <w:pPr>
        <w:pStyle w:val="SingleTxtG"/>
        <w:ind w:left="2268" w:hanging="1134"/>
        <w:rPr>
          <w:b/>
          <w:lang w:val="fr-FR"/>
        </w:rPr>
      </w:pPr>
      <w:r>
        <w:rPr>
          <w:lang w:val="fr-FR"/>
        </w:rPr>
        <w:t>« </w:t>
      </w:r>
      <w:r w:rsidRPr="00D01EC4">
        <w:rPr>
          <w:lang w:val="fr-FR"/>
        </w:rPr>
        <w:t>3.31</w:t>
      </w:r>
      <w:r w:rsidR="008513AD">
        <w:rPr>
          <w:lang w:val="fr-FR"/>
        </w:rPr>
        <w:tab/>
      </w:r>
      <w:r w:rsidR="008513AD">
        <w:rPr>
          <w:lang w:val="fr-FR"/>
        </w:rPr>
        <w:tab/>
        <w:t>“</w:t>
      </w:r>
      <w:r w:rsidRPr="00D01EC4">
        <w:rPr>
          <w:i/>
          <w:lang w:val="fr-FR"/>
        </w:rPr>
        <w:t>Nombre de</w:t>
      </w:r>
      <w:r w:rsidRPr="00D01EC4">
        <w:rPr>
          <w:lang w:val="fr-FR"/>
        </w:rPr>
        <w:t xml:space="preserve"> </w:t>
      </w:r>
      <w:r w:rsidRPr="00D01EC4">
        <w:rPr>
          <w:i/>
          <w:szCs w:val="16"/>
          <w:lang w:val="fr-FR"/>
        </w:rPr>
        <w:t>particules</w:t>
      </w:r>
      <w:r w:rsidR="008513AD">
        <w:rPr>
          <w:i/>
          <w:szCs w:val="16"/>
          <w:lang w:val="fr-FR"/>
        </w:rPr>
        <w:t>”</w:t>
      </w:r>
      <w:r w:rsidRPr="00D01EC4">
        <w:rPr>
          <w:lang w:val="fr-FR"/>
        </w:rPr>
        <w:t xml:space="preserve">, le nombre de </w:t>
      </w:r>
      <w:r>
        <w:rPr>
          <w:szCs w:val="16"/>
          <w:lang w:val="fr-FR"/>
        </w:rPr>
        <w:t>particules</w:t>
      </w:r>
      <w:r w:rsidRPr="00D01EC4">
        <w:rPr>
          <w:szCs w:val="16"/>
          <w:lang w:val="fr-FR"/>
        </w:rPr>
        <w:t xml:space="preserve"> tel qu</w:t>
      </w:r>
      <w:r>
        <w:rPr>
          <w:szCs w:val="16"/>
          <w:lang w:val="fr-FR"/>
        </w:rPr>
        <w:t>’</w:t>
      </w:r>
      <w:r w:rsidRPr="00D01EC4">
        <w:rPr>
          <w:szCs w:val="16"/>
          <w:lang w:val="fr-FR"/>
        </w:rPr>
        <w:t xml:space="preserve">il est défini dans </w:t>
      </w:r>
      <w:r w:rsidRPr="00D01EC4">
        <w:rPr>
          <w:lang w:val="fr-FR"/>
        </w:rPr>
        <w:t>les</w:t>
      </w:r>
      <w:r>
        <w:rPr>
          <w:lang w:val="fr-FR"/>
        </w:rPr>
        <w:t xml:space="preserve"> </w:t>
      </w:r>
      <w:r w:rsidRPr="00D01EC4">
        <w:rPr>
          <w:lang w:val="fr-FR"/>
        </w:rPr>
        <w:t>séries d</w:t>
      </w:r>
      <w:r>
        <w:rPr>
          <w:lang w:val="fr-FR"/>
        </w:rPr>
        <w:t xml:space="preserve">’amendements pertinentes </w:t>
      </w:r>
      <w:r w:rsidRPr="00AF4C7D">
        <w:rPr>
          <w:b/>
          <w:lang w:val="fr-FR"/>
        </w:rPr>
        <w:t>des</w:t>
      </w:r>
      <w:r w:rsidRPr="00D01EC4">
        <w:rPr>
          <w:lang w:val="fr-FR"/>
        </w:rPr>
        <w:t xml:space="preserve"> Règlement</w:t>
      </w:r>
      <w:r>
        <w:rPr>
          <w:lang w:val="fr-FR"/>
        </w:rPr>
        <w:t>s</w:t>
      </w:r>
      <w:r w:rsidRPr="00D01EC4">
        <w:rPr>
          <w:lang w:val="fr-FR"/>
        </w:rPr>
        <w:t xml:space="preserve"> n</w:t>
      </w:r>
      <w:r w:rsidRPr="00D01EC4">
        <w:rPr>
          <w:vertAlign w:val="superscript"/>
          <w:lang w:val="fr-FR"/>
        </w:rPr>
        <w:t>o</w:t>
      </w:r>
      <w:r w:rsidR="008513AD">
        <w:rPr>
          <w:vertAlign w:val="superscript"/>
          <w:lang w:val="fr-FR"/>
        </w:rPr>
        <w:t>s</w:t>
      </w:r>
      <w:r w:rsidRPr="00D01EC4">
        <w:rPr>
          <w:lang w:val="fr-FR"/>
        </w:rPr>
        <w:t> </w:t>
      </w:r>
      <w:r>
        <w:rPr>
          <w:lang w:val="fr-FR"/>
        </w:rPr>
        <w:t xml:space="preserve">49 </w:t>
      </w:r>
      <w:r>
        <w:rPr>
          <w:b/>
          <w:lang w:val="fr-FR"/>
        </w:rPr>
        <w:t>et 96. </w:t>
      </w:r>
      <w:r w:rsidRPr="003E3805">
        <w:rPr>
          <w:lang w:val="fr-FR"/>
        </w:rPr>
        <w:t>».</w:t>
      </w:r>
    </w:p>
    <w:p w:rsidR="000C5264" w:rsidRDefault="000C5264" w:rsidP="00DB286C">
      <w:pPr>
        <w:pStyle w:val="SingleTxtG"/>
        <w:keepNext/>
        <w:rPr>
          <w:i/>
          <w:lang w:val="fr-FR"/>
        </w:rPr>
      </w:pPr>
      <w:r w:rsidRPr="00AF4C7D">
        <w:rPr>
          <w:i/>
          <w:lang w:val="fr-FR"/>
        </w:rPr>
        <w:t>Paragraphe 5.4</w:t>
      </w:r>
      <w:r w:rsidRPr="008513AD">
        <w:rPr>
          <w:lang w:val="fr-FR"/>
        </w:rPr>
        <w:t>,</w:t>
      </w:r>
      <w:r w:rsidRPr="00AF4C7D">
        <w:rPr>
          <w:i/>
          <w:lang w:val="fr-FR"/>
        </w:rPr>
        <w:t xml:space="preserve"> </w:t>
      </w:r>
      <w:r w:rsidRPr="00AF4C7D">
        <w:rPr>
          <w:lang w:val="fr-FR"/>
        </w:rPr>
        <w:t>modifier comme suit </w:t>
      </w:r>
      <w:r w:rsidRPr="00EB13E4">
        <w:rPr>
          <w:lang w:val="fr-FR"/>
        </w:rPr>
        <w:t>:</w:t>
      </w:r>
    </w:p>
    <w:p w:rsidR="000C5264" w:rsidRDefault="000C5264" w:rsidP="008513AD">
      <w:pPr>
        <w:pStyle w:val="SingleTxtG"/>
        <w:ind w:left="2268" w:hanging="1134"/>
        <w:rPr>
          <w:lang w:val="fr-FR"/>
        </w:rPr>
      </w:pPr>
      <w:r>
        <w:rPr>
          <w:lang w:val="fr-FR"/>
        </w:rPr>
        <w:t>« </w:t>
      </w:r>
      <w:r w:rsidRPr="00D01EC4">
        <w:rPr>
          <w:lang w:val="fr-FR"/>
        </w:rPr>
        <w:t>5.4</w:t>
      </w:r>
      <w:r w:rsidRPr="00D01EC4">
        <w:rPr>
          <w:lang w:val="fr-FR"/>
        </w:rPr>
        <w:tab/>
        <w:t>L</w:t>
      </w:r>
      <w:r w:rsidRPr="00D01EC4">
        <w:rPr>
          <w:szCs w:val="24"/>
          <w:lang w:val="fr-FR" w:eastAsia="fr-FR"/>
        </w:rPr>
        <w:t xml:space="preserve">es échantillons du </w:t>
      </w:r>
      <w:r w:rsidRPr="00D01EC4">
        <w:rPr>
          <w:lang w:val="fr-FR"/>
        </w:rPr>
        <w:t xml:space="preserve">DAM </w:t>
      </w:r>
      <w:r w:rsidRPr="00D01EC4">
        <w:rPr>
          <w:szCs w:val="24"/>
          <w:lang w:val="fr-FR" w:eastAsia="fr-FR"/>
        </w:rPr>
        <w:t>présentés pour les essais d</w:t>
      </w:r>
      <w:r>
        <w:rPr>
          <w:szCs w:val="24"/>
          <w:lang w:val="fr-FR" w:eastAsia="fr-FR"/>
        </w:rPr>
        <w:t>’</w:t>
      </w:r>
      <w:r w:rsidRPr="00D01EC4">
        <w:rPr>
          <w:szCs w:val="24"/>
          <w:lang w:val="fr-FR" w:eastAsia="fr-FR"/>
        </w:rPr>
        <w:t xml:space="preserve">homologation doivent être clairement </w:t>
      </w:r>
      <w:r w:rsidRPr="00D01EC4">
        <w:rPr>
          <w:lang w:val="fr-FR"/>
        </w:rPr>
        <w:t>identifiés avec au moins le nom du demandeur et la référence de la demande</w:t>
      </w:r>
      <w:r>
        <w:rPr>
          <w:lang w:val="fr-FR"/>
        </w:rPr>
        <w:t xml:space="preserve"> </w:t>
      </w:r>
      <w:r>
        <w:rPr>
          <w:b/>
          <w:lang w:val="fr-FR"/>
        </w:rPr>
        <w:t>d’homologation de type</w:t>
      </w:r>
      <w:r w:rsidRPr="00D01EC4">
        <w:rPr>
          <w:lang w:val="fr-FR"/>
        </w:rPr>
        <w:t>.</w:t>
      </w:r>
      <w:r>
        <w:rPr>
          <w:b/>
          <w:lang w:val="fr-FR"/>
        </w:rPr>
        <w:t> </w:t>
      </w:r>
      <w:r w:rsidRPr="003E3805">
        <w:rPr>
          <w:lang w:val="fr-FR"/>
        </w:rPr>
        <w:t>».</w:t>
      </w:r>
    </w:p>
    <w:p w:rsidR="000C5264" w:rsidRDefault="000C5264" w:rsidP="00DB286C">
      <w:pPr>
        <w:pStyle w:val="SingleTxtG"/>
        <w:keepNext/>
        <w:rPr>
          <w:i/>
          <w:lang w:val="fr-FR"/>
        </w:rPr>
      </w:pPr>
      <w:r w:rsidRPr="00AF4C7D">
        <w:rPr>
          <w:i/>
          <w:lang w:val="fr-FR"/>
        </w:rPr>
        <w:t xml:space="preserve">Paragraphe </w:t>
      </w:r>
      <w:r>
        <w:rPr>
          <w:i/>
          <w:lang w:val="fr-FR"/>
        </w:rPr>
        <w:t>7.5.1</w:t>
      </w:r>
      <w:r w:rsidRPr="008513AD">
        <w:rPr>
          <w:lang w:val="fr-FR"/>
        </w:rPr>
        <w:t>,</w:t>
      </w:r>
      <w:r w:rsidRPr="00AF4C7D">
        <w:rPr>
          <w:i/>
          <w:lang w:val="fr-FR"/>
        </w:rPr>
        <w:t xml:space="preserve"> </w:t>
      </w:r>
      <w:r w:rsidRPr="00AF4C7D">
        <w:rPr>
          <w:lang w:val="fr-FR"/>
        </w:rPr>
        <w:t>modifier comme suit </w:t>
      </w:r>
      <w:r w:rsidRPr="00EB13E4">
        <w:rPr>
          <w:lang w:val="fr-FR"/>
        </w:rPr>
        <w:t>:</w:t>
      </w:r>
    </w:p>
    <w:p w:rsidR="000C5264" w:rsidRDefault="000C5264" w:rsidP="00DB7E9A">
      <w:pPr>
        <w:pStyle w:val="SingleTxtG"/>
        <w:ind w:left="2268" w:hanging="1134"/>
        <w:rPr>
          <w:spacing w:val="-2"/>
          <w:lang w:val="fr-FR"/>
        </w:rPr>
      </w:pPr>
      <w:r w:rsidRPr="00DB7E9A">
        <w:rPr>
          <w:lang w:val="fr-FR"/>
        </w:rPr>
        <w:t>«</w:t>
      </w:r>
      <w:r>
        <w:rPr>
          <w:i/>
          <w:lang w:val="fr-FR"/>
        </w:rPr>
        <w:t> </w:t>
      </w:r>
      <w:r w:rsidRPr="00D01EC4">
        <w:rPr>
          <w:spacing w:val="-2"/>
          <w:lang w:val="fr-FR"/>
        </w:rPr>
        <w:t>7.5.1</w:t>
      </w:r>
      <w:r w:rsidRPr="00D01EC4">
        <w:rPr>
          <w:spacing w:val="-2"/>
          <w:lang w:val="fr-FR"/>
        </w:rPr>
        <w:tab/>
        <w:t>Tout DAM de réduction des émissions de particules doit être pourvu d</w:t>
      </w:r>
      <w:r>
        <w:rPr>
          <w:spacing w:val="-2"/>
          <w:lang w:val="fr-FR"/>
        </w:rPr>
        <w:t>’</w:t>
      </w:r>
      <w:r w:rsidRPr="00D01EC4">
        <w:rPr>
          <w:spacing w:val="-2"/>
          <w:lang w:val="fr-FR"/>
        </w:rPr>
        <w:t>un dispositif de surveillance qui détecte un fonctionnement incorrect ou la suppression du DAM et qui active une alerte sonore et/ou visuelle à l</w:t>
      </w:r>
      <w:r>
        <w:rPr>
          <w:spacing w:val="-2"/>
          <w:lang w:val="fr-FR"/>
        </w:rPr>
        <w:t>’</w:t>
      </w:r>
      <w:r w:rsidRPr="00D01EC4">
        <w:rPr>
          <w:spacing w:val="-2"/>
          <w:lang w:val="fr-FR"/>
        </w:rPr>
        <w:t>intention du conducteur. Dans le cas des DAM de réduction de particules utilisant un réactif, le dispositif de surveillance</w:t>
      </w:r>
      <w:r>
        <w:rPr>
          <w:spacing w:val="-2"/>
          <w:lang w:val="fr-FR"/>
        </w:rPr>
        <w:t xml:space="preserve"> </w:t>
      </w:r>
      <w:r w:rsidRPr="00963265">
        <w:rPr>
          <w:b/>
          <w:spacing w:val="-2"/>
          <w:lang w:val="fr-FR"/>
        </w:rPr>
        <w:t>doit être capable de détecter</w:t>
      </w:r>
      <w:r>
        <w:rPr>
          <w:strike/>
          <w:spacing w:val="-2"/>
          <w:lang w:val="fr-FR"/>
        </w:rPr>
        <w:t xml:space="preserve"> </w:t>
      </w:r>
      <w:r w:rsidRPr="00963265">
        <w:rPr>
          <w:b/>
          <w:spacing w:val="-2"/>
          <w:lang w:val="fr-FR"/>
        </w:rPr>
        <w:t>l’interruption de</w:t>
      </w:r>
      <w:r w:rsidRPr="00963265">
        <w:rPr>
          <w:strike/>
          <w:spacing w:val="-2"/>
          <w:lang w:val="fr-FR"/>
        </w:rPr>
        <w:t xml:space="preserve"> </w:t>
      </w:r>
      <w:r w:rsidRPr="00017723">
        <w:rPr>
          <w:strike/>
          <w:spacing w:val="-2"/>
          <w:lang w:val="fr-FR"/>
        </w:rPr>
        <w:t>peut interrompre</w:t>
      </w:r>
      <w:r w:rsidRPr="00D01EC4">
        <w:rPr>
          <w:spacing w:val="-2"/>
          <w:lang w:val="fr-FR"/>
        </w:rPr>
        <w:t xml:space="preserve"> l</w:t>
      </w:r>
      <w:r>
        <w:rPr>
          <w:spacing w:val="-2"/>
          <w:lang w:val="fr-FR"/>
        </w:rPr>
        <w:t>’</w:t>
      </w:r>
      <w:r w:rsidRPr="00D01EC4">
        <w:rPr>
          <w:spacing w:val="-2"/>
          <w:lang w:val="fr-FR"/>
        </w:rPr>
        <w:t>arrivée de réactif ou d</w:t>
      </w:r>
      <w:r>
        <w:rPr>
          <w:spacing w:val="-2"/>
          <w:lang w:val="fr-FR"/>
        </w:rPr>
        <w:t>’</w:t>
      </w:r>
      <w:r w:rsidRPr="00D01EC4">
        <w:rPr>
          <w:spacing w:val="-2"/>
          <w:lang w:val="fr-FR"/>
        </w:rPr>
        <w:t xml:space="preserve">additif </w:t>
      </w:r>
      <w:r w:rsidRPr="00017723">
        <w:rPr>
          <w:strike/>
          <w:spacing w:val="-2"/>
          <w:lang w:val="fr-FR"/>
        </w:rPr>
        <w:t>si nécessaire</w:t>
      </w:r>
      <w:r w:rsidRPr="00D01EC4">
        <w:rPr>
          <w:spacing w:val="-2"/>
          <w:lang w:val="fr-FR"/>
        </w:rPr>
        <w:t>. Le système d</w:t>
      </w:r>
      <w:r>
        <w:rPr>
          <w:spacing w:val="-2"/>
          <w:lang w:val="fr-FR"/>
        </w:rPr>
        <w:t>’</w:t>
      </w:r>
      <w:r w:rsidRPr="00D01EC4">
        <w:rPr>
          <w:spacing w:val="-2"/>
          <w:lang w:val="fr-FR"/>
        </w:rPr>
        <w:t xml:space="preserve">alerte peut être basé sur </w:t>
      </w:r>
      <w:r>
        <w:rPr>
          <w:spacing w:val="-2"/>
          <w:lang w:val="fr-FR"/>
        </w:rPr>
        <w:t>la mesure continue de la contre</w:t>
      </w:r>
      <w:r w:rsidRPr="00D01EC4">
        <w:rPr>
          <w:spacing w:val="-2"/>
          <w:lang w:val="fr-FR"/>
        </w:rPr>
        <w:t>pression d</w:t>
      </w:r>
      <w:r>
        <w:rPr>
          <w:spacing w:val="-2"/>
          <w:lang w:val="fr-FR"/>
        </w:rPr>
        <w:t>’</w:t>
      </w:r>
      <w:r w:rsidRPr="00D01EC4">
        <w:rPr>
          <w:spacing w:val="-2"/>
          <w:lang w:val="fr-FR"/>
        </w:rPr>
        <w:t>échappement du</w:t>
      </w:r>
      <w:r>
        <w:rPr>
          <w:spacing w:val="-2"/>
          <w:lang w:val="fr-FR"/>
        </w:rPr>
        <w:t xml:space="preserve"> </w:t>
      </w:r>
      <w:r w:rsidRPr="00D01EC4">
        <w:rPr>
          <w:spacing w:val="-2"/>
          <w:lang w:val="fr-FR"/>
        </w:rPr>
        <w:t>moteur</w:t>
      </w:r>
      <w:r>
        <w:rPr>
          <w:spacing w:val="-2"/>
          <w:lang w:val="fr-FR"/>
        </w:rPr>
        <w:t>, par exemple</w:t>
      </w:r>
      <w:r w:rsidRPr="00D01EC4">
        <w:rPr>
          <w:spacing w:val="-2"/>
          <w:lang w:val="fr-FR"/>
        </w:rPr>
        <w:t>.</w:t>
      </w:r>
      <w:r>
        <w:rPr>
          <w:spacing w:val="-2"/>
          <w:lang w:val="fr-FR"/>
        </w:rPr>
        <w:t> ».</w:t>
      </w:r>
    </w:p>
    <w:p w:rsidR="000C5264" w:rsidRDefault="000C5264" w:rsidP="00DB286C">
      <w:pPr>
        <w:pStyle w:val="SingleTxtG"/>
        <w:keepNext/>
        <w:rPr>
          <w:i/>
          <w:lang w:val="fr-FR"/>
        </w:rPr>
      </w:pPr>
      <w:r w:rsidRPr="00AF4C7D">
        <w:rPr>
          <w:i/>
          <w:lang w:val="fr-FR"/>
        </w:rPr>
        <w:t xml:space="preserve">Paragraphe </w:t>
      </w:r>
      <w:r>
        <w:rPr>
          <w:i/>
          <w:lang w:val="fr-FR"/>
        </w:rPr>
        <w:t>7.9</w:t>
      </w:r>
      <w:r w:rsidRPr="00DB7E9A">
        <w:rPr>
          <w:lang w:val="fr-FR"/>
        </w:rPr>
        <w:t>,</w:t>
      </w:r>
      <w:r w:rsidRPr="00AF4C7D">
        <w:rPr>
          <w:i/>
          <w:lang w:val="fr-FR"/>
        </w:rPr>
        <w:t xml:space="preserve"> </w:t>
      </w:r>
      <w:r w:rsidRPr="00AF4C7D">
        <w:rPr>
          <w:lang w:val="fr-FR"/>
        </w:rPr>
        <w:t>modifier comme suit </w:t>
      </w:r>
      <w:r w:rsidRPr="00EB13E4">
        <w:rPr>
          <w:lang w:val="fr-FR"/>
        </w:rPr>
        <w:t>:</w:t>
      </w:r>
    </w:p>
    <w:p w:rsidR="000C5264" w:rsidRDefault="000C5264" w:rsidP="00DB7E9A">
      <w:pPr>
        <w:pStyle w:val="SingleTxtG"/>
        <w:ind w:left="2268" w:hanging="1134"/>
        <w:rPr>
          <w:lang w:val="fr-FR"/>
        </w:rPr>
      </w:pPr>
      <w:r w:rsidRPr="00DB7E9A">
        <w:rPr>
          <w:lang w:val="fr-FR"/>
        </w:rPr>
        <w:t>«</w:t>
      </w:r>
      <w:r>
        <w:rPr>
          <w:i/>
          <w:lang w:val="fr-FR"/>
        </w:rPr>
        <w:t> </w:t>
      </w:r>
      <w:r w:rsidRPr="00D01EC4">
        <w:rPr>
          <w:lang w:val="fr-FR"/>
        </w:rPr>
        <w:t>7.9</w:t>
      </w:r>
      <w:r w:rsidRPr="00D01EC4">
        <w:rPr>
          <w:lang w:val="fr-FR"/>
        </w:rPr>
        <w:tab/>
        <w:t>L</w:t>
      </w:r>
      <w:r>
        <w:rPr>
          <w:lang w:val="fr-FR"/>
        </w:rPr>
        <w:t>’</w:t>
      </w:r>
      <w:r w:rsidRPr="00D01EC4">
        <w:rPr>
          <w:lang w:val="fr-FR"/>
        </w:rPr>
        <w:t>homologation ne doit être délivrée que si</w:t>
      </w:r>
      <w:r>
        <w:rPr>
          <w:lang w:val="fr-FR"/>
        </w:rPr>
        <w:t xml:space="preserve"> </w:t>
      </w:r>
      <w:r>
        <w:rPr>
          <w:b/>
          <w:lang w:val="fr-FR"/>
        </w:rPr>
        <w:t>le fabricant fournit</w:t>
      </w:r>
      <w:r w:rsidRPr="00D01EC4">
        <w:rPr>
          <w:lang w:val="fr-FR"/>
        </w:rPr>
        <w:t xml:space="preserve"> </w:t>
      </w:r>
      <w:r w:rsidRPr="00963265">
        <w:rPr>
          <w:strike/>
          <w:lang w:val="fr-FR"/>
        </w:rPr>
        <w:t>les conditions énoncées dans les alinéas ci-après sont remplies</w:t>
      </w:r>
      <w:r w:rsidR="00DB7E9A">
        <w:rPr>
          <w:strike/>
          <w:lang w:val="fr-FR"/>
        </w:rPr>
        <w:t> </w:t>
      </w:r>
      <w:r w:rsidR="00DB7E9A">
        <w:rPr>
          <w:lang w:val="fr-FR"/>
        </w:rPr>
        <w:t>:</w:t>
      </w:r>
    </w:p>
    <w:p w:rsidR="000C5264" w:rsidRPr="00D01EC4" w:rsidRDefault="000C5264" w:rsidP="00DB7E9A">
      <w:pPr>
        <w:pStyle w:val="SingleTxtG"/>
        <w:ind w:left="2268"/>
        <w:rPr>
          <w:lang w:val="fr-FR"/>
        </w:rPr>
      </w:pPr>
      <w:r w:rsidRPr="00963265">
        <w:rPr>
          <w:strike/>
          <w:lang w:val="fr-FR"/>
        </w:rPr>
        <w:t>7.9.1</w:t>
      </w:r>
      <w:r w:rsidRPr="00D01EC4">
        <w:rPr>
          <w:lang w:val="fr-FR"/>
        </w:rPr>
        <w:tab/>
      </w:r>
      <w:r>
        <w:rPr>
          <w:b/>
          <w:lang w:val="fr-FR"/>
        </w:rPr>
        <w:t>a)</w:t>
      </w:r>
      <w:r>
        <w:rPr>
          <w:b/>
          <w:lang w:val="fr-FR"/>
        </w:rPr>
        <w:tab/>
      </w:r>
      <w:r w:rsidRPr="00963265">
        <w:rPr>
          <w:strike/>
          <w:lang w:val="fr-FR"/>
        </w:rPr>
        <w:t>Le fabricant doit fournir</w:t>
      </w:r>
      <w:r w:rsidRPr="00D01EC4">
        <w:rPr>
          <w:lang w:val="fr-FR"/>
        </w:rPr>
        <w:t xml:space="preserve"> des instructions écrites d</w:t>
      </w:r>
      <w:r>
        <w:rPr>
          <w:lang w:val="fr-FR"/>
        </w:rPr>
        <w:t>’</w:t>
      </w:r>
      <w:r w:rsidRPr="00D01EC4">
        <w:rPr>
          <w:lang w:val="fr-FR"/>
        </w:rPr>
        <w:t>entretien qui doivent être transmises par l</w:t>
      </w:r>
      <w:r>
        <w:rPr>
          <w:lang w:val="fr-FR"/>
        </w:rPr>
        <w:t>’</w:t>
      </w:r>
      <w:r w:rsidRPr="00D01EC4">
        <w:rPr>
          <w:lang w:val="fr-FR"/>
        </w:rPr>
        <w:t>installateur au conducteur ou à l</w:t>
      </w:r>
      <w:r>
        <w:rPr>
          <w:lang w:val="fr-FR"/>
        </w:rPr>
        <w:t>’</w:t>
      </w:r>
      <w:r w:rsidRPr="00D01EC4">
        <w:rPr>
          <w:lang w:val="fr-FR"/>
        </w:rPr>
        <w:t>opérateur.</w:t>
      </w:r>
    </w:p>
    <w:p w:rsidR="000C5264" w:rsidRPr="00D01EC4" w:rsidRDefault="000C5264" w:rsidP="00DB7E9A">
      <w:pPr>
        <w:pStyle w:val="SingleTxtG"/>
        <w:ind w:left="2268"/>
        <w:rPr>
          <w:lang w:val="fr-FR"/>
        </w:rPr>
      </w:pPr>
      <w:r w:rsidRPr="00963265">
        <w:rPr>
          <w:strike/>
          <w:lang w:val="fr-FR"/>
        </w:rPr>
        <w:t>7.9.2</w:t>
      </w:r>
      <w:r w:rsidRPr="00D01EC4">
        <w:rPr>
          <w:lang w:val="fr-FR"/>
        </w:rPr>
        <w:tab/>
      </w:r>
      <w:r>
        <w:rPr>
          <w:b/>
          <w:lang w:val="fr-FR"/>
        </w:rPr>
        <w:t xml:space="preserve">b) </w:t>
      </w:r>
      <w:r>
        <w:rPr>
          <w:b/>
          <w:lang w:val="fr-FR"/>
        </w:rPr>
        <w:tab/>
      </w:r>
      <w:r w:rsidRPr="00963265">
        <w:rPr>
          <w:strike/>
          <w:lang w:val="fr-FR"/>
        </w:rPr>
        <w:t>Le fabricant doit fournir</w:t>
      </w:r>
      <w:r w:rsidRPr="00D01EC4">
        <w:rPr>
          <w:lang w:val="fr-FR"/>
        </w:rPr>
        <w:t xml:space="preserve"> des documents sur l</w:t>
      </w:r>
      <w:r>
        <w:rPr>
          <w:lang w:val="fr-FR"/>
        </w:rPr>
        <w:t>’</w:t>
      </w:r>
      <w:r w:rsidRPr="00D01EC4">
        <w:rPr>
          <w:lang w:val="fr-FR"/>
        </w:rPr>
        <w:t>installation du DAM sur le</w:t>
      </w:r>
      <w:r>
        <w:rPr>
          <w:lang w:val="fr-FR"/>
        </w:rPr>
        <w:t xml:space="preserve"> </w:t>
      </w:r>
      <w:r w:rsidRPr="00D01EC4">
        <w:rPr>
          <w:lang w:val="fr-FR"/>
        </w:rPr>
        <w:t xml:space="preserve">véhicule ou </w:t>
      </w:r>
      <w:r>
        <w:rPr>
          <w:lang w:val="fr-FR"/>
        </w:rPr>
        <w:t>l’engin</w:t>
      </w:r>
      <w:r w:rsidRPr="00D01EC4">
        <w:rPr>
          <w:lang w:val="fr-FR"/>
        </w:rPr>
        <w:t>.</w:t>
      </w:r>
    </w:p>
    <w:p w:rsidR="000C5264" w:rsidRPr="00D01EC4" w:rsidRDefault="000C5264" w:rsidP="00DB7E9A">
      <w:pPr>
        <w:pStyle w:val="SingleTxtG"/>
        <w:ind w:left="2268"/>
        <w:rPr>
          <w:lang w:val="fr-FR"/>
        </w:rPr>
      </w:pPr>
      <w:r w:rsidRPr="00963265">
        <w:rPr>
          <w:strike/>
          <w:lang w:val="fr-FR"/>
        </w:rPr>
        <w:t>7.9.3</w:t>
      </w:r>
      <w:r w:rsidRPr="00D01EC4">
        <w:rPr>
          <w:lang w:val="fr-FR"/>
        </w:rPr>
        <w:tab/>
      </w:r>
      <w:r>
        <w:rPr>
          <w:b/>
          <w:lang w:val="fr-FR"/>
        </w:rPr>
        <w:t>c)</w:t>
      </w:r>
      <w:r>
        <w:rPr>
          <w:b/>
          <w:lang w:val="fr-FR"/>
        </w:rPr>
        <w:tab/>
      </w:r>
      <w:r w:rsidRPr="00963265">
        <w:rPr>
          <w:strike/>
          <w:lang w:val="fr-FR"/>
        </w:rPr>
        <w:t>Le fabricant doit fournir</w:t>
      </w:r>
      <w:r w:rsidRPr="00D01EC4">
        <w:rPr>
          <w:lang w:val="fr-FR"/>
        </w:rPr>
        <w:t xml:space="preserve"> des instructions concernant le système d</w:t>
      </w:r>
      <w:r>
        <w:rPr>
          <w:lang w:val="fr-FR"/>
        </w:rPr>
        <w:t>’</w:t>
      </w:r>
      <w:r w:rsidRPr="00D01EC4">
        <w:rPr>
          <w:lang w:val="fr-FR"/>
        </w:rPr>
        <w:t>alerte du conducteur, le système d</w:t>
      </w:r>
      <w:r>
        <w:rPr>
          <w:lang w:val="fr-FR"/>
        </w:rPr>
        <w:t>’</w:t>
      </w:r>
      <w:r w:rsidRPr="00D01EC4">
        <w:rPr>
          <w:lang w:val="fr-FR"/>
        </w:rPr>
        <w:t>incitation et le système de protection du réactif contre le gel (lorsqu</w:t>
      </w:r>
      <w:r>
        <w:rPr>
          <w:lang w:val="fr-FR"/>
        </w:rPr>
        <w:t xml:space="preserve">’il y a lieu), qui doivent </w:t>
      </w:r>
      <w:r w:rsidRPr="00D01EC4">
        <w:rPr>
          <w:lang w:val="fr-FR"/>
        </w:rPr>
        <w:t>être transmises par l</w:t>
      </w:r>
      <w:r>
        <w:rPr>
          <w:lang w:val="fr-FR"/>
        </w:rPr>
        <w:t>’</w:t>
      </w:r>
      <w:r w:rsidRPr="00D01EC4">
        <w:rPr>
          <w:lang w:val="fr-FR"/>
        </w:rPr>
        <w:t>installateur à</w:t>
      </w:r>
      <w:r>
        <w:rPr>
          <w:lang w:val="fr-FR"/>
        </w:rPr>
        <w:t xml:space="preserve"> </w:t>
      </w:r>
      <w:r w:rsidRPr="00D01EC4">
        <w:rPr>
          <w:lang w:val="fr-FR"/>
        </w:rPr>
        <w:t>l</w:t>
      </w:r>
      <w:r>
        <w:rPr>
          <w:lang w:val="fr-FR"/>
        </w:rPr>
        <w:t>’</w:t>
      </w:r>
      <w:r w:rsidRPr="00D01EC4">
        <w:rPr>
          <w:lang w:val="fr-FR"/>
        </w:rPr>
        <w:t>atelier</w:t>
      </w:r>
      <w:r>
        <w:rPr>
          <w:lang w:val="fr-FR"/>
        </w:rPr>
        <w:t xml:space="preserve"> </w:t>
      </w:r>
      <w:r>
        <w:rPr>
          <w:b/>
          <w:lang w:val="fr-FR"/>
        </w:rPr>
        <w:t>de réparation</w:t>
      </w:r>
      <w:r w:rsidRPr="00D01EC4">
        <w:rPr>
          <w:lang w:val="fr-FR"/>
        </w:rPr>
        <w:t>, au conducteur ou à l</w:t>
      </w:r>
      <w:r>
        <w:rPr>
          <w:lang w:val="fr-FR"/>
        </w:rPr>
        <w:t>’</w:t>
      </w:r>
      <w:r w:rsidRPr="00D01EC4">
        <w:rPr>
          <w:lang w:val="fr-FR"/>
        </w:rPr>
        <w:t>opérateur selon le cas.</w:t>
      </w:r>
    </w:p>
    <w:p w:rsidR="000C5264" w:rsidRDefault="000C5264" w:rsidP="00DB7E9A">
      <w:pPr>
        <w:pStyle w:val="SingleTxtG"/>
        <w:ind w:left="2268"/>
        <w:rPr>
          <w:lang w:val="fr-FR"/>
        </w:rPr>
      </w:pPr>
      <w:r w:rsidRPr="00F50201">
        <w:rPr>
          <w:strike/>
          <w:lang w:val="fr-FR"/>
        </w:rPr>
        <w:t>7.9.4</w:t>
      </w:r>
      <w:r w:rsidRPr="00D01EC4">
        <w:rPr>
          <w:lang w:val="fr-FR"/>
        </w:rPr>
        <w:tab/>
      </w:r>
      <w:r>
        <w:rPr>
          <w:b/>
          <w:lang w:val="fr-FR"/>
        </w:rPr>
        <w:t>d)</w:t>
      </w:r>
      <w:r>
        <w:rPr>
          <w:b/>
          <w:lang w:val="fr-FR"/>
        </w:rPr>
        <w:tab/>
      </w:r>
      <w:r w:rsidRPr="00F50201">
        <w:rPr>
          <w:strike/>
          <w:lang w:val="fr-FR"/>
        </w:rPr>
        <w:t>Le fabricant doit fournir</w:t>
      </w:r>
      <w:r w:rsidRPr="00D01EC4">
        <w:rPr>
          <w:lang w:val="fr-FR"/>
        </w:rPr>
        <w:t xml:space="preserve"> une déclaration écrite à l</w:t>
      </w:r>
      <w:r>
        <w:rPr>
          <w:lang w:val="fr-FR"/>
        </w:rPr>
        <w:t>’</w:t>
      </w:r>
      <w:r w:rsidRPr="00D01EC4">
        <w:rPr>
          <w:lang w:val="fr-FR"/>
        </w:rPr>
        <w:t>installateur, à transmettre au conducteur ou à l</w:t>
      </w:r>
      <w:r>
        <w:rPr>
          <w:lang w:val="fr-FR"/>
        </w:rPr>
        <w:t>’</w:t>
      </w:r>
      <w:r w:rsidRPr="00D01EC4">
        <w:rPr>
          <w:lang w:val="fr-FR"/>
        </w:rPr>
        <w:t>opérateur, sur les conditions normales de fonctionnement (plage de température</w:t>
      </w:r>
      <w:r>
        <w:rPr>
          <w:lang w:val="fr-FR"/>
        </w:rPr>
        <w:t>s</w:t>
      </w:r>
      <w:r w:rsidRPr="00D01EC4">
        <w:rPr>
          <w:lang w:val="fr-FR"/>
        </w:rPr>
        <w:t>, conditions ambiantes, etc.) dans lesquelles le DAM fonctionnera correctement.</w:t>
      </w:r>
      <w:r>
        <w:rPr>
          <w:lang w:val="fr-FR"/>
        </w:rPr>
        <w:t> ».</w:t>
      </w:r>
    </w:p>
    <w:p w:rsidR="000C5264" w:rsidRDefault="000C5264" w:rsidP="00DB286C">
      <w:pPr>
        <w:pStyle w:val="SingleTxtG"/>
        <w:keepNext/>
        <w:rPr>
          <w:lang w:val="fr-FR"/>
        </w:rPr>
      </w:pPr>
      <w:r>
        <w:rPr>
          <w:i/>
          <w:lang w:val="fr-FR"/>
        </w:rPr>
        <w:lastRenderedPageBreak/>
        <w:t xml:space="preserve">Ajouter un nouveau </w:t>
      </w:r>
      <w:r w:rsidRPr="00F50201">
        <w:rPr>
          <w:lang w:val="fr-FR"/>
        </w:rPr>
        <w:t xml:space="preserve">paragraphe </w:t>
      </w:r>
      <w:r>
        <w:rPr>
          <w:lang w:val="fr-FR"/>
        </w:rPr>
        <w:t>8.2.2, ainsi libellé :</w:t>
      </w:r>
    </w:p>
    <w:p w:rsidR="000C5264" w:rsidRDefault="000C5264" w:rsidP="00DB7E9A">
      <w:pPr>
        <w:pStyle w:val="SingleTxtG"/>
        <w:ind w:left="2268" w:hanging="1134"/>
        <w:rPr>
          <w:b/>
          <w:lang w:val="fr-FR"/>
        </w:rPr>
      </w:pPr>
      <w:r>
        <w:rPr>
          <w:lang w:val="fr-FR"/>
        </w:rPr>
        <w:t>« </w:t>
      </w:r>
      <w:r w:rsidRPr="007C7798">
        <w:rPr>
          <w:b/>
          <w:lang w:val="fr-FR"/>
        </w:rPr>
        <w:t>8.2.2</w:t>
      </w:r>
      <w:r w:rsidRPr="00D01EC4">
        <w:rPr>
          <w:lang w:val="fr-FR"/>
        </w:rPr>
        <w:tab/>
      </w:r>
      <w:r>
        <w:rPr>
          <w:b/>
          <w:lang w:val="fr-FR"/>
        </w:rPr>
        <w:t>Les prescriptions spécifiques relatives à l’homologation d’un DAM en ce qui concerne les limites d’émissions prescrites dans la série 0</w:t>
      </w:r>
      <w:r w:rsidR="00DB7E9A">
        <w:rPr>
          <w:b/>
          <w:lang w:val="fr-FR"/>
        </w:rPr>
        <w:t xml:space="preserve">6 d’amendements au Règlement </w:t>
      </w:r>
      <w:r w:rsidR="00DB7E9A" w:rsidRPr="00DB7E9A">
        <w:rPr>
          <w:rFonts w:eastAsia="MS Mincho"/>
          <w:b/>
          <w:lang w:val="fr-FR"/>
        </w:rPr>
        <w:t>n</w:t>
      </w:r>
      <w:r w:rsidR="00DB7E9A" w:rsidRPr="00DB7E9A">
        <w:rPr>
          <w:rFonts w:eastAsia="MS Mincho"/>
          <w:b/>
          <w:vertAlign w:val="superscript"/>
          <w:lang w:val="fr-FR"/>
        </w:rPr>
        <w:t>o</w:t>
      </w:r>
      <w:r w:rsidR="00DB7E9A">
        <w:rPr>
          <w:b/>
          <w:lang w:val="fr-FR"/>
        </w:rPr>
        <w:t> </w:t>
      </w:r>
      <w:r>
        <w:rPr>
          <w:b/>
          <w:lang w:val="fr-FR"/>
        </w:rPr>
        <w:t>49 ou dans la série 0</w:t>
      </w:r>
      <w:r w:rsidR="00DB7E9A">
        <w:rPr>
          <w:b/>
          <w:lang w:val="fr-FR"/>
        </w:rPr>
        <w:t xml:space="preserve">5 d’amendements au Règlement </w:t>
      </w:r>
      <w:r w:rsidR="00DB7E9A" w:rsidRPr="00DB7E9A">
        <w:rPr>
          <w:rFonts w:eastAsia="MS Mincho"/>
          <w:b/>
          <w:lang w:val="fr-FR"/>
        </w:rPr>
        <w:t>n</w:t>
      </w:r>
      <w:r w:rsidR="00DB7E9A" w:rsidRPr="00DB7E9A">
        <w:rPr>
          <w:rFonts w:eastAsia="MS Mincho"/>
          <w:b/>
          <w:vertAlign w:val="superscript"/>
          <w:lang w:val="fr-FR"/>
        </w:rPr>
        <w:t>o</w:t>
      </w:r>
      <w:r w:rsidR="00DB7E9A">
        <w:rPr>
          <w:b/>
          <w:lang w:val="fr-FR"/>
        </w:rPr>
        <w:t> </w:t>
      </w:r>
      <w:r>
        <w:rPr>
          <w:b/>
          <w:lang w:val="fr-FR"/>
        </w:rPr>
        <w:t>96 sont indiquées respectivement à l’annexe 12 et à l’annexe 13. </w:t>
      </w:r>
      <w:r w:rsidRPr="00DB7E9A">
        <w:rPr>
          <w:lang w:val="fr-FR"/>
        </w:rPr>
        <w:t>».</w:t>
      </w:r>
    </w:p>
    <w:p w:rsidR="000C5264" w:rsidRDefault="000C5264" w:rsidP="00DB7E9A">
      <w:pPr>
        <w:pStyle w:val="SingleTxtG"/>
        <w:rPr>
          <w:lang w:val="fr-FR"/>
        </w:rPr>
      </w:pPr>
      <w:r w:rsidRPr="00E712EF">
        <w:rPr>
          <w:i/>
          <w:lang w:val="fr-FR"/>
        </w:rPr>
        <w:t>L’ancien paragraphe 8.2.2</w:t>
      </w:r>
      <w:r>
        <w:rPr>
          <w:lang w:val="fr-FR"/>
        </w:rPr>
        <w:t xml:space="preserve"> devient le nouveau paragraphe 8.2.3</w:t>
      </w:r>
      <w:r w:rsidR="00AD32E8">
        <w:rPr>
          <w:lang w:val="fr-FR"/>
        </w:rPr>
        <w:t>.</w:t>
      </w:r>
    </w:p>
    <w:p w:rsidR="000C5264" w:rsidRDefault="000C5264" w:rsidP="00DB286C">
      <w:pPr>
        <w:pStyle w:val="SingleTxtG"/>
        <w:keepNext/>
        <w:rPr>
          <w:i/>
          <w:lang w:val="fr-FR"/>
        </w:rPr>
      </w:pPr>
      <w:r w:rsidRPr="00AF4C7D">
        <w:rPr>
          <w:i/>
          <w:lang w:val="fr-FR"/>
        </w:rPr>
        <w:t xml:space="preserve">Paragraphe </w:t>
      </w:r>
      <w:r>
        <w:rPr>
          <w:i/>
          <w:lang w:val="fr-FR"/>
        </w:rPr>
        <w:t>8.3.2</w:t>
      </w:r>
      <w:r w:rsidRPr="00DB7E9A">
        <w:rPr>
          <w:lang w:val="fr-FR"/>
        </w:rPr>
        <w:t>,</w:t>
      </w:r>
      <w:r w:rsidRPr="00AF4C7D">
        <w:rPr>
          <w:i/>
          <w:lang w:val="fr-FR"/>
        </w:rPr>
        <w:t xml:space="preserve"> </w:t>
      </w:r>
      <w:r w:rsidRPr="00AF4C7D">
        <w:rPr>
          <w:lang w:val="fr-FR"/>
        </w:rPr>
        <w:t>modifier comme suit </w:t>
      </w:r>
      <w:r w:rsidRPr="00EB13E4">
        <w:rPr>
          <w:lang w:val="fr-FR"/>
        </w:rPr>
        <w:t>:</w:t>
      </w:r>
    </w:p>
    <w:p w:rsidR="000C5264" w:rsidRDefault="000C5264" w:rsidP="00DB7E9A">
      <w:pPr>
        <w:pStyle w:val="SingleTxtG"/>
        <w:ind w:left="2268" w:hanging="1134"/>
        <w:rPr>
          <w:lang w:val="fr-FR"/>
        </w:rPr>
      </w:pPr>
      <w:r>
        <w:rPr>
          <w:lang w:val="fr-FR"/>
        </w:rPr>
        <w:t>« </w:t>
      </w:r>
      <w:r w:rsidRPr="00D01EC4">
        <w:rPr>
          <w:lang w:val="fr-FR"/>
        </w:rPr>
        <w:t>8.3.2</w:t>
      </w:r>
      <w:r w:rsidRPr="00D01EC4">
        <w:rPr>
          <w:lang w:val="fr-FR"/>
        </w:rPr>
        <w:tab/>
        <w:t>L</w:t>
      </w:r>
      <w:r>
        <w:rPr>
          <w:lang w:val="fr-FR"/>
        </w:rPr>
        <w:t>’</w:t>
      </w:r>
      <w:r w:rsidRPr="00D01EC4">
        <w:rPr>
          <w:lang w:val="fr-FR"/>
        </w:rPr>
        <w:t>efficacité de réduction doit être déterminée par comparaison des émissions mesurées sur le cycle d</w:t>
      </w:r>
      <w:r>
        <w:rPr>
          <w:lang w:val="fr-FR"/>
        </w:rPr>
        <w:t>’</w:t>
      </w:r>
      <w:r w:rsidRPr="00D01EC4">
        <w:rPr>
          <w:lang w:val="fr-FR"/>
        </w:rPr>
        <w:t xml:space="preserve">essai WHTC pondéré pour les DAM destinés à une application sur les </w:t>
      </w:r>
      <w:r>
        <w:rPr>
          <w:lang w:val="fr-FR"/>
        </w:rPr>
        <w:t xml:space="preserve">moteurs des </w:t>
      </w:r>
      <w:r w:rsidRPr="00D01EC4">
        <w:rPr>
          <w:lang w:val="fr-FR"/>
        </w:rPr>
        <w:t>véhicules utilitaires lourds</w:t>
      </w:r>
      <w:r>
        <w:rPr>
          <w:lang w:val="fr-FR"/>
        </w:rPr>
        <w:t>,</w:t>
      </w:r>
      <w:r w:rsidRPr="00D01EC4">
        <w:rPr>
          <w:lang w:val="fr-FR"/>
        </w:rPr>
        <w:t xml:space="preserve"> ou sur le cycle d</w:t>
      </w:r>
      <w:r>
        <w:rPr>
          <w:lang w:val="fr-FR"/>
        </w:rPr>
        <w:t>’</w:t>
      </w:r>
      <w:r w:rsidRPr="00D01EC4">
        <w:rPr>
          <w:lang w:val="fr-FR"/>
        </w:rPr>
        <w:t>essai NRTC pondéré pour les DAM destinés à une application sur les moteurs des</w:t>
      </w:r>
      <w:r>
        <w:rPr>
          <w:lang w:val="fr-FR"/>
        </w:rPr>
        <w:t xml:space="preserve"> </w:t>
      </w:r>
      <w:r w:rsidRPr="00CB4C1B">
        <w:rPr>
          <w:lang w:val="fr-FR"/>
        </w:rPr>
        <w:t>engins mobiles non routiers ou</w:t>
      </w:r>
      <w:r w:rsidRPr="00F50201">
        <w:rPr>
          <w:strike/>
          <w:lang w:val="fr-FR"/>
        </w:rPr>
        <w:t xml:space="preserve"> des tracteurs agricoles et forestiers</w:t>
      </w:r>
      <w:r>
        <w:rPr>
          <w:lang w:val="fr-FR"/>
        </w:rPr>
        <w:t xml:space="preserve"> </w:t>
      </w:r>
      <w:r w:rsidRPr="00CB4C1B">
        <w:rPr>
          <w:b/>
          <w:lang w:val="fr-FR"/>
        </w:rPr>
        <w:t>des</w:t>
      </w:r>
      <w:r>
        <w:rPr>
          <w:lang w:val="fr-FR"/>
        </w:rPr>
        <w:t xml:space="preserve"> </w:t>
      </w:r>
      <w:r w:rsidRPr="00F50201">
        <w:rPr>
          <w:b/>
          <w:lang w:val="fr-FR"/>
        </w:rPr>
        <w:t>véhicules de la catégorie T</w:t>
      </w:r>
      <w:r w:rsidRPr="00D01EC4">
        <w:rPr>
          <w:lang w:val="fr-FR"/>
        </w:rPr>
        <w:t>. L</w:t>
      </w:r>
      <w:r>
        <w:rPr>
          <w:lang w:val="fr-FR"/>
        </w:rPr>
        <w:t>’</w:t>
      </w:r>
      <w:r w:rsidRPr="00D01EC4">
        <w:rPr>
          <w:lang w:val="fr-FR"/>
        </w:rPr>
        <w:t>efficacité de</w:t>
      </w:r>
      <w:r>
        <w:rPr>
          <w:lang w:val="fr-FR"/>
        </w:rPr>
        <w:t xml:space="preserve"> </w:t>
      </w:r>
      <w:r w:rsidRPr="00D01EC4">
        <w:rPr>
          <w:lang w:val="fr-FR"/>
        </w:rPr>
        <w:t xml:space="preserve">réduction est calculée comme </w:t>
      </w:r>
      <w:r>
        <w:rPr>
          <w:lang w:val="fr-FR"/>
        </w:rPr>
        <w:t>indiqué</w:t>
      </w:r>
      <w:r w:rsidRPr="00D01EC4">
        <w:rPr>
          <w:lang w:val="fr-FR"/>
        </w:rPr>
        <w:t xml:space="preserve"> au paragraphe 8.3.4</w:t>
      </w:r>
      <w:r>
        <w:rPr>
          <w:lang w:val="fr-FR"/>
        </w:rPr>
        <w:t xml:space="preserve"> du présent Règlement</w:t>
      </w:r>
      <w:r w:rsidRPr="00D01EC4">
        <w:rPr>
          <w:lang w:val="fr-FR"/>
        </w:rPr>
        <w:t>.</w:t>
      </w:r>
      <w:r>
        <w:rPr>
          <w:lang w:val="fr-FR"/>
        </w:rPr>
        <w:t> ».</w:t>
      </w:r>
    </w:p>
    <w:p w:rsidR="000C5264" w:rsidRDefault="000C5264" w:rsidP="00DB286C">
      <w:pPr>
        <w:pStyle w:val="SingleTxtG"/>
        <w:keepNext/>
        <w:rPr>
          <w:i/>
          <w:lang w:val="fr-FR"/>
        </w:rPr>
      </w:pPr>
      <w:r w:rsidRPr="00AF4C7D">
        <w:rPr>
          <w:i/>
          <w:lang w:val="fr-FR"/>
        </w:rPr>
        <w:t xml:space="preserve">Paragraphe </w:t>
      </w:r>
      <w:r>
        <w:rPr>
          <w:i/>
          <w:lang w:val="fr-FR"/>
        </w:rPr>
        <w:t>8.5.2</w:t>
      </w:r>
      <w:r w:rsidRPr="00DB7E9A">
        <w:rPr>
          <w:lang w:val="fr-FR"/>
        </w:rPr>
        <w:t>,</w:t>
      </w:r>
      <w:r w:rsidRPr="00AF4C7D">
        <w:rPr>
          <w:i/>
          <w:lang w:val="fr-FR"/>
        </w:rPr>
        <w:t xml:space="preserve"> </w:t>
      </w:r>
      <w:r w:rsidRPr="00AF4C7D">
        <w:rPr>
          <w:lang w:val="fr-FR"/>
        </w:rPr>
        <w:t>modifier comme suit </w:t>
      </w:r>
      <w:r w:rsidRPr="00EB13E4">
        <w:rPr>
          <w:lang w:val="fr-FR"/>
        </w:rPr>
        <w:t>:</w:t>
      </w:r>
    </w:p>
    <w:p w:rsidR="000C5264" w:rsidRDefault="000C5264" w:rsidP="00DB7E9A">
      <w:pPr>
        <w:pStyle w:val="SingleTxtG"/>
        <w:ind w:left="2268" w:hanging="1134"/>
        <w:rPr>
          <w:lang w:val="fr-FR"/>
        </w:rPr>
      </w:pPr>
      <w:r w:rsidRPr="00DB7E9A">
        <w:rPr>
          <w:lang w:val="fr-FR"/>
        </w:rPr>
        <w:t>«</w:t>
      </w:r>
      <w:r>
        <w:rPr>
          <w:i/>
          <w:lang w:val="fr-FR"/>
        </w:rPr>
        <w:t> </w:t>
      </w:r>
      <w:r>
        <w:rPr>
          <w:lang w:val="fr-FR"/>
        </w:rPr>
        <w:t>8.5.2</w:t>
      </w:r>
      <w:r>
        <w:rPr>
          <w:lang w:val="fr-FR"/>
        </w:rPr>
        <w:tab/>
        <w:t>Le prélèvement direct dans le flux de gaz d’échappement bruts en amont de la dilution est admis. Les taux de dilution des dilueurs du nombre de particules (PND1 et PND2 du système de transfert des particules, comme défini dans le</w:t>
      </w:r>
      <w:r>
        <w:rPr>
          <w:b/>
          <w:lang w:val="fr-FR"/>
        </w:rPr>
        <w:t>s</w:t>
      </w:r>
      <w:r>
        <w:rPr>
          <w:lang w:val="fr-FR"/>
        </w:rPr>
        <w:t xml:space="preserve"> Règlement</w:t>
      </w:r>
      <w:r>
        <w:rPr>
          <w:b/>
          <w:lang w:val="fr-FR"/>
        </w:rPr>
        <w:t>s</w:t>
      </w:r>
      <w:r w:rsidR="00DB7E9A">
        <w:rPr>
          <w:lang w:val="fr-FR"/>
        </w:rPr>
        <w:t xml:space="preserve"> </w:t>
      </w:r>
      <w:r w:rsidR="00DB7E9A" w:rsidRPr="00DB7E9A">
        <w:rPr>
          <w:rFonts w:eastAsia="MS Mincho"/>
          <w:lang w:val="fr-FR"/>
        </w:rPr>
        <w:t>n</w:t>
      </w:r>
      <w:r w:rsidR="00DB7E9A" w:rsidRPr="00DB7E9A">
        <w:rPr>
          <w:rFonts w:eastAsia="MS Mincho"/>
          <w:vertAlign w:val="superscript"/>
          <w:lang w:val="fr-FR"/>
        </w:rPr>
        <w:t>o</w:t>
      </w:r>
      <w:r w:rsidR="00DB7E9A">
        <w:rPr>
          <w:rFonts w:eastAsia="MS Mincho"/>
          <w:vertAlign w:val="superscript"/>
          <w:lang w:val="fr-FR"/>
        </w:rPr>
        <w:t>s</w:t>
      </w:r>
      <w:r w:rsidR="00DB7E9A">
        <w:rPr>
          <w:lang w:val="fr-FR"/>
        </w:rPr>
        <w:t> </w:t>
      </w:r>
      <w:r>
        <w:rPr>
          <w:lang w:val="fr-FR"/>
        </w:rPr>
        <w:t>49</w:t>
      </w:r>
      <w:r>
        <w:rPr>
          <w:b/>
          <w:lang w:val="fr-FR"/>
        </w:rPr>
        <w:t xml:space="preserve"> et 96</w:t>
      </w:r>
      <w:r>
        <w:rPr>
          <w:lang w:val="fr-FR"/>
        </w:rPr>
        <w:t>) doivent alors être adaptés à la plage de mesure du compteur du nombre de particules (PNC).</w:t>
      </w:r>
      <w:r w:rsidR="00DB7E9A">
        <w:rPr>
          <w:lang w:val="fr-FR"/>
        </w:rPr>
        <w:t> ».</w:t>
      </w:r>
    </w:p>
    <w:p w:rsidR="000C5264" w:rsidRDefault="000C5264" w:rsidP="00DB286C">
      <w:pPr>
        <w:pStyle w:val="SingleTxtG"/>
        <w:keepNext/>
        <w:rPr>
          <w:i/>
          <w:lang w:val="fr-FR"/>
        </w:rPr>
      </w:pPr>
      <w:r w:rsidRPr="00AF4C7D">
        <w:rPr>
          <w:i/>
          <w:lang w:val="fr-FR"/>
        </w:rPr>
        <w:t xml:space="preserve">Paragraphe </w:t>
      </w:r>
      <w:r>
        <w:rPr>
          <w:i/>
          <w:lang w:val="fr-FR"/>
        </w:rPr>
        <w:t>8.6.2</w:t>
      </w:r>
      <w:r w:rsidRPr="00DB7E9A">
        <w:rPr>
          <w:lang w:val="fr-FR"/>
        </w:rPr>
        <w:t>,</w:t>
      </w:r>
      <w:r w:rsidRPr="00AF4C7D">
        <w:rPr>
          <w:i/>
          <w:lang w:val="fr-FR"/>
        </w:rPr>
        <w:t xml:space="preserve"> </w:t>
      </w:r>
      <w:r w:rsidRPr="00AF4C7D">
        <w:rPr>
          <w:lang w:val="fr-FR"/>
        </w:rPr>
        <w:t>modifier comme suit </w:t>
      </w:r>
      <w:r w:rsidRPr="00EB13E4">
        <w:rPr>
          <w:lang w:val="fr-FR"/>
        </w:rPr>
        <w:t>:</w:t>
      </w:r>
    </w:p>
    <w:p w:rsidR="000C5264" w:rsidRDefault="000C5264" w:rsidP="00DB7E9A">
      <w:pPr>
        <w:pStyle w:val="SingleTxtG"/>
        <w:ind w:left="2268" w:hanging="1134"/>
        <w:rPr>
          <w:b/>
          <w:lang w:val="fr-FR"/>
        </w:rPr>
      </w:pPr>
      <w:r>
        <w:rPr>
          <w:lang w:val="fr-FR"/>
        </w:rPr>
        <w:t>« 8.6.2</w:t>
      </w:r>
      <w:r>
        <w:rPr>
          <w:lang w:val="fr-FR"/>
        </w:rPr>
        <w:tab/>
        <w:t>Pour les DAM des</w:t>
      </w:r>
      <w:r w:rsidRPr="00D01EC4">
        <w:rPr>
          <w:lang w:val="fr-FR"/>
        </w:rPr>
        <w:t xml:space="preserve"> classe</w:t>
      </w:r>
      <w:r>
        <w:rPr>
          <w:lang w:val="fr-FR"/>
        </w:rPr>
        <w:t xml:space="preserve">s III et </w:t>
      </w:r>
      <w:r w:rsidRPr="00D01EC4">
        <w:rPr>
          <w:lang w:val="fr-FR"/>
        </w:rPr>
        <w:t>IV, les émissions d</w:t>
      </w:r>
      <w:r>
        <w:rPr>
          <w:lang w:val="fr-FR"/>
        </w:rPr>
        <w:t>’</w:t>
      </w:r>
      <w:r w:rsidRPr="00D01EC4">
        <w:rPr>
          <w:lang w:val="fr-FR"/>
        </w:rPr>
        <w:t>ammoniac ne doivent pas dépass</w:t>
      </w:r>
      <w:r>
        <w:rPr>
          <w:lang w:val="fr-FR"/>
        </w:rPr>
        <w:t>er une valeur moyenne de 25 ppm</w:t>
      </w:r>
      <w:r w:rsidRPr="00D01EC4">
        <w:rPr>
          <w:lang w:val="fr-FR"/>
        </w:rPr>
        <w:t xml:space="preserve"> lorsqu</w:t>
      </w:r>
      <w:r>
        <w:rPr>
          <w:lang w:val="fr-FR"/>
        </w:rPr>
        <w:t>’</w:t>
      </w:r>
      <w:r w:rsidRPr="00D01EC4">
        <w:rPr>
          <w:lang w:val="fr-FR"/>
        </w:rPr>
        <w:t>elles sont mesurées selon les procédures définies</w:t>
      </w:r>
      <w:r>
        <w:rPr>
          <w:lang w:val="fr-FR"/>
        </w:rPr>
        <w:t xml:space="preserve"> </w:t>
      </w:r>
      <w:r w:rsidRPr="00D01EC4">
        <w:rPr>
          <w:lang w:val="fr-FR"/>
        </w:rPr>
        <w:t>à l</w:t>
      </w:r>
      <w:r>
        <w:rPr>
          <w:lang w:val="fr-FR"/>
        </w:rPr>
        <w:t>’</w:t>
      </w:r>
      <w:r w:rsidRPr="00D01EC4">
        <w:rPr>
          <w:lang w:val="fr-FR"/>
        </w:rPr>
        <w:t>appendice 7 de l</w:t>
      </w:r>
      <w:r>
        <w:rPr>
          <w:lang w:val="fr-FR"/>
        </w:rPr>
        <w:t>’</w:t>
      </w:r>
      <w:r w:rsidRPr="00D01EC4">
        <w:rPr>
          <w:lang w:val="fr-FR"/>
        </w:rPr>
        <w:t>annexe 4 de la</w:t>
      </w:r>
      <w:r>
        <w:rPr>
          <w:lang w:val="fr-FR"/>
        </w:rPr>
        <w:t xml:space="preserve"> </w:t>
      </w:r>
      <w:r w:rsidRPr="00D01EC4">
        <w:rPr>
          <w:lang w:val="fr-FR"/>
        </w:rPr>
        <w:t>série 06 d</w:t>
      </w:r>
      <w:r>
        <w:rPr>
          <w:lang w:val="fr-FR"/>
        </w:rPr>
        <w:t>’</w:t>
      </w:r>
      <w:r w:rsidRPr="00D01EC4">
        <w:rPr>
          <w:lang w:val="fr-FR"/>
        </w:rPr>
        <w:t xml:space="preserve">amendements au Règlement </w:t>
      </w:r>
      <w:r w:rsidR="00DB7E9A" w:rsidRPr="00DB7E9A">
        <w:rPr>
          <w:rFonts w:eastAsia="MS Mincho"/>
          <w:lang w:val="fr-FR"/>
        </w:rPr>
        <w:t>n</w:t>
      </w:r>
      <w:r w:rsidR="00DB7E9A" w:rsidRPr="00DB7E9A">
        <w:rPr>
          <w:rFonts w:eastAsia="MS Mincho"/>
          <w:vertAlign w:val="superscript"/>
          <w:lang w:val="fr-FR"/>
        </w:rPr>
        <w:t>o</w:t>
      </w:r>
      <w:r w:rsidR="00DB7E9A" w:rsidRPr="00DB7E9A">
        <w:rPr>
          <w:lang w:val="fr-FR"/>
        </w:rPr>
        <w:t> </w:t>
      </w:r>
      <w:r>
        <w:rPr>
          <w:lang w:val="fr-FR"/>
        </w:rPr>
        <w:t xml:space="preserve">49 ou </w:t>
      </w:r>
      <w:r w:rsidRPr="00DA6E49">
        <w:rPr>
          <w:b/>
          <w:lang w:val="fr-FR"/>
        </w:rPr>
        <w:t xml:space="preserve">à l’appendice 7 de l’annexe 4 de la </w:t>
      </w:r>
      <w:r>
        <w:rPr>
          <w:b/>
          <w:lang w:val="fr-FR"/>
        </w:rPr>
        <w:t>série 05</w:t>
      </w:r>
      <w:r w:rsidRPr="00DA6E49">
        <w:rPr>
          <w:b/>
          <w:lang w:val="fr-FR"/>
        </w:rPr>
        <w:t xml:space="preserve"> d’amendements au Règlement </w:t>
      </w:r>
      <w:r w:rsidR="00DB7E9A" w:rsidRPr="00DB7E9A">
        <w:rPr>
          <w:rFonts w:eastAsia="MS Mincho"/>
          <w:b/>
          <w:lang w:val="fr-FR"/>
        </w:rPr>
        <w:t>n</w:t>
      </w:r>
      <w:r w:rsidR="00DB7E9A" w:rsidRPr="00DB7E9A">
        <w:rPr>
          <w:rFonts w:eastAsia="MS Mincho"/>
          <w:b/>
          <w:vertAlign w:val="superscript"/>
          <w:lang w:val="fr-FR"/>
        </w:rPr>
        <w:t>o</w:t>
      </w:r>
      <w:r w:rsidR="00DB7E9A" w:rsidRPr="00DB7E9A">
        <w:rPr>
          <w:b/>
          <w:lang w:val="fr-FR"/>
        </w:rPr>
        <w:t> </w:t>
      </w:r>
      <w:r>
        <w:rPr>
          <w:b/>
          <w:lang w:val="fr-FR"/>
        </w:rPr>
        <w:t>96. </w:t>
      </w:r>
      <w:r w:rsidRPr="00DB7E9A">
        <w:rPr>
          <w:lang w:val="fr-FR"/>
        </w:rPr>
        <w:t>».</w:t>
      </w:r>
    </w:p>
    <w:p w:rsidR="000C5264" w:rsidRDefault="000C5264" w:rsidP="008513AD">
      <w:pPr>
        <w:pStyle w:val="SingleTxtG"/>
        <w:rPr>
          <w:lang w:val="fr-FR"/>
        </w:rPr>
      </w:pPr>
      <w:r>
        <w:rPr>
          <w:i/>
          <w:lang w:val="fr-FR"/>
        </w:rPr>
        <w:t>Annexe 1, premier alinéa de la fiche de renseignements</w:t>
      </w:r>
      <w:r w:rsidRPr="00DB7E9A">
        <w:rPr>
          <w:lang w:val="fr-FR"/>
        </w:rPr>
        <w:t>,</w:t>
      </w:r>
      <w:r>
        <w:rPr>
          <w:i/>
          <w:lang w:val="fr-FR"/>
        </w:rPr>
        <w:t xml:space="preserve"> </w:t>
      </w:r>
      <w:r>
        <w:rPr>
          <w:lang w:val="fr-FR"/>
        </w:rPr>
        <w:t>modifier comme suit </w:t>
      </w:r>
      <w:r w:rsidRPr="00EB13E4">
        <w:rPr>
          <w:lang w:val="fr-FR"/>
        </w:rPr>
        <w:t>:</w:t>
      </w:r>
    </w:p>
    <w:p w:rsidR="000C5264" w:rsidRDefault="00DB7E9A" w:rsidP="00DB7E9A">
      <w:pPr>
        <w:pStyle w:val="SingleTxtG"/>
        <w:rPr>
          <w:lang w:val="fr-FR"/>
        </w:rPr>
      </w:pPr>
      <w:r>
        <w:rPr>
          <w:lang w:val="fr-FR"/>
        </w:rPr>
        <w:t>« </w:t>
      </w:r>
      <w:r w:rsidR="000C5264" w:rsidRPr="00D01EC4">
        <w:rPr>
          <w:lang w:val="fr-FR"/>
        </w:rPr>
        <w:t xml:space="preserve">Fiche de renseignements </w:t>
      </w:r>
      <w:r w:rsidRPr="00DB7E9A">
        <w:rPr>
          <w:rFonts w:eastAsia="MS Mincho"/>
          <w:lang w:val="fr-FR"/>
        </w:rPr>
        <w:t>n</w:t>
      </w:r>
      <w:r w:rsidRPr="00DB7E9A">
        <w:rPr>
          <w:rFonts w:eastAsia="MS Mincho"/>
          <w:vertAlign w:val="superscript"/>
          <w:lang w:val="fr-FR"/>
        </w:rPr>
        <w:t>o</w:t>
      </w:r>
      <w:r w:rsidRPr="00DB7E9A">
        <w:rPr>
          <w:rFonts w:eastAsia="MS Mincho"/>
          <w:lang w:val="fr-FR"/>
        </w:rPr>
        <w:t> </w:t>
      </w:r>
      <w:r w:rsidR="000C5264" w:rsidRPr="00D01EC4">
        <w:rPr>
          <w:lang w:val="fr-FR"/>
        </w:rPr>
        <w:t xml:space="preserve">… conformément au Règlement </w:t>
      </w:r>
      <w:r w:rsidR="000C5264" w:rsidRPr="001F7170">
        <w:rPr>
          <w:rFonts w:eastAsia="MS Mincho"/>
          <w:lang w:val="fr-FR"/>
        </w:rPr>
        <w:t>n</w:t>
      </w:r>
      <w:r w:rsidR="000C5264" w:rsidRPr="001F7170">
        <w:rPr>
          <w:rFonts w:eastAsia="MS Mincho"/>
          <w:vertAlign w:val="superscript"/>
          <w:lang w:val="fr-FR"/>
        </w:rPr>
        <w:t>o</w:t>
      </w:r>
      <w:r w:rsidR="000C5264" w:rsidRPr="001F7170">
        <w:rPr>
          <w:lang w:val="fr-FR"/>
        </w:rPr>
        <w:t> 132</w:t>
      </w:r>
      <w:r w:rsidR="000C5264">
        <w:rPr>
          <w:lang w:val="fr-FR"/>
        </w:rPr>
        <w:t xml:space="preserve"> relative à </w:t>
      </w:r>
      <w:r w:rsidR="000C5264" w:rsidRPr="00D01EC4">
        <w:rPr>
          <w:lang w:val="fr-FR"/>
        </w:rPr>
        <w:t>l</w:t>
      </w:r>
      <w:r w:rsidR="000C5264">
        <w:rPr>
          <w:lang w:val="fr-FR"/>
        </w:rPr>
        <w:t>’</w:t>
      </w:r>
      <w:r w:rsidR="000C5264" w:rsidRPr="00D01EC4">
        <w:rPr>
          <w:lang w:val="fr-FR"/>
        </w:rPr>
        <w:t xml:space="preserve">homologation de type des dispositifs antipollution de mise à niveau (DAM) destinés aux véhicules utilitaires lourds, </w:t>
      </w:r>
      <w:r w:rsidR="000C5264">
        <w:rPr>
          <w:b/>
          <w:lang w:val="fr-FR"/>
        </w:rPr>
        <w:t xml:space="preserve">véhicules de la catégorie T </w:t>
      </w:r>
      <w:r w:rsidR="000C5264" w:rsidRPr="00DA6E49">
        <w:rPr>
          <w:strike/>
          <w:lang w:val="fr-FR"/>
        </w:rPr>
        <w:t>tracteurs agricoles et forestiers</w:t>
      </w:r>
      <w:r w:rsidR="000C5264" w:rsidRPr="00D01EC4">
        <w:rPr>
          <w:lang w:val="fr-FR"/>
        </w:rPr>
        <w:t xml:space="preserve"> et engins mobiles non routiers à moteurs à allumage par compression</w:t>
      </w:r>
      <w:r w:rsidR="000C5264">
        <w:rPr>
          <w:lang w:val="fr-FR"/>
        </w:rPr>
        <w:t>. ».</w:t>
      </w:r>
    </w:p>
    <w:p w:rsidR="000C5264" w:rsidRDefault="000C5264" w:rsidP="008513AD">
      <w:pPr>
        <w:pStyle w:val="SingleTxtG"/>
        <w:rPr>
          <w:lang w:val="fr-FR"/>
        </w:rPr>
      </w:pPr>
      <w:r>
        <w:rPr>
          <w:i/>
          <w:lang w:val="fr-FR"/>
        </w:rPr>
        <w:t>Paragraphe 14.1, alinéas d) et e) et paragraphes 4.3.5, 4.3.6, 5.3.5, et 5.3.6 de l’annexe 1</w:t>
      </w:r>
      <w:r w:rsidRPr="00DB7E9A">
        <w:rPr>
          <w:lang w:val="fr-FR"/>
        </w:rPr>
        <w:t>,</w:t>
      </w:r>
      <w:r>
        <w:rPr>
          <w:i/>
          <w:lang w:val="fr-FR"/>
        </w:rPr>
        <w:t xml:space="preserve"> </w:t>
      </w:r>
      <w:r>
        <w:rPr>
          <w:lang w:val="fr-FR"/>
        </w:rPr>
        <w:t>modifier l’unité utilisée comme suit :</w:t>
      </w:r>
    </w:p>
    <w:p w:rsidR="000C5264" w:rsidRDefault="000C5264" w:rsidP="00DB7E9A">
      <w:pPr>
        <w:pStyle w:val="SingleTxtG"/>
        <w:ind w:left="2268"/>
        <w:rPr>
          <w:lang w:val="fr-FR"/>
        </w:rPr>
      </w:pPr>
      <w:r>
        <w:rPr>
          <w:lang w:val="fr-FR"/>
        </w:rPr>
        <w:t>« </w:t>
      </w:r>
      <w:r w:rsidRPr="00DB7E9A">
        <w:rPr>
          <w:b/>
          <w:lang w:val="fr-FR"/>
        </w:rPr>
        <w:t>(g/m</w:t>
      </w:r>
      <w:r w:rsidRPr="00DB7E9A">
        <w:rPr>
          <w:b/>
          <w:vertAlign w:val="superscript"/>
          <w:lang w:val="fr-FR"/>
        </w:rPr>
        <w:t>3</w:t>
      </w:r>
      <w:r w:rsidRPr="00DB7E9A">
        <w:rPr>
          <w:b/>
          <w:lang w:val="fr-FR"/>
        </w:rPr>
        <w:t>)</w:t>
      </w:r>
      <w:r>
        <w:rPr>
          <w:lang w:val="fr-FR"/>
        </w:rPr>
        <w:t> ».</w:t>
      </w:r>
    </w:p>
    <w:p w:rsidR="000C5264" w:rsidRDefault="000C5264" w:rsidP="00DB286C">
      <w:pPr>
        <w:pStyle w:val="SingleTxtG"/>
        <w:keepNext/>
        <w:rPr>
          <w:lang w:val="fr-FR"/>
        </w:rPr>
      </w:pPr>
      <w:r>
        <w:rPr>
          <w:i/>
          <w:lang w:val="fr-FR"/>
        </w:rPr>
        <w:t>Annexe 3, paragraphe 1</w:t>
      </w:r>
      <w:r w:rsidRPr="00DB7E9A">
        <w:rPr>
          <w:lang w:val="fr-FR"/>
        </w:rPr>
        <w:t>,</w:t>
      </w:r>
      <w:r>
        <w:rPr>
          <w:i/>
          <w:lang w:val="fr-FR"/>
        </w:rPr>
        <w:t xml:space="preserve"> </w:t>
      </w:r>
      <w:r>
        <w:rPr>
          <w:lang w:val="fr-FR"/>
        </w:rPr>
        <w:t>modifier comme suit :</w:t>
      </w:r>
    </w:p>
    <w:p w:rsidR="000C5264" w:rsidRDefault="00F0559E" w:rsidP="00DB286C">
      <w:pPr>
        <w:pStyle w:val="SingleTxtG"/>
        <w:rPr>
          <w:lang w:val="fr-FR"/>
        </w:rPr>
      </w:pPr>
      <w:r>
        <w:rPr>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94"/>
        <w:gridCol w:w="1625"/>
        <w:gridCol w:w="1625"/>
        <w:gridCol w:w="1626"/>
      </w:tblGrid>
      <w:tr w:rsidR="00DB286C" w:rsidRPr="00DB286C" w:rsidTr="007E5AB6">
        <w:trPr>
          <w:tblHeader/>
        </w:trPr>
        <w:tc>
          <w:tcPr>
            <w:tcW w:w="2494" w:type="dxa"/>
            <w:tcBorders>
              <w:top w:val="single" w:sz="4" w:space="0" w:color="auto"/>
              <w:left w:val="single" w:sz="4" w:space="0" w:color="auto"/>
              <w:bottom w:val="single" w:sz="12" w:space="0" w:color="auto"/>
              <w:right w:val="single" w:sz="4" w:space="0" w:color="auto"/>
            </w:tcBorders>
            <w:shd w:val="clear" w:color="auto" w:fill="auto"/>
            <w:vAlign w:val="bottom"/>
          </w:tcPr>
          <w:p w:rsidR="000C5264" w:rsidRPr="00DB286C" w:rsidRDefault="000C5264" w:rsidP="00A61052">
            <w:pPr>
              <w:spacing w:before="40" w:after="40" w:line="200" w:lineRule="exact"/>
              <w:ind w:left="57" w:right="57"/>
              <w:rPr>
                <w:i/>
                <w:sz w:val="16"/>
                <w:lang w:val="fr-FR"/>
              </w:rPr>
            </w:pPr>
            <w:r w:rsidRPr="00DB286C">
              <w:rPr>
                <w:i/>
                <w:sz w:val="16"/>
                <w:lang w:val="fr-FR" w:eastAsia="fr-FR"/>
              </w:rPr>
              <w:t>Numéro du moteur</w:t>
            </w:r>
          </w:p>
        </w:tc>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rsidR="000C5264" w:rsidRPr="00DB286C" w:rsidRDefault="000C5264" w:rsidP="00A61052">
            <w:pPr>
              <w:spacing w:before="40" w:after="40" w:line="200" w:lineRule="exact"/>
              <w:ind w:left="57" w:right="57"/>
              <w:jc w:val="center"/>
              <w:rPr>
                <w:i/>
                <w:sz w:val="16"/>
                <w:lang w:val="fr-FR" w:eastAsia="fr-FR"/>
              </w:rPr>
            </w:pPr>
            <w:r w:rsidRPr="00DB286C">
              <w:rPr>
                <w:i/>
                <w:sz w:val="16"/>
                <w:lang w:val="fr-FR" w:eastAsia="fr-FR"/>
              </w:rPr>
              <w:t>1</w:t>
            </w:r>
          </w:p>
        </w:tc>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rsidR="000C5264" w:rsidRPr="00DB286C" w:rsidRDefault="000C5264" w:rsidP="00A61052">
            <w:pPr>
              <w:spacing w:before="40" w:after="40" w:line="200" w:lineRule="exact"/>
              <w:ind w:left="57" w:right="57"/>
              <w:jc w:val="center"/>
              <w:rPr>
                <w:i/>
                <w:sz w:val="16"/>
                <w:lang w:val="fr-FR" w:eastAsia="fr-FR"/>
              </w:rPr>
            </w:pPr>
            <w:r w:rsidRPr="00DB286C">
              <w:rPr>
                <w:i/>
                <w:sz w:val="16"/>
                <w:lang w:val="fr-FR" w:eastAsia="fr-FR"/>
              </w:rPr>
              <w:t>2</w:t>
            </w:r>
          </w:p>
        </w:tc>
        <w:tc>
          <w:tcPr>
            <w:tcW w:w="1626" w:type="dxa"/>
            <w:tcBorders>
              <w:top w:val="single" w:sz="4" w:space="0" w:color="auto"/>
              <w:left w:val="single" w:sz="4" w:space="0" w:color="auto"/>
              <w:bottom w:val="single" w:sz="12" w:space="0" w:color="auto"/>
              <w:right w:val="single" w:sz="4" w:space="0" w:color="auto"/>
            </w:tcBorders>
            <w:shd w:val="clear" w:color="auto" w:fill="auto"/>
            <w:vAlign w:val="bottom"/>
          </w:tcPr>
          <w:p w:rsidR="000C5264" w:rsidRPr="00DB286C" w:rsidRDefault="000C5264" w:rsidP="00A61052">
            <w:pPr>
              <w:spacing w:before="40" w:after="40" w:line="200" w:lineRule="exact"/>
              <w:ind w:left="57" w:right="57"/>
              <w:jc w:val="center"/>
              <w:rPr>
                <w:i/>
                <w:sz w:val="16"/>
                <w:lang w:val="fr-FR" w:eastAsia="fr-FR"/>
              </w:rPr>
            </w:pPr>
            <w:r w:rsidRPr="00DB286C">
              <w:rPr>
                <w:i/>
                <w:sz w:val="16"/>
                <w:lang w:val="fr-FR" w:eastAsia="fr-FR"/>
              </w:rPr>
              <w:t>n</w:t>
            </w:r>
          </w:p>
        </w:tc>
      </w:tr>
      <w:tr w:rsidR="00DB286C" w:rsidRPr="00DB286C" w:rsidTr="007E5AB6">
        <w:tc>
          <w:tcPr>
            <w:tcW w:w="2494" w:type="dxa"/>
            <w:tcBorders>
              <w:top w:val="single" w:sz="12" w:space="0" w:color="auto"/>
            </w:tcBorders>
            <w:shd w:val="clear" w:color="auto" w:fill="auto"/>
          </w:tcPr>
          <w:p w:rsidR="000C5264" w:rsidRPr="00DB286C" w:rsidRDefault="000C5264" w:rsidP="00A61052">
            <w:pPr>
              <w:spacing w:before="40" w:after="40"/>
              <w:ind w:left="57" w:right="57"/>
              <w:rPr>
                <w:lang w:val="fr-FR"/>
              </w:rPr>
            </w:pPr>
            <w:r w:rsidRPr="00DB286C">
              <w:rPr>
                <w:szCs w:val="24"/>
                <w:lang w:val="fr-FR" w:eastAsia="fr-FR"/>
              </w:rPr>
              <w:t>Marque</w:t>
            </w:r>
          </w:p>
        </w:tc>
        <w:tc>
          <w:tcPr>
            <w:tcW w:w="1625" w:type="dxa"/>
            <w:tcBorders>
              <w:top w:val="single" w:sz="12" w:space="0" w:color="auto"/>
            </w:tcBorders>
            <w:shd w:val="clear" w:color="auto" w:fill="auto"/>
          </w:tcPr>
          <w:p w:rsidR="000C5264" w:rsidRPr="00DB286C" w:rsidRDefault="000C5264" w:rsidP="00A61052">
            <w:pPr>
              <w:spacing w:before="40" w:after="40"/>
              <w:ind w:left="57" w:right="57"/>
              <w:jc w:val="center"/>
              <w:rPr>
                <w:szCs w:val="24"/>
                <w:lang w:val="fr-FR" w:eastAsia="fr-FR"/>
              </w:rPr>
            </w:pPr>
          </w:p>
        </w:tc>
        <w:tc>
          <w:tcPr>
            <w:tcW w:w="1625" w:type="dxa"/>
            <w:tcBorders>
              <w:top w:val="single" w:sz="12" w:space="0" w:color="auto"/>
            </w:tcBorders>
            <w:shd w:val="clear" w:color="auto" w:fill="auto"/>
          </w:tcPr>
          <w:p w:rsidR="000C5264" w:rsidRPr="00DB286C" w:rsidRDefault="000C5264" w:rsidP="00A61052">
            <w:pPr>
              <w:spacing w:before="40" w:after="40"/>
              <w:ind w:left="57" w:right="57"/>
              <w:jc w:val="center"/>
              <w:rPr>
                <w:szCs w:val="24"/>
                <w:lang w:val="fr-FR" w:eastAsia="fr-FR"/>
              </w:rPr>
            </w:pPr>
          </w:p>
        </w:tc>
        <w:tc>
          <w:tcPr>
            <w:tcW w:w="1626" w:type="dxa"/>
            <w:tcBorders>
              <w:top w:val="single" w:sz="12" w:space="0" w:color="auto"/>
            </w:tcBorders>
            <w:shd w:val="clear" w:color="auto" w:fill="auto"/>
          </w:tcPr>
          <w:p w:rsidR="000C5264" w:rsidRPr="00DB286C" w:rsidRDefault="000C5264" w:rsidP="00A61052">
            <w:pPr>
              <w:spacing w:before="40" w:after="40"/>
              <w:ind w:left="57" w:right="57"/>
              <w:jc w:val="center"/>
              <w:rPr>
                <w:szCs w:val="24"/>
                <w:lang w:val="fr-FR" w:eastAsia="fr-FR"/>
              </w:rPr>
            </w:pPr>
          </w:p>
        </w:tc>
      </w:tr>
      <w:tr w:rsidR="00DB286C" w:rsidRPr="00DB286C" w:rsidTr="007E5AB6">
        <w:tc>
          <w:tcPr>
            <w:tcW w:w="2494" w:type="dxa"/>
            <w:shd w:val="clear" w:color="auto" w:fill="auto"/>
          </w:tcPr>
          <w:p w:rsidR="000C5264" w:rsidRPr="00DB286C" w:rsidRDefault="000C5264" w:rsidP="00A61052">
            <w:pPr>
              <w:spacing w:before="40" w:after="40"/>
              <w:ind w:left="57" w:right="57"/>
              <w:rPr>
                <w:lang w:val="fr-FR"/>
              </w:rPr>
            </w:pPr>
            <w:r w:rsidRPr="00DB286C">
              <w:rPr>
                <w:szCs w:val="24"/>
                <w:lang w:val="fr-FR" w:eastAsia="fr-FR"/>
              </w:rPr>
              <w:t>Type</w:t>
            </w:r>
          </w:p>
        </w:tc>
        <w:tc>
          <w:tcPr>
            <w:tcW w:w="1625" w:type="dxa"/>
            <w:shd w:val="clear" w:color="auto" w:fill="auto"/>
          </w:tcPr>
          <w:p w:rsidR="000C5264" w:rsidRPr="00DB286C" w:rsidRDefault="000C5264" w:rsidP="00A61052">
            <w:pPr>
              <w:spacing w:before="40" w:after="40"/>
              <w:ind w:left="57" w:right="57"/>
              <w:jc w:val="center"/>
              <w:rPr>
                <w:szCs w:val="24"/>
                <w:lang w:val="fr-FR" w:eastAsia="fr-FR"/>
              </w:rPr>
            </w:pPr>
          </w:p>
        </w:tc>
        <w:tc>
          <w:tcPr>
            <w:tcW w:w="1625" w:type="dxa"/>
            <w:shd w:val="clear" w:color="auto" w:fill="auto"/>
          </w:tcPr>
          <w:p w:rsidR="000C5264" w:rsidRPr="00DB286C" w:rsidRDefault="000C5264" w:rsidP="00A61052">
            <w:pPr>
              <w:spacing w:before="40" w:after="40"/>
              <w:ind w:left="57" w:right="57"/>
              <w:jc w:val="center"/>
              <w:rPr>
                <w:szCs w:val="24"/>
                <w:lang w:val="fr-FR" w:eastAsia="fr-FR"/>
              </w:rPr>
            </w:pPr>
          </w:p>
        </w:tc>
        <w:tc>
          <w:tcPr>
            <w:tcW w:w="1626" w:type="dxa"/>
            <w:shd w:val="clear" w:color="auto" w:fill="auto"/>
          </w:tcPr>
          <w:p w:rsidR="000C5264" w:rsidRPr="00DB286C" w:rsidRDefault="000C5264" w:rsidP="00A61052">
            <w:pPr>
              <w:spacing w:before="40" w:after="40"/>
              <w:ind w:left="57" w:right="57"/>
              <w:jc w:val="center"/>
              <w:rPr>
                <w:szCs w:val="24"/>
                <w:lang w:val="fr-FR" w:eastAsia="fr-FR"/>
              </w:rPr>
            </w:pPr>
          </w:p>
        </w:tc>
      </w:tr>
      <w:tr w:rsidR="00DB286C" w:rsidRPr="00DB286C" w:rsidTr="007E5AB6">
        <w:tc>
          <w:tcPr>
            <w:tcW w:w="2494" w:type="dxa"/>
            <w:shd w:val="clear" w:color="auto" w:fill="auto"/>
          </w:tcPr>
          <w:p w:rsidR="000C5264" w:rsidRPr="00DB286C" w:rsidRDefault="000C5264" w:rsidP="00A61052">
            <w:pPr>
              <w:spacing w:before="40" w:after="40"/>
              <w:ind w:left="57" w:right="57"/>
              <w:rPr>
                <w:lang w:val="fr-FR"/>
              </w:rPr>
            </w:pPr>
            <w:r w:rsidRPr="00DB286C">
              <w:rPr>
                <w:iCs/>
                <w:lang w:val="fr-FR" w:eastAsia="en-GB"/>
              </w:rPr>
              <w:t>Moteur</w:t>
            </w:r>
          </w:p>
        </w:tc>
        <w:tc>
          <w:tcPr>
            <w:tcW w:w="1625" w:type="dxa"/>
            <w:shd w:val="clear" w:color="auto" w:fill="auto"/>
          </w:tcPr>
          <w:p w:rsidR="000C5264" w:rsidRPr="00DB286C" w:rsidRDefault="000C5264" w:rsidP="00A61052">
            <w:pPr>
              <w:spacing w:before="40" w:after="40"/>
              <w:ind w:left="57" w:right="57"/>
              <w:jc w:val="center"/>
              <w:rPr>
                <w:szCs w:val="24"/>
                <w:lang w:val="fr-FR" w:eastAsia="fr-FR"/>
              </w:rPr>
            </w:pPr>
          </w:p>
        </w:tc>
        <w:tc>
          <w:tcPr>
            <w:tcW w:w="1625" w:type="dxa"/>
            <w:shd w:val="clear" w:color="auto" w:fill="auto"/>
          </w:tcPr>
          <w:p w:rsidR="000C5264" w:rsidRPr="00DB286C" w:rsidRDefault="000C5264" w:rsidP="00A61052">
            <w:pPr>
              <w:spacing w:before="40" w:after="40"/>
              <w:ind w:left="57" w:right="57"/>
              <w:jc w:val="center"/>
              <w:rPr>
                <w:szCs w:val="24"/>
                <w:lang w:val="fr-FR" w:eastAsia="fr-FR"/>
              </w:rPr>
            </w:pPr>
          </w:p>
        </w:tc>
        <w:tc>
          <w:tcPr>
            <w:tcW w:w="1626" w:type="dxa"/>
            <w:shd w:val="clear" w:color="auto" w:fill="auto"/>
          </w:tcPr>
          <w:p w:rsidR="000C5264" w:rsidRPr="00DB286C" w:rsidRDefault="000C5264" w:rsidP="00A61052">
            <w:pPr>
              <w:spacing w:before="40" w:after="40"/>
              <w:ind w:left="57" w:right="57"/>
              <w:jc w:val="center"/>
              <w:rPr>
                <w:szCs w:val="24"/>
                <w:lang w:val="fr-FR" w:eastAsia="fr-FR"/>
              </w:rPr>
            </w:pPr>
          </w:p>
        </w:tc>
      </w:tr>
      <w:tr w:rsidR="00DB286C" w:rsidRPr="00DB286C" w:rsidTr="007E5AB6">
        <w:tc>
          <w:tcPr>
            <w:tcW w:w="2494" w:type="dxa"/>
            <w:tcBorders>
              <w:bottom w:val="single" w:sz="4" w:space="0" w:color="auto"/>
            </w:tcBorders>
            <w:shd w:val="clear" w:color="auto" w:fill="auto"/>
          </w:tcPr>
          <w:p w:rsidR="000C5264" w:rsidRPr="00DB286C" w:rsidRDefault="000C5264" w:rsidP="00A61052">
            <w:pPr>
              <w:spacing w:before="40" w:after="40"/>
              <w:ind w:left="57" w:right="57"/>
              <w:rPr>
                <w:lang w:val="fr-FR"/>
              </w:rPr>
            </w:pPr>
            <w:r w:rsidRPr="00DB286C">
              <w:rPr>
                <w:szCs w:val="24"/>
                <w:lang w:val="fr-FR" w:eastAsia="fr-FR"/>
              </w:rPr>
              <w:t>Puissance</w:t>
            </w:r>
          </w:p>
        </w:tc>
        <w:tc>
          <w:tcPr>
            <w:tcW w:w="1625" w:type="dxa"/>
            <w:tcBorders>
              <w:bottom w:val="single" w:sz="4" w:space="0" w:color="auto"/>
            </w:tcBorders>
            <w:shd w:val="clear" w:color="auto" w:fill="auto"/>
          </w:tcPr>
          <w:p w:rsidR="000C5264" w:rsidRPr="00DB286C" w:rsidRDefault="000C5264" w:rsidP="00A61052">
            <w:pPr>
              <w:spacing w:before="40" w:after="40"/>
              <w:ind w:left="57" w:right="57"/>
              <w:jc w:val="center"/>
              <w:rPr>
                <w:szCs w:val="24"/>
                <w:lang w:val="fr-FR" w:eastAsia="fr-FR"/>
              </w:rPr>
            </w:pPr>
          </w:p>
        </w:tc>
        <w:tc>
          <w:tcPr>
            <w:tcW w:w="1625" w:type="dxa"/>
            <w:tcBorders>
              <w:bottom w:val="single" w:sz="4" w:space="0" w:color="auto"/>
            </w:tcBorders>
            <w:shd w:val="clear" w:color="auto" w:fill="auto"/>
          </w:tcPr>
          <w:p w:rsidR="000C5264" w:rsidRPr="00DB286C" w:rsidRDefault="000C5264" w:rsidP="00A61052">
            <w:pPr>
              <w:spacing w:before="40" w:after="40"/>
              <w:ind w:left="57" w:right="57"/>
              <w:jc w:val="center"/>
              <w:rPr>
                <w:szCs w:val="24"/>
                <w:lang w:val="fr-FR" w:eastAsia="fr-FR"/>
              </w:rPr>
            </w:pPr>
          </w:p>
        </w:tc>
        <w:tc>
          <w:tcPr>
            <w:tcW w:w="1626" w:type="dxa"/>
            <w:tcBorders>
              <w:bottom w:val="single" w:sz="4" w:space="0" w:color="auto"/>
            </w:tcBorders>
            <w:shd w:val="clear" w:color="auto" w:fill="auto"/>
          </w:tcPr>
          <w:p w:rsidR="000C5264" w:rsidRPr="00DB286C" w:rsidRDefault="000C5264" w:rsidP="00A61052">
            <w:pPr>
              <w:spacing w:before="40" w:after="40"/>
              <w:ind w:left="57" w:right="57"/>
              <w:jc w:val="center"/>
              <w:rPr>
                <w:szCs w:val="24"/>
                <w:lang w:val="fr-FR" w:eastAsia="fr-FR"/>
              </w:rPr>
            </w:pPr>
          </w:p>
        </w:tc>
      </w:tr>
      <w:tr w:rsidR="00DB286C" w:rsidRPr="00DB286C" w:rsidTr="007E5AB6">
        <w:tc>
          <w:tcPr>
            <w:tcW w:w="2494" w:type="dxa"/>
            <w:tcBorders>
              <w:bottom w:val="single" w:sz="12" w:space="0" w:color="auto"/>
            </w:tcBorders>
            <w:shd w:val="clear" w:color="auto" w:fill="auto"/>
          </w:tcPr>
          <w:p w:rsidR="000C5264" w:rsidRPr="00DB286C" w:rsidRDefault="000C5264" w:rsidP="00A61052">
            <w:pPr>
              <w:spacing w:before="40" w:after="40"/>
              <w:ind w:left="57" w:right="57"/>
              <w:rPr>
                <w:b/>
                <w:szCs w:val="24"/>
                <w:lang w:val="fr-FR" w:eastAsia="fr-FR"/>
              </w:rPr>
            </w:pPr>
            <w:r w:rsidRPr="00DB286C">
              <w:rPr>
                <w:szCs w:val="24"/>
                <w:lang w:val="fr-FR" w:eastAsia="fr-FR"/>
              </w:rPr>
              <w:t>Catégorie/</w:t>
            </w:r>
            <w:r w:rsidRPr="00DB286C">
              <w:rPr>
                <w:b/>
                <w:szCs w:val="24"/>
                <w:lang w:val="fr-FR" w:eastAsia="fr-FR"/>
              </w:rPr>
              <w:t>Sous-catégorie</w:t>
            </w:r>
          </w:p>
        </w:tc>
        <w:tc>
          <w:tcPr>
            <w:tcW w:w="1625" w:type="dxa"/>
            <w:tcBorders>
              <w:bottom w:val="single" w:sz="12" w:space="0" w:color="auto"/>
            </w:tcBorders>
            <w:shd w:val="clear" w:color="auto" w:fill="auto"/>
          </w:tcPr>
          <w:p w:rsidR="000C5264" w:rsidRPr="00DB286C" w:rsidRDefault="000C5264" w:rsidP="00A61052">
            <w:pPr>
              <w:spacing w:before="40" w:after="40"/>
              <w:ind w:left="57" w:right="57"/>
              <w:jc w:val="center"/>
              <w:rPr>
                <w:szCs w:val="24"/>
                <w:lang w:val="fr-FR" w:eastAsia="fr-FR"/>
              </w:rPr>
            </w:pPr>
          </w:p>
        </w:tc>
        <w:tc>
          <w:tcPr>
            <w:tcW w:w="1625" w:type="dxa"/>
            <w:tcBorders>
              <w:bottom w:val="single" w:sz="12" w:space="0" w:color="auto"/>
            </w:tcBorders>
            <w:shd w:val="clear" w:color="auto" w:fill="auto"/>
          </w:tcPr>
          <w:p w:rsidR="000C5264" w:rsidRPr="00DB286C" w:rsidRDefault="000C5264" w:rsidP="00A61052">
            <w:pPr>
              <w:spacing w:before="40" w:after="40"/>
              <w:ind w:left="57" w:right="57"/>
              <w:jc w:val="center"/>
              <w:rPr>
                <w:szCs w:val="24"/>
                <w:lang w:val="fr-FR" w:eastAsia="fr-FR"/>
              </w:rPr>
            </w:pPr>
          </w:p>
        </w:tc>
        <w:tc>
          <w:tcPr>
            <w:tcW w:w="1626" w:type="dxa"/>
            <w:tcBorders>
              <w:bottom w:val="single" w:sz="12" w:space="0" w:color="auto"/>
            </w:tcBorders>
            <w:shd w:val="clear" w:color="auto" w:fill="auto"/>
          </w:tcPr>
          <w:p w:rsidR="000C5264" w:rsidRPr="00DB286C" w:rsidRDefault="000C5264" w:rsidP="00A61052">
            <w:pPr>
              <w:spacing w:before="40" w:after="40"/>
              <w:ind w:left="57" w:right="57"/>
              <w:jc w:val="center"/>
              <w:rPr>
                <w:szCs w:val="24"/>
                <w:lang w:val="fr-FR" w:eastAsia="fr-FR"/>
              </w:rPr>
            </w:pPr>
          </w:p>
        </w:tc>
      </w:tr>
    </w:tbl>
    <w:p w:rsidR="000C5264" w:rsidRDefault="00DB286C" w:rsidP="00DB286C">
      <w:pPr>
        <w:pStyle w:val="SingleTxtG"/>
        <w:jc w:val="right"/>
        <w:rPr>
          <w:lang w:val="fr-FR"/>
        </w:rPr>
      </w:pPr>
      <w:r>
        <w:rPr>
          <w:lang w:val="fr-FR"/>
        </w:rPr>
        <w:t> ».</w:t>
      </w:r>
    </w:p>
    <w:p w:rsidR="000C5264" w:rsidRDefault="000C5264" w:rsidP="00DB286C">
      <w:pPr>
        <w:pStyle w:val="SingleTxtG"/>
        <w:keepNext/>
        <w:rPr>
          <w:lang w:val="fr-FR"/>
        </w:rPr>
      </w:pPr>
      <w:r w:rsidRPr="00DB286C">
        <w:rPr>
          <w:i/>
          <w:lang w:val="fr-FR"/>
        </w:rPr>
        <w:lastRenderedPageBreak/>
        <w:t>Annexe 3, paragraphe 3</w:t>
      </w:r>
      <w:r>
        <w:rPr>
          <w:lang w:val="fr-FR"/>
        </w:rPr>
        <w:t>, modifier comme suit :</w:t>
      </w:r>
    </w:p>
    <w:p w:rsidR="000C5264" w:rsidRDefault="00F0559E" w:rsidP="00A911B2">
      <w:pPr>
        <w:pStyle w:val="SingleTxtG"/>
        <w:keepNext/>
        <w:rPr>
          <w:lang w:val="fr-FR"/>
        </w:rPr>
      </w:pPr>
      <w:r>
        <w:rPr>
          <w:lang w:val="fr-FR"/>
        </w:rPr>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7"/>
        <w:gridCol w:w="2457"/>
        <w:gridCol w:w="2457"/>
      </w:tblGrid>
      <w:tr w:rsidR="00F15C54" w:rsidRPr="00A911B2" w:rsidTr="005C2DF9">
        <w:trPr>
          <w:tblHeader/>
        </w:trPr>
        <w:tc>
          <w:tcPr>
            <w:tcW w:w="7370" w:type="dxa"/>
            <w:tcBorders>
              <w:bottom w:val="single" w:sz="12" w:space="0" w:color="auto"/>
              <w:right w:val="nil"/>
            </w:tcBorders>
            <w:shd w:val="clear" w:color="auto" w:fill="auto"/>
            <w:vAlign w:val="bottom"/>
          </w:tcPr>
          <w:p w:rsidR="00F15C54" w:rsidRPr="00A911B2" w:rsidRDefault="00F15C54" w:rsidP="00A61052">
            <w:pPr>
              <w:keepNext/>
              <w:spacing w:before="40" w:after="40" w:line="200" w:lineRule="exact"/>
              <w:ind w:left="57" w:right="57"/>
              <w:rPr>
                <w:i/>
                <w:sz w:val="16"/>
                <w:lang w:val="fr-FR" w:eastAsia="en-GB"/>
              </w:rPr>
            </w:pPr>
            <w:r w:rsidRPr="00A911B2">
              <w:rPr>
                <w:i/>
                <w:sz w:val="16"/>
                <w:lang w:val="fr-FR" w:eastAsia="en-GB"/>
              </w:rPr>
              <w:t>Numéro</w:t>
            </w:r>
          </w:p>
        </w:tc>
        <w:tc>
          <w:tcPr>
            <w:tcW w:w="7370" w:type="dxa"/>
            <w:tcBorders>
              <w:left w:val="nil"/>
              <w:bottom w:val="single" w:sz="12" w:space="0" w:color="auto"/>
              <w:right w:val="nil"/>
            </w:tcBorders>
          </w:tcPr>
          <w:p w:rsidR="00F15C54" w:rsidRPr="00A911B2" w:rsidRDefault="00F15C54" w:rsidP="00A61052">
            <w:pPr>
              <w:keepNext/>
              <w:spacing w:before="40" w:after="40" w:line="200" w:lineRule="exact"/>
              <w:ind w:left="57" w:right="57"/>
              <w:rPr>
                <w:i/>
                <w:sz w:val="16"/>
                <w:lang w:val="fr-FR" w:eastAsia="en-GB"/>
              </w:rPr>
            </w:pPr>
          </w:p>
        </w:tc>
        <w:tc>
          <w:tcPr>
            <w:tcW w:w="7370" w:type="dxa"/>
            <w:tcBorders>
              <w:left w:val="nil"/>
              <w:bottom w:val="single" w:sz="12" w:space="0" w:color="auto"/>
            </w:tcBorders>
          </w:tcPr>
          <w:p w:rsidR="00F15C54" w:rsidRPr="00A911B2" w:rsidRDefault="00F15C54" w:rsidP="00A61052">
            <w:pPr>
              <w:keepNext/>
              <w:spacing w:before="40" w:after="40" w:line="200" w:lineRule="exact"/>
              <w:ind w:left="57" w:right="57"/>
              <w:rPr>
                <w:i/>
                <w:sz w:val="16"/>
                <w:lang w:val="fr-FR" w:eastAsia="en-GB"/>
              </w:rPr>
            </w:pPr>
          </w:p>
        </w:tc>
      </w:tr>
      <w:tr w:rsidR="00F15C54" w:rsidRPr="00A911B2" w:rsidTr="005C2DF9">
        <w:tc>
          <w:tcPr>
            <w:tcW w:w="7370" w:type="dxa"/>
            <w:tcBorders>
              <w:top w:val="single" w:sz="12" w:space="0" w:color="auto"/>
              <w:right w:val="single" w:sz="4" w:space="0" w:color="auto"/>
            </w:tcBorders>
            <w:shd w:val="clear" w:color="auto" w:fill="auto"/>
          </w:tcPr>
          <w:p w:rsidR="00F15C54" w:rsidRPr="00A911B2" w:rsidRDefault="00F15C54" w:rsidP="00A61052">
            <w:pPr>
              <w:spacing w:before="40" w:after="40"/>
              <w:ind w:left="57" w:right="57"/>
              <w:rPr>
                <w:lang w:val="fr-FR" w:eastAsia="en-GB"/>
              </w:rPr>
            </w:pPr>
            <w:r>
              <w:rPr>
                <w:lang w:val="fr-FR" w:eastAsia="en-GB"/>
              </w:rPr>
              <w:t>Fabricant du véhicule</w:t>
            </w:r>
            <w:r>
              <w:rPr>
                <w:lang w:val="fr-FR" w:eastAsia="en-GB"/>
              </w:rPr>
              <w:br/>
            </w:r>
            <w:r w:rsidRPr="00A911B2">
              <w:rPr>
                <w:lang w:val="fr-FR" w:eastAsia="en-GB"/>
              </w:rPr>
              <w:t>ou du moteur</w:t>
            </w:r>
          </w:p>
        </w:tc>
        <w:tc>
          <w:tcPr>
            <w:tcW w:w="7370" w:type="dxa"/>
            <w:tcBorders>
              <w:top w:val="single" w:sz="12" w:space="0" w:color="auto"/>
              <w:left w:val="single" w:sz="4" w:space="0" w:color="auto"/>
              <w:right w:val="single" w:sz="4" w:space="0" w:color="auto"/>
            </w:tcBorders>
          </w:tcPr>
          <w:p w:rsidR="00F15C54" w:rsidRPr="00A911B2" w:rsidRDefault="00F15C54" w:rsidP="00A61052">
            <w:pPr>
              <w:spacing w:before="40" w:after="40"/>
              <w:ind w:left="57" w:right="57"/>
              <w:rPr>
                <w:lang w:val="fr-FR" w:eastAsia="en-GB"/>
              </w:rPr>
            </w:pPr>
          </w:p>
        </w:tc>
        <w:tc>
          <w:tcPr>
            <w:tcW w:w="7370" w:type="dxa"/>
            <w:tcBorders>
              <w:top w:val="single" w:sz="12" w:space="0" w:color="auto"/>
              <w:left w:val="single" w:sz="4" w:space="0" w:color="auto"/>
            </w:tcBorders>
          </w:tcPr>
          <w:p w:rsidR="00F15C54" w:rsidRPr="00A911B2" w:rsidRDefault="00F15C54" w:rsidP="00A61052">
            <w:pPr>
              <w:spacing w:before="40" w:after="40"/>
              <w:ind w:left="57" w:right="57"/>
              <w:rPr>
                <w:lang w:val="fr-FR" w:eastAsia="en-GB"/>
              </w:rPr>
            </w:pPr>
          </w:p>
        </w:tc>
      </w:tr>
      <w:tr w:rsidR="00F15C54" w:rsidRPr="00A911B2" w:rsidTr="005C2DF9">
        <w:tc>
          <w:tcPr>
            <w:tcW w:w="7370" w:type="dxa"/>
            <w:tcBorders>
              <w:right w:val="single" w:sz="4" w:space="0" w:color="auto"/>
            </w:tcBorders>
            <w:shd w:val="clear" w:color="auto" w:fill="auto"/>
          </w:tcPr>
          <w:p w:rsidR="00F15C54" w:rsidRPr="00A911B2" w:rsidRDefault="00F15C54" w:rsidP="00A61052">
            <w:pPr>
              <w:spacing w:before="40" w:after="40"/>
              <w:ind w:left="57" w:right="57"/>
              <w:rPr>
                <w:lang w:val="fr-FR" w:eastAsia="en-GB"/>
              </w:rPr>
            </w:pPr>
            <w:r w:rsidRPr="00A911B2">
              <w:rPr>
                <w:lang w:val="fr-FR" w:eastAsia="en-GB"/>
              </w:rPr>
              <w:t>Année modèle de/à</w:t>
            </w:r>
          </w:p>
        </w:tc>
        <w:tc>
          <w:tcPr>
            <w:tcW w:w="7370" w:type="dxa"/>
            <w:tcBorders>
              <w:left w:val="single" w:sz="4" w:space="0" w:color="auto"/>
              <w:right w:val="single" w:sz="4" w:space="0" w:color="auto"/>
            </w:tcBorders>
          </w:tcPr>
          <w:p w:rsidR="00F15C54" w:rsidRPr="00A911B2" w:rsidRDefault="00F15C54" w:rsidP="00A61052">
            <w:pPr>
              <w:spacing w:before="40" w:after="40"/>
              <w:ind w:left="57" w:right="57"/>
              <w:rPr>
                <w:lang w:val="fr-FR" w:eastAsia="en-GB"/>
              </w:rPr>
            </w:pPr>
          </w:p>
        </w:tc>
        <w:tc>
          <w:tcPr>
            <w:tcW w:w="7370" w:type="dxa"/>
            <w:tcBorders>
              <w:left w:val="single" w:sz="4" w:space="0" w:color="auto"/>
            </w:tcBorders>
          </w:tcPr>
          <w:p w:rsidR="00F15C54" w:rsidRPr="00A911B2" w:rsidRDefault="00F15C54" w:rsidP="00A61052">
            <w:pPr>
              <w:spacing w:before="40" w:after="40"/>
              <w:ind w:left="57" w:right="57"/>
              <w:rPr>
                <w:lang w:val="fr-FR" w:eastAsia="en-GB"/>
              </w:rPr>
            </w:pPr>
          </w:p>
        </w:tc>
      </w:tr>
      <w:tr w:rsidR="00F15C54" w:rsidRPr="00A911B2" w:rsidTr="005C2DF9">
        <w:tc>
          <w:tcPr>
            <w:tcW w:w="7370" w:type="dxa"/>
            <w:tcBorders>
              <w:right w:val="single" w:sz="4" w:space="0" w:color="auto"/>
            </w:tcBorders>
            <w:shd w:val="clear" w:color="auto" w:fill="auto"/>
          </w:tcPr>
          <w:p w:rsidR="00F15C54" w:rsidRPr="00A911B2" w:rsidRDefault="00F15C54" w:rsidP="00A61052">
            <w:pPr>
              <w:spacing w:before="40" w:after="40"/>
              <w:ind w:left="57" w:right="57"/>
              <w:rPr>
                <w:lang w:val="fr-FR" w:eastAsia="en-GB"/>
              </w:rPr>
            </w:pPr>
            <w:r w:rsidRPr="00A911B2">
              <w:rPr>
                <w:lang w:val="fr-FR" w:eastAsia="en-GB"/>
              </w:rPr>
              <w:t>Type du moteur</w:t>
            </w:r>
          </w:p>
        </w:tc>
        <w:tc>
          <w:tcPr>
            <w:tcW w:w="7370" w:type="dxa"/>
            <w:tcBorders>
              <w:left w:val="single" w:sz="4" w:space="0" w:color="auto"/>
              <w:right w:val="single" w:sz="4" w:space="0" w:color="auto"/>
            </w:tcBorders>
          </w:tcPr>
          <w:p w:rsidR="00F15C54" w:rsidRPr="00A911B2" w:rsidRDefault="00F15C54" w:rsidP="00A61052">
            <w:pPr>
              <w:spacing w:before="40" w:after="40"/>
              <w:ind w:left="57" w:right="57"/>
              <w:rPr>
                <w:lang w:val="fr-FR" w:eastAsia="en-GB"/>
              </w:rPr>
            </w:pPr>
          </w:p>
        </w:tc>
        <w:tc>
          <w:tcPr>
            <w:tcW w:w="7370" w:type="dxa"/>
            <w:tcBorders>
              <w:left w:val="single" w:sz="4" w:space="0" w:color="auto"/>
            </w:tcBorders>
          </w:tcPr>
          <w:p w:rsidR="00F15C54" w:rsidRPr="00A911B2" w:rsidRDefault="00F15C54" w:rsidP="00A61052">
            <w:pPr>
              <w:spacing w:before="40" w:after="40"/>
              <w:ind w:left="57" w:right="57"/>
              <w:rPr>
                <w:lang w:val="fr-FR" w:eastAsia="en-GB"/>
              </w:rPr>
            </w:pPr>
          </w:p>
        </w:tc>
      </w:tr>
      <w:tr w:rsidR="00F15C54" w:rsidRPr="00A911B2" w:rsidTr="005C2DF9">
        <w:tc>
          <w:tcPr>
            <w:tcW w:w="7370" w:type="dxa"/>
            <w:tcBorders>
              <w:right w:val="single" w:sz="4" w:space="0" w:color="auto"/>
            </w:tcBorders>
            <w:shd w:val="clear" w:color="auto" w:fill="auto"/>
          </w:tcPr>
          <w:p w:rsidR="00F15C54" w:rsidRPr="00A911B2" w:rsidRDefault="00F15C54" w:rsidP="00A61052">
            <w:pPr>
              <w:spacing w:before="40" w:after="40"/>
              <w:ind w:left="57" w:right="57"/>
              <w:rPr>
                <w:lang w:val="fr-FR" w:eastAsia="en-GB"/>
              </w:rPr>
            </w:pPr>
            <w:r w:rsidRPr="00A911B2">
              <w:rPr>
                <w:lang w:val="fr-FR" w:eastAsia="en-GB"/>
              </w:rPr>
              <w:t>Cylindrée unitaire</w:t>
            </w:r>
            <w:r>
              <w:rPr>
                <w:lang w:val="fr-FR" w:eastAsia="en-GB"/>
              </w:rPr>
              <w:t xml:space="preserve"> </w:t>
            </w:r>
            <w:r w:rsidRPr="00A911B2">
              <w:rPr>
                <w:lang w:val="fr-FR" w:eastAsia="en-GB"/>
              </w:rPr>
              <w:t xml:space="preserve">(cm³) </w:t>
            </w:r>
          </w:p>
        </w:tc>
        <w:tc>
          <w:tcPr>
            <w:tcW w:w="7370" w:type="dxa"/>
            <w:tcBorders>
              <w:left w:val="single" w:sz="4" w:space="0" w:color="auto"/>
              <w:right w:val="single" w:sz="4" w:space="0" w:color="auto"/>
            </w:tcBorders>
          </w:tcPr>
          <w:p w:rsidR="00F15C54" w:rsidRPr="00A911B2" w:rsidRDefault="00F15C54" w:rsidP="00A61052">
            <w:pPr>
              <w:spacing w:before="40" w:after="40"/>
              <w:ind w:left="57" w:right="57"/>
              <w:rPr>
                <w:lang w:val="fr-FR" w:eastAsia="en-GB"/>
              </w:rPr>
            </w:pPr>
          </w:p>
        </w:tc>
        <w:tc>
          <w:tcPr>
            <w:tcW w:w="7370" w:type="dxa"/>
            <w:tcBorders>
              <w:left w:val="single" w:sz="4" w:space="0" w:color="auto"/>
            </w:tcBorders>
          </w:tcPr>
          <w:p w:rsidR="00F15C54" w:rsidRPr="00A911B2" w:rsidRDefault="00F15C54" w:rsidP="00A61052">
            <w:pPr>
              <w:spacing w:before="40" w:after="40"/>
              <w:ind w:left="57" w:right="57"/>
              <w:rPr>
                <w:lang w:val="fr-FR" w:eastAsia="en-GB"/>
              </w:rPr>
            </w:pPr>
          </w:p>
        </w:tc>
      </w:tr>
      <w:tr w:rsidR="00F15C54" w:rsidRPr="00A911B2" w:rsidTr="005C2DF9">
        <w:tc>
          <w:tcPr>
            <w:tcW w:w="7370" w:type="dxa"/>
            <w:tcBorders>
              <w:right w:val="single" w:sz="4" w:space="0" w:color="auto"/>
            </w:tcBorders>
            <w:shd w:val="clear" w:color="auto" w:fill="auto"/>
          </w:tcPr>
          <w:p w:rsidR="00F15C54" w:rsidRPr="00A911B2" w:rsidRDefault="00F15C54" w:rsidP="00A61052">
            <w:pPr>
              <w:spacing w:before="40" w:after="40"/>
              <w:ind w:left="57" w:right="57"/>
              <w:rPr>
                <w:lang w:val="fr-FR" w:eastAsia="en-GB"/>
              </w:rPr>
            </w:pPr>
            <w:r w:rsidRPr="00A911B2">
              <w:rPr>
                <w:lang w:val="fr-FR" w:eastAsia="en-GB"/>
              </w:rPr>
              <w:t>Cylindrée totale (cm³)</w:t>
            </w:r>
          </w:p>
        </w:tc>
        <w:tc>
          <w:tcPr>
            <w:tcW w:w="7370" w:type="dxa"/>
            <w:tcBorders>
              <w:left w:val="single" w:sz="4" w:space="0" w:color="auto"/>
              <w:right w:val="single" w:sz="4" w:space="0" w:color="auto"/>
            </w:tcBorders>
          </w:tcPr>
          <w:p w:rsidR="00F15C54" w:rsidRPr="00A911B2" w:rsidRDefault="00F15C54" w:rsidP="00A61052">
            <w:pPr>
              <w:spacing w:before="40" w:after="40"/>
              <w:ind w:left="57" w:right="57"/>
              <w:rPr>
                <w:lang w:val="fr-FR" w:eastAsia="en-GB"/>
              </w:rPr>
            </w:pPr>
          </w:p>
        </w:tc>
        <w:tc>
          <w:tcPr>
            <w:tcW w:w="7370" w:type="dxa"/>
            <w:tcBorders>
              <w:left w:val="single" w:sz="4" w:space="0" w:color="auto"/>
            </w:tcBorders>
          </w:tcPr>
          <w:p w:rsidR="00F15C54" w:rsidRPr="00A911B2" w:rsidRDefault="00F15C54" w:rsidP="00A61052">
            <w:pPr>
              <w:spacing w:before="40" w:after="40"/>
              <w:ind w:left="57" w:right="57"/>
              <w:rPr>
                <w:lang w:val="fr-FR" w:eastAsia="en-GB"/>
              </w:rPr>
            </w:pPr>
          </w:p>
        </w:tc>
      </w:tr>
      <w:tr w:rsidR="00F15C54" w:rsidRPr="00A911B2" w:rsidTr="005C2DF9">
        <w:tc>
          <w:tcPr>
            <w:tcW w:w="7370" w:type="dxa"/>
            <w:tcBorders>
              <w:right w:val="single" w:sz="4" w:space="0" w:color="auto"/>
            </w:tcBorders>
            <w:shd w:val="clear" w:color="auto" w:fill="auto"/>
          </w:tcPr>
          <w:p w:rsidR="00F15C54" w:rsidRPr="00A911B2" w:rsidRDefault="00F15C54" w:rsidP="00A61052">
            <w:pPr>
              <w:spacing w:before="40" w:after="40"/>
              <w:ind w:left="57" w:right="57"/>
              <w:rPr>
                <w:lang w:val="fr-FR" w:eastAsia="en-GB"/>
              </w:rPr>
            </w:pPr>
            <w:r w:rsidRPr="00A911B2">
              <w:rPr>
                <w:lang w:val="fr-FR" w:eastAsia="en-GB"/>
              </w:rPr>
              <w:t xml:space="preserve">Puissance </w:t>
            </w:r>
            <w:r w:rsidRPr="00A911B2">
              <w:rPr>
                <w:strike/>
                <w:lang w:val="fr-FR" w:eastAsia="en-GB"/>
              </w:rPr>
              <w:t>nette</w:t>
            </w:r>
            <w:r w:rsidRPr="00A911B2">
              <w:rPr>
                <w:lang w:val="fr-FR" w:eastAsia="en-GB"/>
              </w:rPr>
              <w:t xml:space="preserve"> du moteur (kW à min</w:t>
            </w:r>
            <w:r w:rsidRPr="00A911B2">
              <w:rPr>
                <w:vertAlign w:val="superscript"/>
                <w:lang w:val="fr-FR" w:eastAsia="en-GB"/>
              </w:rPr>
              <w:t>-1</w:t>
            </w:r>
            <w:r w:rsidRPr="00A911B2">
              <w:rPr>
                <w:lang w:val="fr-FR" w:eastAsia="en-GB"/>
              </w:rPr>
              <w:t>)</w:t>
            </w:r>
            <w:r w:rsidRPr="00A911B2">
              <w:rPr>
                <w:b/>
                <w:vertAlign w:val="superscript"/>
                <w:lang w:val="fr-FR" w:eastAsia="en-GB"/>
              </w:rPr>
              <w:t>1</w:t>
            </w:r>
          </w:p>
        </w:tc>
        <w:tc>
          <w:tcPr>
            <w:tcW w:w="7370" w:type="dxa"/>
            <w:tcBorders>
              <w:left w:val="single" w:sz="4" w:space="0" w:color="auto"/>
              <w:right w:val="single" w:sz="4" w:space="0" w:color="auto"/>
            </w:tcBorders>
          </w:tcPr>
          <w:p w:rsidR="00F15C54" w:rsidRPr="00A911B2" w:rsidRDefault="00F15C54" w:rsidP="00A61052">
            <w:pPr>
              <w:spacing w:before="40" w:after="40"/>
              <w:ind w:left="57" w:right="57"/>
              <w:rPr>
                <w:lang w:val="fr-FR" w:eastAsia="en-GB"/>
              </w:rPr>
            </w:pPr>
          </w:p>
        </w:tc>
        <w:tc>
          <w:tcPr>
            <w:tcW w:w="7370" w:type="dxa"/>
            <w:tcBorders>
              <w:left w:val="single" w:sz="4" w:space="0" w:color="auto"/>
            </w:tcBorders>
          </w:tcPr>
          <w:p w:rsidR="00F15C54" w:rsidRPr="00A911B2" w:rsidRDefault="00F15C54" w:rsidP="00A61052">
            <w:pPr>
              <w:spacing w:before="40" w:after="40"/>
              <w:ind w:left="57" w:right="57"/>
              <w:rPr>
                <w:lang w:val="fr-FR" w:eastAsia="en-GB"/>
              </w:rPr>
            </w:pPr>
          </w:p>
        </w:tc>
      </w:tr>
      <w:tr w:rsidR="00F15C54" w:rsidRPr="00A911B2" w:rsidTr="005C2DF9">
        <w:tc>
          <w:tcPr>
            <w:tcW w:w="7370" w:type="dxa"/>
            <w:tcBorders>
              <w:right w:val="single" w:sz="4" w:space="0" w:color="auto"/>
            </w:tcBorders>
            <w:shd w:val="clear" w:color="auto" w:fill="auto"/>
          </w:tcPr>
          <w:p w:rsidR="00F15C54" w:rsidRPr="00A911B2" w:rsidRDefault="00F15C54" w:rsidP="006B44BE">
            <w:pPr>
              <w:spacing w:before="40" w:after="40"/>
              <w:ind w:left="57" w:right="57"/>
              <w:rPr>
                <w:lang w:val="fr-FR" w:eastAsia="en-GB"/>
              </w:rPr>
            </w:pPr>
            <w:r w:rsidRPr="00A911B2">
              <w:rPr>
                <w:lang w:val="fr-FR" w:eastAsia="en-GB"/>
              </w:rPr>
              <w:t>Émissions de base</w:t>
            </w:r>
            <w:r w:rsidR="006B44BE">
              <w:rPr>
                <w:lang w:val="fr-FR" w:eastAsia="en-GB"/>
              </w:rPr>
              <w:br/>
            </w:r>
            <w:r w:rsidRPr="00A911B2">
              <w:rPr>
                <w:lang w:val="fr-FR" w:eastAsia="en-GB"/>
              </w:rPr>
              <w:t>du moteur</w:t>
            </w:r>
          </w:p>
        </w:tc>
        <w:tc>
          <w:tcPr>
            <w:tcW w:w="7370" w:type="dxa"/>
            <w:tcBorders>
              <w:left w:val="single" w:sz="4" w:space="0" w:color="auto"/>
              <w:right w:val="single" w:sz="4" w:space="0" w:color="auto"/>
            </w:tcBorders>
          </w:tcPr>
          <w:p w:rsidR="00F15C54" w:rsidRPr="00A911B2" w:rsidRDefault="00F15C54" w:rsidP="00A61052">
            <w:pPr>
              <w:spacing w:before="40" w:after="40"/>
              <w:ind w:left="57" w:right="57"/>
              <w:rPr>
                <w:lang w:val="fr-FR" w:eastAsia="en-GB"/>
              </w:rPr>
            </w:pPr>
          </w:p>
        </w:tc>
        <w:tc>
          <w:tcPr>
            <w:tcW w:w="7370" w:type="dxa"/>
            <w:tcBorders>
              <w:left w:val="single" w:sz="4" w:space="0" w:color="auto"/>
            </w:tcBorders>
          </w:tcPr>
          <w:p w:rsidR="00F15C54" w:rsidRPr="00A911B2" w:rsidRDefault="00F15C54" w:rsidP="00A61052">
            <w:pPr>
              <w:spacing w:before="40" w:after="40"/>
              <w:ind w:left="57" w:right="57"/>
              <w:rPr>
                <w:lang w:val="fr-FR" w:eastAsia="en-GB"/>
              </w:rPr>
            </w:pPr>
          </w:p>
        </w:tc>
      </w:tr>
      <w:tr w:rsidR="00F15C54" w:rsidRPr="00A911B2" w:rsidTr="005C2DF9">
        <w:tc>
          <w:tcPr>
            <w:tcW w:w="7370" w:type="dxa"/>
            <w:tcBorders>
              <w:right w:val="single" w:sz="4" w:space="0" w:color="auto"/>
            </w:tcBorders>
            <w:shd w:val="clear" w:color="auto" w:fill="auto"/>
          </w:tcPr>
          <w:p w:rsidR="00F15C54" w:rsidRPr="00A911B2" w:rsidRDefault="00F15C54" w:rsidP="00A61052">
            <w:pPr>
              <w:spacing w:before="40" w:after="40"/>
              <w:ind w:left="57" w:right="57"/>
              <w:rPr>
                <w:lang w:val="fr-FR" w:eastAsia="en-GB"/>
              </w:rPr>
            </w:pPr>
            <w:r w:rsidRPr="00A911B2">
              <w:rPr>
                <w:lang w:val="fr-FR" w:eastAsia="en-GB"/>
              </w:rPr>
              <w:t>Silencieux remplacé</w:t>
            </w:r>
          </w:p>
        </w:tc>
        <w:tc>
          <w:tcPr>
            <w:tcW w:w="7370" w:type="dxa"/>
            <w:tcBorders>
              <w:left w:val="single" w:sz="4" w:space="0" w:color="auto"/>
              <w:right w:val="single" w:sz="4" w:space="0" w:color="auto"/>
            </w:tcBorders>
          </w:tcPr>
          <w:p w:rsidR="00F15C54" w:rsidRPr="00A911B2" w:rsidRDefault="00F15C54" w:rsidP="00A61052">
            <w:pPr>
              <w:spacing w:before="40" w:after="40"/>
              <w:ind w:left="57" w:right="57"/>
              <w:rPr>
                <w:lang w:val="fr-FR" w:eastAsia="en-GB"/>
              </w:rPr>
            </w:pPr>
          </w:p>
        </w:tc>
        <w:tc>
          <w:tcPr>
            <w:tcW w:w="7370" w:type="dxa"/>
            <w:tcBorders>
              <w:left w:val="single" w:sz="4" w:space="0" w:color="auto"/>
            </w:tcBorders>
          </w:tcPr>
          <w:p w:rsidR="00F15C54" w:rsidRPr="00A911B2" w:rsidRDefault="00F15C54" w:rsidP="00A61052">
            <w:pPr>
              <w:spacing w:before="40" w:after="40"/>
              <w:ind w:left="57" w:right="57"/>
              <w:rPr>
                <w:lang w:val="fr-FR" w:eastAsia="en-GB"/>
              </w:rPr>
            </w:pPr>
          </w:p>
        </w:tc>
      </w:tr>
      <w:tr w:rsidR="00F15C54" w:rsidRPr="00A911B2" w:rsidTr="005C2DF9">
        <w:tc>
          <w:tcPr>
            <w:tcW w:w="7370" w:type="dxa"/>
            <w:tcBorders>
              <w:bottom w:val="single" w:sz="4" w:space="0" w:color="auto"/>
              <w:right w:val="single" w:sz="4" w:space="0" w:color="auto"/>
            </w:tcBorders>
            <w:shd w:val="clear" w:color="auto" w:fill="auto"/>
          </w:tcPr>
          <w:p w:rsidR="00F15C54" w:rsidRPr="00A911B2" w:rsidRDefault="001434BE" w:rsidP="00A61052">
            <w:pPr>
              <w:spacing w:before="40" w:after="40"/>
              <w:ind w:left="57" w:right="57"/>
              <w:rPr>
                <w:lang w:val="fr-FR" w:eastAsia="en-GB"/>
              </w:rPr>
            </w:pPr>
            <w:r>
              <w:rPr>
                <w:lang w:val="fr-FR" w:eastAsia="en-GB"/>
              </w:rPr>
              <w:t>Identification du type</w:t>
            </w:r>
            <w:r>
              <w:rPr>
                <w:lang w:val="fr-FR" w:eastAsia="en-GB"/>
              </w:rPr>
              <w:br/>
            </w:r>
            <w:r w:rsidR="00F15C54" w:rsidRPr="00A911B2">
              <w:rPr>
                <w:lang w:val="fr-FR" w:eastAsia="en-GB"/>
              </w:rPr>
              <w:t>de DAM</w:t>
            </w:r>
          </w:p>
        </w:tc>
        <w:tc>
          <w:tcPr>
            <w:tcW w:w="7370" w:type="dxa"/>
            <w:tcBorders>
              <w:left w:val="single" w:sz="4" w:space="0" w:color="auto"/>
              <w:bottom w:val="single" w:sz="4" w:space="0" w:color="auto"/>
              <w:right w:val="single" w:sz="4" w:space="0" w:color="auto"/>
            </w:tcBorders>
          </w:tcPr>
          <w:p w:rsidR="00F15C54" w:rsidRPr="00A911B2" w:rsidRDefault="00F15C54" w:rsidP="00A61052">
            <w:pPr>
              <w:spacing w:before="40" w:after="40"/>
              <w:ind w:left="57" w:right="57"/>
              <w:rPr>
                <w:lang w:val="fr-FR" w:eastAsia="en-GB"/>
              </w:rPr>
            </w:pPr>
          </w:p>
        </w:tc>
        <w:tc>
          <w:tcPr>
            <w:tcW w:w="7370" w:type="dxa"/>
            <w:tcBorders>
              <w:left w:val="single" w:sz="4" w:space="0" w:color="auto"/>
              <w:bottom w:val="single" w:sz="4" w:space="0" w:color="auto"/>
            </w:tcBorders>
          </w:tcPr>
          <w:p w:rsidR="00F15C54" w:rsidRPr="00A911B2" w:rsidRDefault="00F15C54" w:rsidP="00A61052">
            <w:pPr>
              <w:spacing w:before="40" w:after="40"/>
              <w:ind w:left="57" w:right="57"/>
              <w:rPr>
                <w:lang w:val="fr-FR" w:eastAsia="en-GB"/>
              </w:rPr>
            </w:pPr>
          </w:p>
        </w:tc>
      </w:tr>
      <w:tr w:rsidR="00F15C54" w:rsidRPr="00A911B2" w:rsidTr="005C2DF9">
        <w:tc>
          <w:tcPr>
            <w:tcW w:w="7370" w:type="dxa"/>
            <w:tcBorders>
              <w:bottom w:val="single" w:sz="12" w:space="0" w:color="auto"/>
              <w:right w:val="single" w:sz="4" w:space="0" w:color="auto"/>
            </w:tcBorders>
            <w:shd w:val="clear" w:color="auto" w:fill="auto"/>
          </w:tcPr>
          <w:p w:rsidR="00F15C54" w:rsidRPr="00A911B2" w:rsidRDefault="00F15C54" w:rsidP="00A61052">
            <w:pPr>
              <w:spacing w:before="40" w:after="40"/>
              <w:ind w:left="57" w:right="57"/>
              <w:rPr>
                <w:lang w:val="fr-FR" w:eastAsia="en-GB"/>
              </w:rPr>
            </w:pPr>
            <w:r>
              <w:rPr>
                <w:lang w:val="fr-FR" w:eastAsia="en-GB"/>
              </w:rPr>
              <w:t>Type de DAM et niveau</w:t>
            </w:r>
            <w:r>
              <w:rPr>
                <w:lang w:val="fr-FR" w:eastAsia="en-GB"/>
              </w:rPr>
              <w:br/>
            </w:r>
            <w:r w:rsidRPr="00A911B2">
              <w:rPr>
                <w:lang w:val="fr-FR" w:eastAsia="en-GB"/>
              </w:rPr>
              <w:t>de réduction</w:t>
            </w:r>
          </w:p>
        </w:tc>
        <w:tc>
          <w:tcPr>
            <w:tcW w:w="7370" w:type="dxa"/>
            <w:tcBorders>
              <w:left w:val="single" w:sz="4" w:space="0" w:color="auto"/>
              <w:bottom w:val="single" w:sz="12" w:space="0" w:color="auto"/>
              <w:right w:val="single" w:sz="4" w:space="0" w:color="auto"/>
            </w:tcBorders>
          </w:tcPr>
          <w:p w:rsidR="00F15C54" w:rsidRPr="00A911B2" w:rsidRDefault="00F15C54" w:rsidP="00A61052">
            <w:pPr>
              <w:spacing w:before="40" w:after="40"/>
              <w:ind w:left="57" w:right="57"/>
              <w:rPr>
                <w:lang w:val="fr-FR" w:eastAsia="en-GB"/>
              </w:rPr>
            </w:pPr>
          </w:p>
        </w:tc>
        <w:tc>
          <w:tcPr>
            <w:tcW w:w="7370" w:type="dxa"/>
            <w:tcBorders>
              <w:left w:val="single" w:sz="4" w:space="0" w:color="auto"/>
              <w:bottom w:val="single" w:sz="12" w:space="0" w:color="auto"/>
            </w:tcBorders>
          </w:tcPr>
          <w:p w:rsidR="00F15C54" w:rsidRPr="00A911B2" w:rsidRDefault="00F15C54" w:rsidP="00A61052">
            <w:pPr>
              <w:spacing w:before="40" w:after="40"/>
              <w:ind w:left="57" w:right="57"/>
              <w:rPr>
                <w:lang w:val="fr-FR" w:eastAsia="en-GB"/>
              </w:rPr>
            </w:pPr>
          </w:p>
        </w:tc>
      </w:tr>
    </w:tbl>
    <w:p w:rsidR="000C5264" w:rsidRPr="00A911B2" w:rsidRDefault="000C5264" w:rsidP="001434BE">
      <w:pPr>
        <w:pStyle w:val="SingleTxtG"/>
        <w:spacing w:before="120"/>
        <w:ind w:firstLine="170"/>
        <w:rPr>
          <w:sz w:val="18"/>
          <w:szCs w:val="18"/>
          <w:lang w:val="fr-FR"/>
        </w:rPr>
      </w:pPr>
      <w:r w:rsidRPr="006464CE">
        <w:rPr>
          <w:b/>
          <w:sz w:val="18"/>
          <w:szCs w:val="18"/>
          <w:vertAlign w:val="superscript"/>
          <w:lang w:val="fr-FR"/>
        </w:rPr>
        <w:t>1</w:t>
      </w:r>
      <w:r w:rsidRPr="006464CE">
        <w:rPr>
          <w:b/>
          <w:sz w:val="18"/>
          <w:szCs w:val="18"/>
          <w:lang w:val="fr-FR"/>
        </w:rPr>
        <w:t xml:space="preserve"> </w:t>
      </w:r>
      <w:r w:rsidR="00A911B2" w:rsidRPr="006464CE">
        <w:rPr>
          <w:b/>
          <w:sz w:val="18"/>
          <w:szCs w:val="18"/>
          <w:lang w:val="fr-FR"/>
        </w:rPr>
        <w:t xml:space="preserve"> </w:t>
      </w:r>
      <w:r w:rsidRPr="006464CE">
        <w:rPr>
          <w:b/>
          <w:sz w:val="18"/>
          <w:szCs w:val="18"/>
          <w:lang w:val="fr-FR"/>
        </w:rPr>
        <w:t xml:space="preserve">Puissance </w:t>
      </w:r>
      <w:r w:rsidR="00A911B2" w:rsidRPr="006464CE">
        <w:rPr>
          <w:b/>
          <w:sz w:val="18"/>
          <w:szCs w:val="18"/>
          <w:lang w:val="fr-FR"/>
        </w:rPr>
        <w:t xml:space="preserve">du moteur selon le Règlement </w:t>
      </w:r>
      <w:r w:rsidR="00A911B2" w:rsidRPr="006464CE">
        <w:rPr>
          <w:rFonts w:eastAsia="MS Mincho"/>
          <w:b/>
          <w:sz w:val="18"/>
          <w:szCs w:val="18"/>
          <w:lang w:val="fr-FR"/>
        </w:rPr>
        <w:t>n</w:t>
      </w:r>
      <w:r w:rsidR="00A911B2" w:rsidRPr="006464CE">
        <w:rPr>
          <w:rFonts w:eastAsia="MS Mincho"/>
          <w:b/>
          <w:sz w:val="18"/>
          <w:szCs w:val="18"/>
          <w:vertAlign w:val="superscript"/>
          <w:lang w:val="fr-FR"/>
        </w:rPr>
        <w:t>o</w:t>
      </w:r>
      <w:r w:rsidR="00A911B2" w:rsidRPr="006464CE">
        <w:rPr>
          <w:b/>
          <w:sz w:val="18"/>
          <w:szCs w:val="18"/>
          <w:lang w:val="fr-FR"/>
        </w:rPr>
        <w:t> </w:t>
      </w:r>
      <w:r w:rsidRPr="006464CE">
        <w:rPr>
          <w:b/>
          <w:sz w:val="18"/>
          <w:szCs w:val="18"/>
          <w:lang w:val="fr-FR"/>
        </w:rPr>
        <w:t xml:space="preserve">85, puissance nette maximum du moteur selon le Règlement </w:t>
      </w:r>
      <w:r w:rsidR="00A911B2" w:rsidRPr="006464CE">
        <w:rPr>
          <w:rFonts w:eastAsia="MS Mincho"/>
          <w:b/>
          <w:sz w:val="18"/>
          <w:szCs w:val="18"/>
          <w:lang w:val="fr-FR"/>
        </w:rPr>
        <w:t>n</w:t>
      </w:r>
      <w:r w:rsidR="00A911B2" w:rsidRPr="006464CE">
        <w:rPr>
          <w:rFonts w:eastAsia="MS Mincho"/>
          <w:b/>
          <w:sz w:val="18"/>
          <w:szCs w:val="18"/>
          <w:vertAlign w:val="superscript"/>
          <w:lang w:val="fr-FR"/>
        </w:rPr>
        <w:t>o</w:t>
      </w:r>
      <w:r w:rsidR="00A911B2" w:rsidRPr="006464CE">
        <w:rPr>
          <w:b/>
          <w:sz w:val="18"/>
          <w:szCs w:val="18"/>
          <w:lang w:val="fr-FR"/>
        </w:rPr>
        <w:t> </w:t>
      </w:r>
      <w:r w:rsidRPr="006464CE">
        <w:rPr>
          <w:b/>
          <w:sz w:val="18"/>
          <w:szCs w:val="18"/>
          <w:lang w:val="fr-FR"/>
        </w:rPr>
        <w:t xml:space="preserve">120 ou puissance nette nominale du moteur selon le Règlement </w:t>
      </w:r>
      <w:r w:rsidR="00A911B2" w:rsidRPr="006464CE">
        <w:rPr>
          <w:rFonts w:eastAsia="MS Mincho"/>
          <w:b/>
          <w:sz w:val="18"/>
          <w:szCs w:val="18"/>
          <w:lang w:val="fr-FR"/>
        </w:rPr>
        <w:t>n</w:t>
      </w:r>
      <w:r w:rsidR="00A911B2" w:rsidRPr="006464CE">
        <w:rPr>
          <w:rFonts w:eastAsia="MS Mincho"/>
          <w:b/>
          <w:sz w:val="18"/>
          <w:szCs w:val="18"/>
          <w:vertAlign w:val="superscript"/>
          <w:lang w:val="fr-FR"/>
        </w:rPr>
        <w:t>o</w:t>
      </w:r>
      <w:r w:rsidR="00A911B2" w:rsidRPr="006464CE">
        <w:rPr>
          <w:b/>
          <w:sz w:val="18"/>
          <w:szCs w:val="18"/>
          <w:lang w:val="fr-FR"/>
        </w:rPr>
        <w:t> </w:t>
      </w:r>
      <w:r w:rsidRPr="006464CE">
        <w:rPr>
          <w:b/>
          <w:sz w:val="18"/>
          <w:szCs w:val="18"/>
          <w:lang w:val="fr-FR"/>
        </w:rPr>
        <w:t>120, selon le cas</w:t>
      </w:r>
      <w:r w:rsidRPr="00A911B2">
        <w:rPr>
          <w:sz w:val="18"/>
          <w:szCs w:val="18"/>
          <w:lang w:val="fr-FR"/>
        </w:rPr>
        <w:t> ».</w:t>
      </w:r>
    </w:p>
    <w:p w:rsidR="000C5264" w:rsidRDefault="000C5264" w:rsidP="00A911B2">
      <w:pPr>
        <w:pStyle w:val="SingleTxtG"/>
        <w:rPr>
          <w:lang w:val="fr-FR"/>
        </w:rPr>
      </w:pPr>
      <w:r w:rsidRPr="00A911B2">
        <w:rPr>
          <w:i/>
          <w:lang w:val="fr-FR"/>
        </w:rPr>
        <w:t>Annexe 5, paragraphe 4.6.1, (second alinéa)</w:t>
      </w:r>
      <w:r w:rsidRPr="00904089">
        <w:rPr>
          <w:lang w:val="fr-FR"/>
        </w:rPr>
        <w:t xml:space="preserve">, </w:t>
      </w:r>
      <w:r>
        <w:rPr>
          <w:lang w:val="fr-FR"/>
        </w:rPr>
        <w:t>sans objet en français.</w:t>
      </w:r>
    </w:p>
    <w:p w:rsidR="000C5264" w:rsidRDefault="000C5264" w:rsidP="00A911B2">
      <w:pPr>
        <w:pStyle w:val="SingleTxtG"/>
        <w:rPr>
          <w:lang w:val="fr-FR"/>
        </w:rPr>
      </w:pPr>
      <w:r w:rsidRPr="00A911B2">
        <w:rPr>
          <w:i/>
          <w:lang w:val="fr-FR"/>
        </w:rPr>
        <w:t>Annexe 5, paragraphe 4.7.2, (troisième alinéa)</w:t>
      </w:r>
      <w:r w:rsidRPr="00904089">
        <w:rPr>
          <w:lang w:val="fr-FR"/>
        </w:rPr>
        <w:t>, modifier comme suit</w:t>
      </w:r>
      <w:r>
        <w:rPr>
          <w:lang w:val="fr-FR"/>
        </w:rPr>
        <w:t> :</w:t>
      </w:r>
    </w:p>
    <w:p w:rsidR="000C5264" w:rsidRDefault="00A911B2" w:rsidP="00A911B2">
      <w:pPr>
        <w:pStyle w:val="SingleTxtG"/>
        <w:ind w:left="2268" w:hanging="1134"/>
        <w:rPr>
          <w:lang w:val="fr-FR"/>
        </w:rPr>
      </w:pPr>
      <w:r>
        <w:rPr>
          <w:lang w:val="fr-FR"/>
        </w:rPr>
        <w:t>«</w:t>
      </w:r>
      <w:r w:rsidR="000C5264">
        <w:rPr>
          <w:lang w:val="fr-FR"/>
        </w:rPr>
        <w:tab/>
      </w:r>
      <w:r w:rsidR="000C5264" w:rsidRPr="00D01EC4">
        <w:rPr>
          <w:lang w:val="fr-FR"/>
        </w:rPr>
        <w:t xml:space="preserve">Pour les moteurs à allumage par compression montés sur des engins mobiles non routiers ou </w:t>
      </w:r>
      <w:r w:rsidR="000C5264">
        <w:rPr>
          <w:lang w:val="fr-FR"/>
        </w:rPr>
        <w:t xml:space="preserve">des </w:t>
      </w:r>
      <w:r w:rsidR="000C5264" w:rsidRPr="00D01EC4">
        <w:rPr>
          <w:lang w:val="fr-FR"/>
        </w:rPr>
        <w:t>véhicules de la catégorie T d</w:t>
      </w:r>
      <w:r w:rsidR="000C5264">
        <w:rPr>
          <w:lang w:val="fr-FR"/>
        </w:rPr>
        <w:t>’</w:t>
      </w:r>
      <w:r w:rsidR="000C5264" w:rsidRPr="00D01EC4">
        <w:rPr>
          <w:lang w:val="fr-FR"/>
        </w:rPr>
        <w:t xml:space="preserve">une puissance nette installée supérieure à </w:t>
      </w:r>
      <w:r w:rsidR="000C5264" w:rsidRPr="00904089">
        <w:rPr>
          <w:strike/>
          <w:lang w:val="fr-FR"/>
        </w:rPr>
        <w:t>18</w:t>
      </w:r>
      <w:r w:rsidR="000C5264">
        <w:rPr>
          <w:lang w:val="fr-FR"/>
        </w:rPr>
        <w:t> </w:t>
      </w:r>
      <w:r w:rsidR="000C5264">
        <w:rPr>
          <w:b/>
          <w:lang w:val="fr-FR"/>
        </w:rPr>
        <w:t xml:space="preserve">19 </w:t>
      </w:r>
      <w:r w:rsidR="000C5264" w:rsidRPr="00D01EC4">
        <w:rPr>
          <w:lang w:val="fr-FR"/>
        </w:rPr>
        <w:t>kW mais ne dépassant pas 560</w:t>
      </w:r>
      <w:r w:rsidR="000C5264">
        <w:rPr>
          <w:lang w:val="fr-FR"/>
        </w:rPr>
        <w:t> </w:t>
      </w:r>
      <w:r w:rsidR="000C5264" w:rsidRPr="00D01EC4">
        <w:rPr>
          <w:lang w:val="fr-FR"/>
        </w:rPr>
        <w:t>kW, le calcul des émissions de NO</w:t>
      </w:r>
      <w:r w:rsidR="000C5264" w:rsidRPr="00D01EC4">
        <w:rPr>
          <w:vertAlign w:val="subscript"/>
          <w:lang w:val="fr-FR"/>
        </w:rPr>
        <w:t>x</w:t>
      </w:r>
      <w:r w:rsidR="000C5264" w:rsidRPr="00D01EC4">
        <w:rPr>
          <w:lang w:val="fr-FR"/>
        </w:rPr>
        <w:t xml:space="preserve"> et de NO</w:t>
      </w:r>
      <w:r w:rsidR="000C5264" w:rsidRPr="00D01EC4">
        <w:rPr>
          <w:vertAlign w:val="subscript"/>
          <w:lang w:val="fr-FR"/>
        </w:rPr>
        <w:t>2</w:t>
      </w:r>
      <w:r w:rsidR="000C5264" w:rsidRPr="00D01EC4">
        <w:rPr>
          <w:lang w:val="fr-FR"/>
        </w:rPr>
        <w:t xml:space="preserve"> doit être effectué sur le cycle NRTC complet.</w:t>
      </w:r>
      <w:r w:rsidR="000C5264">
        <w:rPr>
          <w:lang w:val="fr-FR"/>
        </w:rPr>
        <w:t> ».</w:t>
      </w:r>
    </w:p>
    <w:p w:rsidR="000C5264" w:rsidRDefault="000C5264" w:rsidP="00A911B2">
      <w:pPr>
        <w:pStyle w:val="SingleTxtG"/>
        <w:rPr>
          <w:lang w:val="fr-FR"/>
        </w:rPr>
      </w:pPr>
      <w:r>
        <w:rPr>
          <w:i/>
          <w:lang w:val="fr-FR"/>
        </w:rPr>
        <w:t>Annexe 6, paragraphe 4.3</w:t>
      </w:r>
      <w:r w:rsidRPr="00904089">
        <w:rPr>
          <w:i/>
          <w:lang w:val="fr-FR"/>
        </w:rPr>
        <w:t>, (</w:t>
      </w:r>
      <w:r>
        <w:rPr>
          <w:i/>
          <w:lang w:val="fr-FR"/>
        </w:rPr>
        <w:t>quatr</w:t>
      </w:r>
      <w:r w:rsidRPr="00904089">
        <w:rPr>
          <w:i/>
          <w:lang w:val="fr-FR"/>
        </w:rPr>
        <w:t>ième alinéa)</w:t>
      </w:r>
      <w:r w:rsidRPr="00A911B2">
        <w:rPr>
          <w:lang w:val="fr-FR"/>
        </w:rPr>
        <w:t>,</w:t>
      </w:r>
      <w:r w:rsidRPr="00904089">
        <w:rPr>
          <w:i/>
          <w:lang w:val="fr-FR"/>
        </w:rPr>
        <w:t xml:space="preserve"> </w:t>
      </w:r>
      <w:r w:rsidRPr="00904089">
        <w:rPr>
          <w:lang w:val="fr-FR"/>
        </w:rPr>
        <w:t>modifier comme suit</w:t>
      </w:r>
      <w:r>
        <w:rPr>
          <w:lang w:val="fr-FR"/>
        </w:rPr>
        <w:t> :</w:t>
      </w:r>
    </w:p>
    <w:p w:rsidR="00D12929" w:rsidRDefault="00A911B2" w:rsidP="00A911B2">
      <w:pPr>
        <w:pStyle w:val="SingleTxtG"/>
        <w:ind w:left="2268" w:hanging="1134"/>
        <w:rPr>
          <w:lang w:val="fr-FR"/>
        </w:rPr>
      </w:pPr>
      <w:r>
        <w:rPr>
          <w:lang w:val="fr-FR"/>
        </w:rPr>
        <w:t>«</w:t>
      </w:r>
      <w:r>
        <w:rPr>
          <w:lang w:val="fr-FR"/>
        </w:rPr>
        <w:tab/>
      </w:r>
      <w:r w:rsidR="000C5264" w:rsidRPr="00D01EC4">
        <w:rPr>
          <w:lang w:val="fr-FR"/>
        </w:rPr>
        <w:t xml:space="preserve">Pour les moteurs à allumage par compression montés sur des engins mobiles non routiers ou </w:t>
      </w:r>
      <w:r w:rsidR="000C5264">
        <w:rPr>
          <w:lang w:val="fr-FR"/>
        </w:rPr>
        <w:t xml:space="preserve">des </w:t>
      </w:r>
      <w:r w:rsidR="000C5264" w:rsidRPr="00D01EC4">
        <w:rPr>
          <w:lang w:val="fr-FR"/>
        </w:rPr>
        <w:t>véhicules de la catégorie T d</w:t>
      </w:r>
      <w:r w:rsidR="000C5264">
        <w:rPr>
          <w:lang w:val="fr-FR"/>
        </w:rPr>
        <w:t>’</w:t>
      </w:r>
      <w:r w:rsidR="000C5264" w:rsidRPr="00D01EC4">
        <w:rPr>
          <w:lang w:val="fr-FR"/>
        </w:rPr>
        <w:t xml:space="preserve">une puissance nette installée supérieure à </w:t>
      </w:r>
      <w:r w:rsidR="000C5264" w:rsidRPr="00904089">
        <w:rPr>
          <w:strike/>
          <w:lang w:val="fr-FR"/>
        </w:rPr>
        <w:t>18</w:t>
      </w:r>
      <w:r w:rsidR="000C5264">
        <w:rPr>
          <w:lang w:val="fr-FR"/>
        </w:rPr>
        <w:t> </w:t>
      </w:r>
      <w:r w:rsidR="000C5264">
        <w:rPr>
          <w:b/>
          <w:lang w:val="fr-FR"/>
        </w:rPr>
        <w:t xml:space="preserve">19 </w:t>
      </w:r>
      <w:r w:rsidR="000C5264" w:rsidRPr="00D01EC4">
        <w:rPr>
          <w:lang w:val="fr-FR"/>
        </w:rPr>
        <w:t>kW mais ne dépassant pas 560 kW</w:t>
      </w:r>
      <w:r w:rsidR="000C5264">
        <w:rPr>
          <w:lang w:val="fr-FR"/>
        </w:rPr>
        <w:t>,</w:t>
      </w:r>
      <w:r w:rsidR="000C5264" w:rsidRPr="00D01EC4">
        <w:rPr>
          <w:lang w:val="fr-FR"/>
        </w:rPr>
        <w:t xml:space="preserve"> le calcul des émissions de NO</w:t>
      </w:r>
      <w:r w:rsidR="000C5264" w:rsidRPr="00D01EC4">
        <w:rPr>
          <w:vertAlign w:val="subscript"/>
          <w:lang w:val="fr-FR"/>
        </w:rPr>
        <w:t>x</w:t>
      </w:r>
      <w:r w:rsidR="000C5264" w:rsidRPr="00D01EC4">
        <w:rPr>
          <w:lang w:val="fr-FR"/>
        </w:rPr>
        <w:t xml:space="preserve"> et de NO</w:t>
      </w:r>
      <w:r w:rsidR="000C5264" w:rsidRPr="00D01EC4">
        <w:rPr>
          <w:vertAlign w:val="subscript"/>
          <w:lang w:val="fr-FR"/>
        </w:rPr>
        <w:t>2</w:t>
      </w:r>
      <w:r w:rsidR="000C5264" w:rsidRPr="00D01EC4">
        <w:rPr>
          <w:lang w:val="fr-FR"/>
        </w:rPr>
        <w:t xml:space="preserve"> doit être effectué sur le cycle NRTC complet.</w:t>
      </w:r>
      <w:r w:rsidR="000C5264">
        <w:rPr>
          <w:lang w:val="fr-FR"/>
        </w:rPr>
        <w:t> ».</w:t>
      </w:r>
    </w:p>
    <w:p w:rsidR="000C5264" w:rsidRDefault="00D12929" w:rsidP="00D12929">
      <w:pPr>
        <w:pStyle w:val="SingleTxtG"/>
        <w:ind w:left="2268" w:hanging="1134"/>
        <w:rPr>
          <w:lang w:val="fr-FR"/>
        </w:rPr>
      </w:pPr>
      <w:r>
        <w:rPr>
          <w:lang w:val="fr-FR"/>
        </w:rPr>
        <w:br w:type="page"/>
      </w:r>
      <w:r w:rsidR="000C5264" w:rsidRPr="00332D11">
        <w:rPr>
          <w:i/>
          <w:lang w:val="fr-FR"/>
        </w:rPr>
        <w:lastRenderedPageBreak/>
        <w:t>Annexe 9, tableau A 9/2</w:t>
      </w:r>
      <w:r w:rsidR="000C5264" w:rsidRPr="006464CE">
        <w:rPr>
          <w:lang w:val="fr-FR"/>
        </w:rPr>
        <w:t>,</w:t>
      </w:r>
      <w:r w:rsidR="000C5264">
        <w:rPr>
          <w:lang w:val="fr-FR"/>
        </w:rPr>
        <w:t xml:space="preserve"> modifier comme suit :</w:t>
      </w:r>
    </w:p>
    <w:p w:rsidR="000C5264" w:rsidRDefault="000C5264" w:rsidP="004D0416">
      <w:pPr>
        <w:pStyle w:val="SingleTxtG"/>
        <w:ind w:left="0"/>
        <w:rPr>
          <w:color w:val="000000"/>
          <w:lang w:val="fr-FR"/>
        </w:rPr>
      </w:pPr>
      <w:r>
        <w:rPr>
          <w:lang w:val="fr-FR"/>
        </w:rPr>
        <w:t>« </w:t>
      </w:r>
      <w:r w:rsidRPr="004D0416">
        <w:rPr>
          <w:b/>
          <w:szCs w:val="24"/>
          <w:lang w:val="fr-FR"/>
        </w:rPr>
        <w:t xml:space="preserve">Tableaux d’équivalence pour le </w:t>
      </w:r>
      <w:r w:rsidRPr="004D0416">
        <w:rPr>
          <w:b/>
          <w:lang w:val="fr-FR"/>
        </w:rPr>
        <w:t xml:space="preserve">Règlement </w:t>
      </w:r>
      <w:r w:rsidR="004D0416" w:rsidRPr="004D0416">
        <w:rPr>
          <w:rFonts w:eastAsia="MS Mincho"/>
          <w:b/>
          <w:lang w:val="fr-FR"/>
        </w:rPr>
        <w:t>n</w:t>
      </w:r>
      <w:r w:rsidR="004D0416" w:rsidRPr="004D0416">
        <w:rPr>
          <w:rFonts w:eastAsia="MS Mincho"/>
          <w:b/>
          <w:vertAlign w:val="superscript"/>
          <w:lang w:val="fr-FR"/>
        </w:rPr>
        <w:t>o</w:t>
      </w:r>
      <w:r w:rsidR="004D0416" w:rsidRPr="004D0416">
        <w:rPr>
          <w:b/>
          <w:lang w:val="fr-FR"/>
        </w:rPr>
        <w:t> </w:t>
      </w:r>
      <w:r w:rsidRPr="004D0416">
        <w:rPr>
          <w:b/>
          <w:color w:val="000000"/>
          <w:lang w:val="fr-FR"/>
        </w:rPr>
        <w:t>96/DAM de la classe I/II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1276"/>
        <w:gridCol w:w="992"/>
        <w:gridCol w:w="545"/>
        <w:gridCol w:w="542"/>
        <w:gridCol w:w="542"/>
        <w:gridCol w:w="542"/>
        <w:gridCol w:w="542"/>
        <w:gridCol w:w="542"/>
        <w:gridCol w:w="677"/>
        <w:gridCol w:w="676"/>
        <w:gridCol w:w="542"/>
        <w:gridCol w:w="694"/>
        <w:gridCol w:w="813"/>
      </w:tblGrid>
      <w:tr w:rsidR="00B36804" w:rsidRPr="00531D64" w:rsidTr="00E537AB">
        <w:trPr>
          <w:trHeight w:val="255"/>
          <w:tblHeader/>
        </w:trPr>
        <w:tc>
          <w:tcPr>
            <w:tcW w:w="714" w:type="dxa"/>
            <w:vMerge w:val="restart"/>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Base</w:t>
            </w:r>
            <w:r w:rsidRPr="0048308F">
              <w:rPr>
                <w:i/>
                <w:sz w:val="14"/>
                <w:szCs w:val="14"/>
                <w:vertAlign w:val="superscript"/>
                <w:lang w:eastAsia="en-GB"/>
              </w:rPr>
              <w:t>*</w:t>
            </w:r>
          </w:p>
        </w:tc>
        <w:tc>
          <w:tcPr>
            <w:tcW w:w="1276" w:type="dxa"/>
            <w:vMerge w:val="restart"/>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Puissance nette</w:t>
            </w:r>
            <w:r w:rsidRPr="0048308F">
              <w:rPr>
                <w:i/>
                <w:sz w:val="14"/>
                <w:szCs w:val="14"/>
                <w:lang w:eastAsia="en-GB"/>
              </w:rPr>
              <w:br/>
              <w:t>[kW]</w:t>
            </w:r>
          </w:p>
        </w:tc>
        <w:tc>
          <w:tcPr>
            <w:tcW w:w="992" w:type="dxa"/>
            <w:vMerge w:val="restart"/>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Constituant</w:t>
            </w:r>
            <w:r w:rsidRPr="0048308F">
              <w:rPr>
                <w:i/>
                <w:sz w:val="14"/>
                <w:szCs w:val="14"/>
                <w:lang w:eastAsia="en-GB"/>
              </w:rPr>
              <w:br/>
              <w:t>[g/kWh]</w:t>
            </w:r>
          </w:p>
        </w:tc>
        <w:tc>
          <w:tcPr>
            <w:tcW w:w="6657" w:type="dxa"/>
            <w:gridSpan w:val="11"/>
            <w:tcBorders>
              <w:bottom w:val="single" w:sz="4"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Class</w:t>
            </w:r>
            <w:r w:rsidR="00CE11D1">
              <w:rPr>
                <w:i/>
                <w:sz w:val="14"/>
                <w:szCs w:val="14"/>
                <w:lang w:eastAsia="en-GB"/>
              </w:rPr>
              <w:t>e</w:t>
            </w:r>
            <w:r w:rsidRPr="0048308F">
              <w:rPr>
                <w:i/>
                <w:sz w:val="14"/>
                <w:szCs w:val="14"/>
                <w:lang w:eastAsia="en-GB"/>
              </w:rPr>
              <w:t xml:space="preserve"> I/II, norme</w:t>
            </w:r>
          </w:p>
        </w:tc>
      </w:tr>
      <w:tr w:rsidR="004D0416" w:rsidRPr="00335886" w:rsidTr="00E537AB">
        <w:trPr>
          <w:trHeight w:val="255"/>
          <w:tblHeader/>
        </w:trPr>
        <w:tc>
          <w:tcPr>
            <w:tcW w:w="714" w:type="dxa"/>
            <w:vMerge/>
            <w:tcBorders>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p>
        </w:tc>
        <w:tc>
          <w:tcPr>
            <w:tcW w:w="1276" w:type="dxa"/>
            <w:vMerge/>
            <w:tcBorders>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p>
        </w:tc>
        <w:tc>
          <w:tcPr>
            <w:tcW w:w="992" w:type="dxa"/>
            <w:vMerge/>
            <w:tcBorders>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p>
        </w:tc>
        <w:tc>
          <w:tcPr>
            <w:tcW w:w="545" w:type="dxa"/>
            <w:tcBorders>
              <w:top w:val="single" w:sz="4" w:space="0" w:color="auto"/>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H</w:t>
            </w:r>
          </w:p>
        </w:tc>
        <w:tc>
          <w:tcPr>
            <w:tcW w:w="542" w:type="dxa"/>
            <w:tcBorders>
              <w:top w:val="single" w:sz="4" w:space="0" w:color="auto"/>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I</w:t>
            </w:r>
          </w:p>
        </w:tc>
        <w:tc>
          <w:tcPr>
            <w:tcW w:w="542" w:type="dxa"/>
            <w:tcBorders>
              <w:top w:val="single" w:sz="4" w:space="0" w:color="auto"/>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J</w:t>
            </w:r>
          </w:p>
        </w:tc>
        <w:tc>
          <w:tcPr>
            <w:tcW w:w="542" w:type="dxa"/>
            <w:tcBorders>
              <w:top w:val="single" w:sz="4" w:space="0" w:color="auto"/>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K</w:t>
            </w:r>
          </w:p>
        </w:tc>
        <w:tc>
          <w:tcPr>
            <w:tcW w:w="542" w:type="dxa"/>
            <w:tcBorders>
              <w:top w:val="single" w:sz="4" w:space="0" w:color="auto"/>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L</w:t>
            </w:r>
          </w:p>
        </w:tc>
        <w:tc>
          <w:tcPr>
            <w:tcW w:w="542" w:type="dxa"/>
            <w:tcBorders>
              <w:top w:val="single" w:sz="4" w:space="0" w:color="auto"/>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M</w:t>
            </w:r>
          </w:p>
        </w:tc>
        <w:tc>
          <w:tcPr>
            <w:tcW w:w="677" w:type="dxa"/>
            <w:tcBorders>
              <w:top w:val="single" w:sz="4" w:space="0" w:color="auto"/>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N</w:t>
            </w:r>
          </w:p>
        </w:tc>
        <w:tc>
          <w:tcPr>
            <w:tcW w:w="676" w:type="dxa"/>
            <w:tcBorders>
              <w:top w:val="single" w:sz="4" w:space="0" w:color="auto"/>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P</w:t>
            </w:r>
          </w:p>
        </w:tc>
        <w:tc>
          <w:tcPr>
            <w:tcW w:w="542" w:type="dxa"/>
            <w:tcBorders>
              <w:top w:val="single" w:sz="4" w:space="0" w:color="auto"/>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Q</w:t>
            </w:r>
          </w:p>
        </w:tc>
        <w:tc>
          <w:tcPr>
            <w:tcW w:w="694" w:type="dxa"/>
            <w:tcBorders>
              <w:top w:val="single" w:sz="4" w:space="0" w:color="auto"/>
              <w:bottom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R</w:t>
            </w:r>
          </w:p>
        </w:tc>
        <w:tc>
          <w:tcPr>
            <w:tcW w:w="813" w:type="dxa"/>
            <w:tcBorders>
              <w:top w:val="single" w:sz="4" w:space="0" w:color="auto"/>
              <w:bottom w:val="single" w:sz="12" w:space="0" w:color="auto"/>
            </w:tcBorders>
            <w:shd w:val="clear" w:color="FFFFFF" w:fill="FFFFFF"/>
            <w:vAlign w:val="center"/>
          </w:tcPr>
          <w:p w:rsidR="00B36804" w:rsidRPr="0048308F" w:rsidRDefault="00B36804" w:rsidP="00A61052">
            <w:pPr>
              <w:tabs>
                <w:tab w:val="left" w:pos="567"/>
                <w:tab w:val="left" w:pos="1134"/>
              </w:tabs>
              <w:suppressAutoHyphens w:val="0"/>
              <w:spacing w:before="40" w:after="40" w:line="200" w:lineRule="exact"/>
              <w:ind w:left="57" w:right="57"/>
              <w:jc w:val="center"/>
              <w:rPr>
                <w:b/>
                <w:i/>
                <w:sz w:val="14"/>
                <w:szCs w:val="14"/>
                <w:lang w:eastAsia="en-GB"/>
              </w:rPr>
            </w:pPr>
            <w:r w:rsidRPr="0048308F">
              <w:rPr>
                <w:b/>
                <w:i/>
                <w:sz w:val="14"/>
                <w:szCs w:val="14"/>
                <w:lang w:eastAsia="en-GB"/>
              </w:rPr>
              <w:t>Stade V</w:t>
            </w:r>
          </w:p>
        </w:tc>
      </w:tr>
      <w:tr w:rsidR="004D0416" w:rsidRPr="00335886" w:rsidTr="00E537AB">
        <w:trPr>
          <w:trHeight w:val="315"/>
        </w:trPr>
        <w:tc>
          <w:tcPr>
            <w:tcW w:w="714" w:type="dxa"/>
            <w:tcBorders>
              <w:top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E</w:t>
            </w:r>
          </w:p>
        </w:tc>
        <w:tc>
          <w:tcPr>
            <w:tcW w:w="1276" w:type="dxa"/>
            <w:tcBorders>
              <w:top w:val="single" w:sz="12" w:space="0" w:color="auto"/>
            </w:tcBorders>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992" w:type="dxa"/>
            <w:tcBorders>
              <w:top w:val="single" w:sz="12" w:space="0" w:color="auto"/>
            </w:tcBorders>
            <w:shd w:val="clear" w:color="FFFFFF" w:fill="FFFFFF"/>
            <w:noWrap/>
            <w:vAlign w:val="bottom"/>
          </w:tcPr>
          <w:p w:rsidR="00B36804" w:rsidRPr="0048308F" w:rsidRDefault="00B36804" w:rsidP="00A61052">
            <w:pPr>
              <w:spacing w:before="40" w:after="40"/>
              <w:ind w:left="57" w:right="57"/>
              <w:jc w:val="center"/>
              <w:rPr>
                <w:i/>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tcBorders>
              <w:top w:val="single" w:sz="12"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top w:val="single" w:sz="12"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top w:val="single" w:sz="12"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top w:val="single" w:sz="12"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top w:val="single" w:sz="12"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542" w:type="dxa"/>
            <w:tcBorders>
              <w:top w:val="single" w:sz="12"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tcBorders>
              <w:top w:val="single" w:sz="12"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tcBorders>
              <w:top w:val="single" w:sz="12"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top w:val="single" w:sz="12"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694" w:type="dxa"/>
            <w:tcBorders>
              <w:top w:val="single" w:sz="12"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813" w:type="dxa"/>
            <w:tcBorders>
              <w:top w:val="single" w:sz="12" w:space="0" w:color="auto"/>
            </w:tcBorders>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4D0416" w:rsidRPr="00335886" w:rsidTr="00E537AB">
        <w:trPr>
          <w:trHeight w:val="315"/>
        </w:trPr>
        <w:tc>
          <w:tcPr>
            <w:tcW w:w="714"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F</w:t>
            </w:r>
          </w:p>
        </w:tc>
        <w:tc>
          <w:tcPr>
            <w:tcW w:w="1276"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 ≤ P &lt; 130</w:t>
            </w:r>
          </w:p>
        </w:tc>
        <w:tc>
          <w:tcPr>
            <w:tcW w:w="992" w:type="dxa"/>
            <w:shd w:val="clear" w:color="FFFFFF" w:fill="FFFFFF"/>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677"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813" w:type="dxa"/>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4D0416" w:rsidRPr="00335886" w:rsidTr="00E537AB">
        <w:trPr>
          <w:trHeight w:val="315"/>
        </w:trPr>
        <w:tc>
          <w:tcPr>
            <w:tcW w:w="714"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G</w:t>
            </w:r>
          </w:p>
        </w:tc>
        <w:tc>
          <w:tcPr>
            <w:tcW w:w="1276"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37 ≤ P &lt; 75</w:t>
            </w:r>
          </w:p>
        </w:tc>
        <w:tc>
          <w:tcPr>
            <w:tcW w:w="992" w:type="dxa"/>
            <w:shd w:val="clear" w:color="FFFFFF" w:fill="FFFFFF"/>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shd w:val="clear" w:color="FFFFFF" w:fill="FFFFFF"/>
            <w:noWrap/>
            <w:vAlign w:val="bottom"/>
          </w:tcPr>
          <w:p w:rsidR="00B36804" w:rsidRPr="0048308F" w:rsidRDefault="00B36804"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(1)</w:t>
            </w:r>
          </w:p>
        </w:tc>
        <w:tc>
          <w:tcPr>
            <w:tcW w:w="676"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(2)</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shd w:val="clear" w:color="FFFFFF" w:fill="FFFFFF"/>
            <w:noWrap/>
            <w:vAlign w:val="bottom"/>
          </w:tcPr>
          <w:p w:rsidR="00B36804" w:rsidRPr="0048308F" w:rsidRDefault="00B36804"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(1)</w:t>
            </w:r>
          </w:p>
        </w:tc>
        <w:tc>
          <w:tcPr>
            <w:tcW w:w="813" w:type="dxa"/>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4D0416" w:rsidRPr="00335886" w:rsidTr="00E537AB">
        <w:trPr>
          <w:trHeight w:val="315"/>
        </w:trPr>
        <w:tc>
          <w:tcPr>
            <w:tcW w:w="714"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D</w:t>
            </w:r>
            <w:r w:rsidRPr="0048308F">
              <w:rPr>
                <w:b/>
                <w:sz w:val="16"/>
                <w:szCs w:val="16"/>
                <w:vertAlign w:val="superscript"/>
                <w:lang w:eastAsia="en-GB"/>
              </w:rPr>
              <w:t>(3)</w:t>
            </w:r>
          </w:p>
        </w:tc>
        <w:tc>
          <w:tcPr>
            <w:tcW w:w="1276"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19 ≤ P &lt; 37</w:t>
            </w:r>
          </w:p>
        </w:tc>
        <w:tc>
          <w:tcPr>
            <w:tcW w:w="992" w:type="dxa"/>
            <w:shd w:val="clear" w:color="FFFFFF" w:fill="FFFFFF"/>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0,6</w:t>
            </w:r>
            <w:r w:rsidRPr="0048308F">
              <w:rPr>
                <w:sz w:val="16"/>
                <w:szCs w:val="16"/>
                <w:vertAlign w:val="superscript"/>
                <w:lang w:eastAsia="en-GB"/>
              </w:rPr>
              <w:t xml:space="preserve"> </w:t>
            </w:r>
          </w:p>
        </w:tc>
        <w:tc>
          <w:tcPr>
            <w:tcW w:w="542"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813" w:type="dxa"/>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B36804" w:rsidRPr="00335886" w:rsidTr="00E537AB">
        <w:trPr>
          <w:trHeight w:val="195"/>
        </w:trPr>
        <w:tc>
          <w:tcPr>
            <w:tcW w:w="9639" w:type="dxa"/>
            <w:gridSpan w:val="14"/>
            <w:shd w:val="clear" w:color="FFFFFF" w:fill="FFFFFF"/>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p>
        </w:tc>
      </w:tr>
      <w:tr w:rsidR="00CF6A1A" w:rsidRPr="00335886" w:rsidTr="00E537AB">
        <w:trPr>
          <w:trHeight w:val="255"/>
        </w:trPr>
        <w:tc>
          <w:tcPr>
            <w:tcW w:w="714"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H</w:t>
            </w:r>
          </w:p>
        </w:tc>
        <w:tc>
          <w:tcPr>
            <w:tcW w:w="1276"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992" w:type="dxa"/>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694"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813" w:type="dxa"/>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CF6A1A" w:rsidRPr="00335886" w:rsidTr="00E537AB">
        <w:trPr>
          <w:trHeight w:val="255"/>
        </w:trPr>
        <w:tc>
          <w:tcPr>
            <w:tcW w:w="714"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I</w:t>
            </w:r>
          </w:p>
        </w:tc>
        <w:tc>
          <w:tcPr>
            <w:tcW w:w="1276"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 ≤ P &lt; 130</w:t>
            </w:r>
          </w:p>
        </w:tc>
        <w:tc>
          <w:tcPr>
            <w:tcW w:w="992" w:type="dxa"/>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677"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813" w:type="dxa"/>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CF6A1A" w:rsidRPr="00335886" w:rsidTr="00E537AB">
        <w:trPr>
          <w:trHeight w:val="315"/>
        </w:trPr>
        <w:tc>
          <w:tcPr>
            <w:tcW w:w="714"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J</w:t>
            </w:r>
          </w:p>
        </w:tc>
        <w:tc>
          <w:tcPr>
            <w:tcW w:w="1276"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37 ≤ P &lt; 75</w:t>
            </w:r>
          </w:p>
        </w:tc>
        <w:tc>
          <w:tcPr>
            <w:tcW w:w="992" w:type="dxa"/>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shd w:val="clear" w:color="FFFFFF" w:fill="FFFFFF"/>
            <w:noWrap/>
            <w:vAlign w:val="bottom"/>
          </w:tcPr>
          <w:p w:rsidR="00B36804" w:rsidRPr="0048308F" w:rsidRDefault="00B36804" w:rsidP="001434BE">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(1)</w:t>
            </w:r>
          </w:p>
        </w:tc>
        <w:tc>
          <w:tcPr>
            <w:tcW w:w="676"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(2)</w:t>
            </w: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shd w:val="clear" w:color="FFFFFF" w:fill="FFFFFF"/>
            <w:noWrap/>
            <w:vAlign w:val="bottom"/>
          </w:tcPr>
          <w:p w:rsidR="00B36804" w:rsidRPr="0048308F" w:rsidRDefault="00B36804" w:rsidP="001434BE">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(1)</w:t>
            </w:r>
          </w:p>
        </w:tc>
        <w:tc>
          <w:tcPr>
            <w:tcW w:w="813" w:type="dxa"/>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CF6A1A" w:rsidRPr="00335886" w:rsidTr="00E537AB">
        <w:trPr>
          <w:trHeight w:val="255"/>
        </w:trPr>
        <w:tc>
          <w:tcPr>
            <w:tcW w:w="714"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K</w:t>
            </w:r>
          </w:p>
        </w:tc>
        <w:tc>
          <w:tcPr>
            <w:tcW w:w="1276"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19 ≤ P &lt; 37</w:t>
            </w:r>
          </w:p>
        </w:tc>
        <w:tc>
          <w:tcPr>
            <w:tcW w:w="992" w:type="dxa"/>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813" w:type="dxa"/>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B36804" w:rsidRPr="00335886" w:rsidTr="00E537AB">
        <w:trPr>
          <w:trHeight w:val="255"/>
        </w:trPr>
        <w:tc>
          <w:tcPr>
            <w:tcW w:w="9639" w:type="dxa"/>
            <w:gridSpan w:val="14"/>
            <w:shd w:val="clear" w:color="FFFFFF" w:fill="auto"/>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p>
        </w:tc>
      </w:tr>
      <w:tr w:rsidR="00CF6A1A" w:rsidRPr="00335886" w:rsidTr="00E537AB">
        <w:trPr>
          <w:trHeight w:val="255"/>
        </w:trPr>
        <w:tc>
          <w:tcPr>
            <w:tcW w:w="714"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L</w:t>
            </w:r>
          </w:p>
        </w:tc>
        <w:tc>
          <w:tcPr>
            <w:tcW w:w="1276"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992" w:type="dxa"/>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813" w:type="dxa"/>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CF6A1A" w:rsidRPr="00335886" w:rsidTr="00E537AB">
        <w:trPr>
          <w:trHeight w:val="255"/>
        </w:trPr>
        <w:tc>
          <w:tcPr>
            <w:tcW w:w="714"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M</w:t>
            </w:r>
          </w:p>
        </w:tc>
        <w:tc>
          <w:tcPr>
            <w:tcW w:w="1276" w:type="dxa"/>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 ≤ P &lt; 130</w:t>
            </w:r>
          </w:p>
        </w:tc>
        <w:tc>
          <w:tcPr>
            <w:tcW w:w="992" w:type="dxa"/>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813" w:type="dxa"/>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CF6A1A" w:rsidRPr="00335886" w:rsidTr="00E537AB">
        <w:trPr>
          <w:trHeight w:val="255"/>
        </w:trPr>
        <w:tc>
          <w:tcPr>
            <w:tcW w:w="714" w:type="dxa"/>
            <w:tcBorders>
              <w:bottom w:val="single" w:sz="4" w:space="0" w:color="auto"/>
            </w:tcBorders>
            <w:noWrap/>
            <w:vAlign w:val="center"/>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N</w:t>
            </w:r>
          </w:p>
        </w:tc>
        <w:tc>
          <w:tcPr>
            <w:tcW w:w="1276" w:type="dxa"/>
            <w:tcBorders>
              <w:bottom w:val="single" w:sz="4" w:space="0" w:color="auto"/>
            </w:tcBorders>
            <w:noWrap/>
            <w:vAlign w:val="center"/>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56 ≤ P &lt; 75</w:t>
            </w:r>
          </w:p>
        </w:tc>
        <w:tc>
          <w:tcPr>
            <w:tcW w:w="992" w:type="dxa"/>
            <w:tcBorders>
              <w:bottom w:val="single" w:sz="4" w:space="0" w:color="auto"/>
            </w:tcBorders>
            <w:noWrap/>
            <w:vAlign w:val="bottom"/>
          </w:tcPr>
          <w:p w:rsidR="00B36804" w:rsidRPr="00CC7478" w:rsidRDefault="00B36804" w:rsidP="00A61052">
            <w:pPr>
              <w:spacing w:before="40" w:after="40"/>
              <w:ind w:left="57" w:right="57"/>
              <w:jc w:val="center"/>
              <w:rPr>
                <w:sz w:val="16"/>
                <w:szCs w:val="16"/>
                <w:lang w:val="fr-FR" w:eastAsia="en-GB"/>
              </w:rPr>
            </w:pPr>
            <w:r w:rsidRPr="00CC7478">
              <w:rPr>
                <w:sz w:val="16"/>
                <w:szCs w:val="16"/>
                <w:lang w:val="fr-FR" w:eastAsia="en-GB"/>
              </w:rPr>
              <w:t>NO</w:t>
            </w:r>
            <w:r w:rsidRPr="00CC7478">
              <w:rPr>
                <w:sz w:val="16"/>
                <w:szCs w:val="16"/>
                <w:vertAlign w:val="subscript"/>
                <w:lang w:val="fr-FR" w:eastAsia="en-GB"/>
              </w:rPr>
              <w:t>x</w:t>
            </w:r>
          </w:p>
        </w:tc>
        <w:tc>
          <w:tcPr>
            <w:tcW w:w="545" w:type="dxa"/>
            <w:tcBorders>
              <w:bottom w:val="single" w:sz="4" w:space="0" w:color="auto"/>
            </w:tcBorders>
            <w:shd w:val="clear" w:color="auto" w:fill="A6A6A6"/>
            <w:noWrap/>
            <w:vAlign w:val="bottom"/>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w:t>
            </w:r>
          </w:p>
        </w:tc>
        <w:tc>
          <w:tcPr>
            <w:tcW w:w="542" w:type="dxa"/>
            <w:tcBorders>
              <w:bottom w:val="single" w:sz="4" w:space="0" w:color="auto"/>
            </w:tcBorders>
            <w:shd w:val="clear" w:color="auto" w:fill="A6A6A6"/>
            <w:noWrap/>
            <w:vAlign w:val="bottom"/>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w:t>
            </w:r>
          </w:p>
        </w:tc>
        <w:tc>
          <w:tcPr>
            <w:tcW w:w="542" w:type="dxa"/>
            <w:tcBorders>
              <w:bottom w:val="single" w:sz="4" w:space="0" w:color="auto"/>
            </w:tcBorders>
            <w:shd w:val="clear" w:color="auto" w:fill="A6A6A6"/>
            <w:noWrap/>
            <w:vAlign w:val="bottom"/>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w:t>
            </w:r>
          </w:p>
        </w:tc>
        <w:tc>
          <w:tcPr>
            <w:tcW w:w="542" w:type="dxa"/>
            <w:tcBorders>
              <w:bottom w:val="single" w:sz="4" w:space="0" w:color="auto"/>
            </w:tcBorders>
            <w:shd w:val="clear" w:color="auto" w:fill="A6A6A6"/>
            <w:noWrap/>
            <w:vAlign w:val="bottom"/>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w:t>
            </w:r>
          </w:p>
        </w:tc>
        <w:tc>
          <w:tcPr>
            <w:tcW w:w="542" w:type="dxa"/>
            <w:tcBorders>
              <w:bottom w:val="single" w:sz="4" w:space="0" w:color="auto"/>
            </w:tcBorders>
            <w:shd w:val="clear" w:color="auto" w:fill="A6A6A6"/>
            <w:noWrap/>
            <w:vAlign w:val="bottom"/>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w:t>
            </w:r>
          </w:p>
        </w:tc>
        <w:tc>
          <w:tcPr>
            <w:tcW w:w="542" w:type="dxa"/>
            <w:tcBorders>
              <w:bottom w:val="single" w:sz="4" w:space="0" w:color="auto"/>
            </w:tcBorders>
            <w:shd w:val="clear" w:color="auto" w:fill="A6A6A6"/>
            <w:noWrap/>
            <w:vAlign w:val="bottom"/>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w:t>
            </w:r>
          </w:p>
        </w:tc>
        <w:tc>
          <w:tcPr>
            <w:tcW w:w="677" w:type="dxa"/>
            <w:tcBorders>
              <w:bottom w:val="single" w:sz="4" w:space="0" w:color="auto"/>
            </w:tcBorders>
            <w:shd w:val="clear" w:color="auto" w:fill="A6A6A6"/>
            <w:noWrap/>
            <w:vAlign w:val="bottom"/>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w:t>
            </w:r>
          </w:p>
        </w:tc>
        <w:tc>
          <w:tcPr>
            <w:tcW w:w="676" w:type="dxa"/>
            <w:tcBorders>
              <w:bottom w:val="single" w:sz="4" w:space="0" w:color="auto"/>
            </w:tcBorders>
            <w:shd w:val="clear" w:color="auto" w:fill="A6A6A6"/>
            <w:noWrap/>
            <w:vAlign w:val="bottom"/>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w:t>
            </w:r>
          </w:p>
        </w:tc>
        <w:tc>
          <w:tcPr>
            <w:tcW w:w="542" w:type="dxa"/>
            <w:tcBorders>
              <w:bottom w:val="single" w:sz="4" w:space="0" w:color="auto"/>
            </w:tcBorders>
            <w:shd w:val="clear" w:color="FFFFFF" w:fill="FFFFFF"/>
            <w:noWrap/>
            <w:vAlign w:val="bottom"/>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w:t>
            </w:r>
          </w:p>
        </w:tc>
        <w:tc>
          <w:tcPr>
            <w:tcW w:w="694" w:type="dxa"/>
            <w:tcBorders>
              <w:bottom w:val="single" w:sz="4" w:space="0" w:color="auto"/>
            </w:tcBorders>
            <w:shd w:val="clear" w:color="FFFFFF" w:fill="FFFFFF"/>
            <w:noWrap/>
            <w:vAlign w:val="bottom"/>
          </w:tcPr>
          <w:p w:rsidR="00B36804" w:rsidRPr="00CC7478"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CC7478">
              <w:rPr>
                <w:sz w:val="16"/>
                <w:szCs w:val="16"/>
                <w:lang w:eastAsia="en-GB"/>
              </w:rPr>
              <w:t>-</w:t>
            </w:r>
          </w:p>
        </w:tc>
        <w:tc>
          <w:tcPr>
            <w:tcW w:w="813" w:type="dxa"/>
            <w:tcBorders>
              <w:bottom w:val="single" w:sz="4" w:space="0" w:color="auto"/>
            </w:tcBorders>
            <w:shd w:val="clear" w:color="FFFFFF" w:fill="FFFFFF"/>
            <w:vAlign w:val="center"/>
          </w:tcPr>
          <w:p w:rsidR="00B36804" w:rsidRPr="00CC7478"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CC7478">
              <w:rPr>
                <w:b/>
                <w:sz w:val="16"/>
                <w:szCs w:val="16"/>
                <w:lang w:eastAsia="en-GB"/>
              </w:rPr>
              <w:t>0,015</w:t>
            </w:r>
          </w:p>
        </w:tc>
      </w:tr>
      <w:tr w:rsidR="00CF6A1A" w:rsidRPr="00335886" w:rsidTr="00E537AB">
        <w:trPr>
          <w:trHeight w:val="255"/>
        </w:trPr>
        <w:tc>
          <w:tcPr>
            <w:tcW w:w="714" w:type="dxa"/>
            <w:tcBorders>
              <w:bottom w:val="single" w:sz="4" w:space="0" w:color="auto"/>
            </w:tcBorders>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1276" w:type="dxa"/>
            <w:tcBorders>
              <w:bottom w:val="single" w:sz="4" w:space="0" w:color="auto"/>
            </w:tcBorders>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37 ≤ P &lt; 56</w:t>
            </w:r>
          </w:p>
        </w:tc>
        <w:tc>
          <w:tcPr>
            <w:tcW w:w="992" w:type="dxa"/>
            <w:tcBorders>
              <w:bottom w:val="single" w:sz="4" w:space="0" w:color="auto"/>
            </w:tcBorders>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tcBorders>
              <w:bottom w:val="single" w:sz="4" w:space="0" w:color="auto"/>
            </w:tcBorders>
            <w:shd w:val="clear" w:color="FFFFFF" w:fill="FFFFFF"/>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813" w:type="dxa"/>
            <w:tcBorders>
              <w:bottom w:val="single" w:sz="4" w:space="0" w:color="auto"/>
            </w:tcBorders>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B36804" w:rsidRPr="00335886" w:rsidTr="00E537AB">
        <w:trPr>
          <w:trHeight w:val="255"/>
        </w:trPr>
        <w:tc>
          <w:tcPr>
            <w:tcW w:w="9639" w:type="dxa"/>
            <w:gridSpan w:val="14"/>
            <w:tcBorders>
              <w:top w:val="single" w:sz="4" w:space="0" w:color="auto"/>
              <w:bottom w:val="single" w:sz="4" w:space="0" w:color="auto"/>
            </w:tcBorders>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p>
        </w:tc>
      </w:tr>
      <w:tr w:rsidR="00CF6A1A" w:rsidRPr="00335886" w:rsidTr="00E537AB">
        <w:trPr>
          <w:trHeight w:val="255"/>
        </w:trPr>
        <w:tc>
          <w:tcPr>
            <w:tcW w:w="714" w:type="dxa"/>
            <w:tcBorders>
              <w:bottom w:val="single" w:sz="4" w:space="0" w:color="auto"/>
            </w:tcBorders>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Q</w:t>
            </w:r>
          </w:p>
        </w:tc>
        <w:tc>
          <w:tcPr>
            <w:tcW w:w="1276" w:type="dxa"/>
            <w:tcBorders>
              <w:bottom w:val="single" w:sz="4" w:space="0" w:color="auto"/>
            </w:tcBorders>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992" w:type="dxa"/>
            <w:tcBorders>
              <w:bottom w:val="single" w:sz="4" w:space="0" w:color="auto"/>
            </w:tcBorders>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themeFill="background1" w:themeFillShade="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tcBorders>
              <w:bottom w:val="single" w:sz="4" w:space="0" w:color="auto"/>
            </w:tcBorders>
            <w:shd w:val="clear" w:color="auto" w:fill="A6A6A6" w:themeFill="background1" w:themeFillShade="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813" w:type="dxa"/>
            <w:tcBorders>
              <w:bottom w:val="single" w:sz="4" w:space="0" w:color="auto"/>
            </w:tcBorders>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CF6A1A" w:rsidRPr="00335886" w:rsidTr="00E537AB">
        <w:trPr>
          <w:trHeight w:val="255"/>
        </w:trPr>
        <w:tc>
          <w:tcPr>
            <w:tcW w:w="714" w:type="dxa"/>
            <w:tcBorders>
              <w:bottom w:val="single" w:sz="4" w:space="0" w:color="auto"/>
            </w:tcBorders>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R</w:t>
            </w:r>
          </w:p>
        </w:tc>
        <w:tc>
          <w:tcPr>
            <w:tcW w:w="1276" w:type="dxa"/>
            <w:tcBorders>
              <w:bottom w:val="single" w:sz="4" w:space="0" w:color="auto"/>
            </w:tcBorders>
            <w:noWrap/>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56 ≤ P &lt; 130</w:t>
            </w:r>
          </w:p>
        </w:tc>
        <w:tc>
          <w:tcPr>
            <w:tcW w:w="992" w:type="dxa"/>
            <w:tcBorders>
              <w:bottom w:val="single" w:sz="4" w:space="0" w:color="auto"/>
            </w:tcBorders>
            <w:noWrap/>
            <w:vAlign w:val="bottom"/>
          </w:tcPr>
          <w:p w:rsidR="00B36804" w:rsidRPr="0048308F" w:rsidRDefault="00B36804" w:rsidP="00A61052">
            <w:pPr>
              <w:spacing w:before="40" w:after="40"/>
              <w:ind w:left="57" w:right="57"/>
              <w:jc w:val="center"/>
              <w:rPr>
                <w:sz w:val="16"/>
                <w:szCs w:val="16"/>
                <w:lang w:val="fr-FR" w:eastAsia="en-GB"/>
              </w:rPr>
            </w:pPr>
            <w:r w:rsidRPr="0048308F">
              <w:rPr>
                <w:sz w:val="16"/>
                <w:szCs w:val="16"/>
                <w:lang w:val="fr-FR" w:eastAsia="en-GB"/>
              </w:rPr>
              <w:t>NO</w:t>
            </w:r>
            <w:r w:rsidRPr="0048308F">
              <w:rPr>
                <w:sz w:val="16"/>
                <w:szCs w:val="16"/>
                <w:vertAlign w:val="subscript"/>
                <w:lang w:val="fr-FR" w:eastAsia="en-GB"/>
              </w:rPr>
              <w:t>x</w:t>
            </w:r>
          </w:p>
        </w:tc>
        <w:tc>
          <w:tcPr>
            <w:tcW w:w="545"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7"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76" w:type="dxa"/>
            <w:tcBorders>
              <w:bottom w:val="single" w:sz="4" w:space="0" w:color="auto"/>
            </w:tcBorders>
            <w:shd w:val="clear" w:color="auto" w:fill="A6A6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542" w:type="dxa"/>
            <w:tcBorders>
              <w:bottom w:val="single" w:sz="4" w:space="0" w:color="auto"/>
            </w:tcBorders>
            <w:shd w:val="clear" w:color="auto" w:fill="A6A6A6" w:themeFill="background1" w:themeFillShade="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694" w:type="dxa"/>
            <w:tcBorders>
              <w:bottom w:val="single" w:sz="4" w:space="0" w:color="auto"/>
            </w:tcBorders>
            <w:shd w:val="clear" w:color="auto" w:fill="A6A6A6" w:themeFill="background1" w:themeFillShade="A6"/>
            <w:noWrap/>
            <w:vAlign w:val="bottom"/>
          </w:tcPr>
          <w:p w:rsidR="00B36804" w:rsidRPr="0048308F" w:rsidRDefault="00B36804"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813" w:type="dxa"/>
            <w:tcBorders>
              <w:bottom w:val="single" w:sz="4" w:space="0" w:color="auto"/>
            </w:tcBorders>
            <w:shd w:val="clear" w:color="FFFFFF" w:fill="FFFFFF"/>
            <w:vAlign w:val="center"/>
          </w:tcPr>
          <w:p w:rsidR="00B36804" w:rsidRPr="0048308F" w:rsidRDefault="00B36804"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A10208" w:rsidRPr="00335886" w:rsidTr="0066656C">
        <w:trPr>
          <w:trHeight w:val="255"/>
        </w:trPr>
        <w:tc>
          <w:tcPr>
            <w:tcW w:w="9639" w:type="dxa"/>
            <w:gridSpan w:val="14"/>
            <w:tcBorders>
              <w:top w:val="single" w:sz="8" w:space="0" w:color="auto"/>
              <w:left w:val="nil"/>
              <w:bottom w:val="nil"/>
              <w:right w:val="nil"/>
            </w:tcBorders>
            <w:shd w:val="clear" w:color="FFFFFF" w:fill="FFFFFF"/>
            <w:noWrap/>
            <w:vAlign w:val="center"/>
          </w:tcPr>
          <w:p w:rsidR="00A10208" w:rsidRPr="00D01EC4" w:rsidRDefault="00A10208" w:rsidP="00AC7D4B">
            <w:pPr>
              <w:spacing w:before="120"/>
              <w:ind w:left="57" w:right="57" w:firstLine="170"/>
              <w:rPr>
                <w:sz w:val="18"/>
                <w:szCs w:val="18"/>
                <w:lang w:val="fr-FR"/>
              </w:rPr>
            </w:pPr>
            <w:r w:rsidRPr="00D01EC4">
              <w:rPr>
                <w:sz w:val="18"/>
                <w:szCs w:val="18"/>
                <w:vertAlign w:val="superscript"/>
                <w:lang w:val="fr-FR" w:eastAsia="en-GB"/>
              </w:rPr>
              <w:t>(1)</w:t>
            </w:r>
            <w:r w:rsidRPr="00D01EC4">
              <w:rPr>
                <w:sz w:val="18"/>
                <w:szCs w:val="18"/>
                <w:lang w:val="fr-FR" w:eastAsia="en-GB"/>
              </w:rPr>
              <w:t xml:space="preserve">  Seulement pour les moteurs 56 ≤ P &lt; 75.</w:t>
            </w:r>
          </w:p>
          <w:p w:rsidR="00A10208" w:rsidRPr="00D01EC4" w:rsidRDefault="00A10208" w:rsidP="00AC7D4B">
            <w:pPr>
              <w:ind w:left="57" w:right="57" w:firstLine="170"/>
              <w:rPr>
                <w:sz w:val="18"/>
                <w:szCs w:val="18"/>
                <w:lang w:val="fr-FR"/>
              </w:rPr>
            </w:pPr>
            <w:r w:rsidRPr="00D01EC4">
              <w:rPr>
                <w:sz w:val="18"/>
                <w:szCs w:val="18"/>
                <w:vertAlign w:val="superscript"/>
                <w:lang w:val="fr-FR" w:eastAsia="en-GB"/>
              </w:rPr>
              <w:t>(2)</w:t>
            </w:r>
            <w:r w:rsidRPr="00D01EC4">
              <w:rPr>
                <w:sz w:val="18"/>
                <w:szCs w:val="18"/>
                <w:lang w:val="fr-FR" w:eastAsia="en-GB"/>
              </w:rPr>
              <w:t xml:space="preserve">  Seulement pour les moteurs 37 ≤ P &lt; 56.</w:t>
            </w:r>
          </w:p>
          <w:p w:rsidR="00A10208" w:rsidRDefault="00A10208" w:rsidP="00AC7D4B">
            <w:pPr>
              <w:ind w:left="57" w:right="57" w:firstLine="170"/>
              <w:rPr>
                <w:sz w:val="18"/>
                <w:szCs w:val="18"/>
                <w:lang w:val="fr-FR"/>
              </w:rPr>
            </w:pPr>
            <w:r w:rsidRPr="00D01EC4">
              <w:rPr>
                <w:sz w:val="18"/>
                <w:szCs w:val="18"/>
                <w:vertAlign w:val="superscript"/>
                <w:lang w:val="fr-FR" w:eastAsia="en-GB"/>
              </w:rPr>
              <w:t>(3)</w:t>
            </w:r>
            <w:r w:rsidRPr="00D01EC4">
              <w:rPr>
                <w:sz w:val="18"/>
                <w:szCs w:val="18"/>
                <w:lang w:val="fr-FR" w:eastAsia="en-GB"/>
              </w:rPr>
              <w:t xml:space="preserve">  </w:t>
            </w:r>
            <w:r>
              <w:rPr>
                <w:b/>
                <w:sz w:val="18"/>
                <w:szCs w:val="18"/>
                <w:lang w:val="fr-FR" w:eastAsia="en-GB"/>
              </w:rPr>
              <w:t>La plage de puissance</w:t>
            </w:r>
            <w:r w:rsidRPr="00D01EC4">
              <w:rPr>
                <w:sz w:val="18"/>
                <w:szCs w:val="18"/>
                <w:lang w:val="fr-FR" w:eastAsia="en-GB"/>
              </w:rPr>
              <w:t xml:space="preserve"> 19 ≤ P &lt; 37</w:t>
            </w:r>
            <w:r>
              <w:rPr>
                <w:sz w:val="18"/>
                <w:szCs w:val="18"/>
                <w:lang w:val="fr-FR" w:eastAsia="en-GB"/>
              </w:rPr>
              <w:t xml:space="preserve"> </w:t>
            </w:r>
            <w:r>
              <w:rPr>
                <w:b/>
                <w:sz w:val="18"/>
                <w:szCs w:val="18"/>
                <w:lang w:val="fr-FR" w:eastAsia="en-GB"/>
              </w:rPr>
              <w:t xml:space="preserve">est adaptée à la subdivision définie dans la série 05 d’amendements au Règlement </w:t>
            </w:r>
            <w:r w:rsidRPr="00443847">
              <w:rPr>
                <w:rFonts w:eastAsia="MS Mincho"/>
                <w:b/>
                <w:sz w:val="18"/>
                <w:szCs w:val="18"/>
                <w:lang w:val="fr-FR" w:eastAsia="en-GB"/>
              </w:rPr>
              <w:t>n</w:t>
            </w:r>
            <w:r w:rsidRPr="00443847">
              <w:rPr>
                <w:rFonts w:eastAsia="MS Mincho"/>
                <w:b/>
                <w:sz w:val="18"/>
                <w:szCs w:val="18"/>
                <w:vertAlign w:val="superscript"/>
                <w:lang w:val="fr-FR" w:eastAsia="en-GB"/>
              </w:rPr>
              <w:t>o</w:t>
            </w:r>
            <w:r>
              <w:rPr>
                <w:b/>
                <w:sz w:val="18"/>
                <w:szCs w:val="18"/>
                <w:lang w:val="fr-FR" w:eastAsia="en-GB"/>
              </w:rPr>
              <w:t xml:space="preserve"> 96 (Stade V). </w:t>
            </w:r>
          </w:p>
          <w:p w:rsidR="00A10208" w:rsidRPr="00335886" w:rsidRDefault="00A10208" w:rsidP="00AC7D4B">
            <w:pPr>
              <w:tabs>
                <w:tab w:val="left" w:pos="567"/>
                <w:tab w:val="left" w:pos="1134"/>
              </w:tabs>
              <w:suppressAutoHyphens w:val="0"/>
              <w:spacing w:before="60" w:after="60" w:line="240" w:lineRule="auto"/>
              <w:ind w:left="57" w:right="57"/>
              <w:rPr>
                <w:sz w:val="18"/>
                <w:szCs w:val="18"/>
                <w:vertAlign w:val="superscript"/>
                <w:lang w:eastAsia="en-GB"/>
              </w:rPr>
            </w:pPr>
            <w:r>
              <w:rPr>
                <w:sz w:val="18"/>
                <w:szCs w:val="18"/>
                <w:lang w:val="fr-FR"/>
              </w:rPr>
              <w:t xml:space="preserve">*  </w:t>
            </w:r>
            <w:r w:rsidRPr="00D01EC4">
              <w:rPr>
                <w:sz w:val="18"/>
                <w:szCs w:val="18"/>
                <w:lang w:val="fr-FR"/>
              </w:rPr>
              <w:t xml:space="preserve">La base correspond aux valeurs limites </w:t>
            </w:r>
            <w:r w:rsidRPr="00E1202F">
              <w:rPr>
                <w:sz w:val="18"/>
                <w:szCs w:val="18"/>
                <w:lang w:val="fr-FR"/>
              </w:rPr>
              <w:t>de la série 04 d’amendements au</w:t>
            </w:r>
            <w:r w:rsidRPr="00D01EC4">
              <w:rPr>
                <w:sz w:val="18"/>
                <w:szCs w:val="18"/>
                <w:lang w:val="fr-FR"/>
              </w:rPr>
              <w:t xml:space="preserve"> Règlement</w:t>
            </w:r>
            <w:r w:rsidRPr="00D01EC4">
              <w:rPr>
                <w:b/>
                <w:sz w:val="18"/>
                <w:szCs w:val="18"/>
                <w:lang w:val="fr-FR"/>
              </w:rPr>
              <w:t xml:space="preserve"> </w:t>
            </w:r>
            <w:r w:rsidRPr="00D01EC4">
              <w:rPr>
                <w:sz w:val="18"/>
                <w:szCs w:val="18"/>
                <w:lang w:val="fr-FR"/>
              </w:rPr>
              <w:t>n</w:t>
            </w:r>
            <w:r w:rsidRPr="00D01EC4">
              <w:rPr>
                <w:sz w:val="18"/>
                <w:szCs w:val="18"/>
                <w:vertAlign w:val="superscript"/>
                <w:lang w:val="fr-FR"/>
              </w:rPr>
              <w:t>o</w:t>
            </w:r>
            <w:r>
              <w:rPr>
                <w:sz w:val="18"/>
                <w:szCs w:val="18"/>
                <w:lang w:val="fr-FR"/>
              </w:rPr>
              <w:t> 96 </w:t>
            </w:r>
            <w:r>
              <w:rPr>
                <w:sz w:val="18"/>
                <w:szCs w:val="18"/>
                <w:lang w:val="fr-FR" w:eastAsia="en-GB"/>
              </w:rPr>
              <w:t>».</w:t>
            </w:r>
          </w:p>
        </w:tc>
      </w:tr>
    </w:tbl>
    <w:p w:rsidR="00C13192" w:rsidRDefault="00C13192" w:rsidP="00C824B0">
      <w:pPr>
        <w:pStyle w:val="SingleTxtG"/>
        <w:spacing w:before="240"/>
        <w:rPr>
          <w:i/>
          <w:lang w:val="fr-FR"/>
        </w:rPr>
      </w:pPr>
    </w:p>
    <w:p w:rsidR="000C5264" w:rsidRDefault="00C13192" w:rsidP="00C824B0">
      <w:pPr>
        <w:pStyle w:val="SingleTxtG"/>
        <w:spacing w:before="240"/>
        <w:rPr>
          <w:lang w:val="fr-FR"/>
        </w:rPr>
      </w:pPr>
      <w:r>
        <w:rPr>
          <w:i/>
          <w:lang w:val="fr-FR"/>
        </w:rPr>
        <w:br w:type="page"/>
      </w:r>
      <w:r w:rsidR="000C5264">
        <w:rPr>
          <w:i/>
          <w:lang w:val="fr-FR"/>
        </w:rPr>
        <w:lastRenderedPageBreak/>
        <w:t>Annexe 9, tableau A 9/3</w:t>
      </w:r>
      <w:r w:rsidR="000C5264" w:rsidRPr="00C824B0">
        <w:rPr>
          <w:lang w:val="fr-FR"/>
        </w:rPr>
        <w:t>,</w:t>
      </w:r>
      <w:r w:rsidR="000C5264">
        <w:rPr>
          <w:i/>
          <w:lang w:val="fr-FR"/>
        </w:rPr>
        <w:t xml:space="preserve"> </w:t>
      </w:r>
      <w:r w:rsidR="000C5264">
        <w:rPr>
          <w:lang w:val="fr-FR"/>
        </w:rPr>
        <w:t>modifier comme suit :</w:t>
      </w:r>
    </w:p>
    <w:p w:rsidR="000C5264" w:rsidRDefault="000C5264" w:rsidP="00C824B0">
      <w:pPr>
        <w:pStyle w:val="SingleTxtG"/>
        <w:ind w:left="0"/>
        <w:rPr>
          <w:b/>
          <w:lang w:val="fr-FR"/>
        </w:rPr>
      </w:pPr>
      <w:r w:rsidRPr="00103AB7">
        <w:rPr>
          <w:szCs w:val="24"/>
          <w:lang w:val="fr-FR"/>
        </w:rPr>
        <w:t>« </w:t>
      </w:r>
      <w:r w:rsidRPr="00D01EC4">
        <w:rPr>
          <w:b/>
          <w:szCs w:val="24"/>
          <w:lang w:val="fr-FR"/>
        </w:rPr>
        <w:t>Tableaux d</w:t>
      </w:r>
      <w:r>
        <w:rPr>
          <w:b/>
          <w:szCs w:val="24"/>
          <w:lang w:val="fr-FR"/>
        </w:rPr>
        <w:t>’</w:t>
      </w:r>
      <w:r w:rsidRPr="00D01EC4">
        <w:rPr>
          <w:b/>
          <w:szCs w:val="24"/>
          <w:lang w:val="fr-FR"/>
        </w:rPr>
        <w:t xml:space="preserve">équivalence pour le </w:t>
      </w:r>
      <w:r w:rsidRPr="00D01EC4">
        <w:rPr>
          <w:b/>
          <w:lang w:val="fr-FR"/>
        </w:rPr>
        <w:t>Règlement n</w:t>
      </w:r>
      <w:r w:rsidRPr="00D01EC4">
        <w:rPr>
          <w:b/>
          <w:vertAlign w:val="superscript"/>
          <w:lang w:val="fr-FR"/>
        </w:rPr>
        <w:t>o </w:t>
      </w:r>
      <w:r w:rsidRPr="00D01EC4">
        <w:rPr>
          <w:b/>
          <w:lang w:val="fr-FR"/>
        </w:rPr>
        <w:t xml:space="preserve">96/DAM </w:t>
      </w:r>
      <w:r>
        <w:rPr>
          <w:b/>
          <w:lang w:val="fr-FR"/>
        </w:rPr>
        <w:t xml:space="preserve">de la </w:t>
      </w:r>
      <w:r w:rsidRPr="00D01EC4">
        <w:rPr>
          <w:b/>
          <w:lang w:val="fr-FR"/>
        </w:rPr>
        <w:t>classe III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5"/>
        <w:gridCol w:w="1172"/>
        <w:gridCol w:w="1041"/>
        <w:gridCol w:w="588"/>
        <w:gridCol w:w="590"/>
        <w:gridCol w:w="590"/>
        <w:gridCol w:w="590"/>
        <w:gridCol w:w="590"/>
        <w:gridCol w:w="588"/>
        <w:gridCol w:w="590"/>
        <w:gridCol w:w="590"/>
        <w:gridCol w:w="528"/>
        <w:gridCol w:w="696"/>
        <w:gridCol w:w="711"/>
      </w:tblGrid>
      <w:tr w:rsidR="00367C5D" w:rsidRPr="00E537AB" w:rsidTr="007B45A9">
        <w:trPr>
          <w:trHeight w:val="255"/>
        </w:trPr>
        <w:tc>
          <w:tcPr>
            <w:tcW w:w="402" w:type="pct"/>
            <w:vMerge w:val="restart"/>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Base</w:t>
            </w:r>
            <w:r w:rsidRPr="0048308F">
              <w:rPr>
                <w:i/>
                <w:sz w:val="14"/>
                <w:szCs w:val="14"/>
                <w:vertAlign w:val="superscript"/>
                <w:lang w:eastAsia="en-GB"/>
              </w:rPr>
              <w:t>*</w:t>
            </w:r>
            <w:r w:rsidRPr="0048308F">
              <w:rPr>
                <w:i/>
                <w:sz w:val="14"/>
                <w:szCs w:val="14"/>
                <w:lang w:eastAsia="en-GB"/>
              </w:rPr>
              <w:t xml:space="preserve"> </w:t>
            </w:r>
          </w:p>
        </w:tc>
        <w:tc>
          <w:tcPr>
            <w:tcW w:w="608" w:type="pct"/>
            <w:vMerge w:val="restart"/>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Puissance nette</w:t>
            </w:r>
            <w:r w:rsidR="00E537AB" w:rsidRPr="0048308F">
              <w:rPr>
                <w:i/>
                <w:sz w:val="14"/>
                <w:szCs w:val="14"/>
                <w:lang w:eastAsia="en-GB"/>
              </w:rPr>
              <w:br/>
            </w:r>
            <w:r w:rsidRPr="0048308F">
              <w:rPr>
                <w:i/>
                <w:sz w:val="14"/>
                <w:szCs w:val="14"/>
                <w:lang w:eastAsia="en-GB"/>
              </w:rPr>
              <w:t>[kW]</w:t>
            </w:r>
          </w:p>
        </w:tc>
        <w:tc>
          <w:tcPr>
            <w:tcW w:w="540" w:type="pct"/>
            <w:vMerge w:val="restart"/>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Constituant</w:t>
            </w:r>
            <w:r w:rsidR="00E537AB" w:rsidRPr="0048308F">
              <w:rPr>
                <w:i/>
                <w:sz w:val="14"/>
                <w:szCs w:val="14"/>
                <w:lang w:eastAsia="en-GB"/>
              </w:rPr>
              <w:br/>
            </w:r>
            <w:r w:rsidRPr="0048308F">
              <w:rPr>
                <w:i/>
                <w:sz w:val="14"/>
                <w:szCs w:val="14"/>
                <w:lang w:eastAsia="en-GB"/>
              </w:rPr>
              <w:t>[g/kWh]</w:t>
            </w:r>
          </w:p>
        </w:tc>
        <w:tc>
          <w:tcPr>
            <w:tcW w:w="3450" w:type="pct"/>
            <w:gridSpan w:val="11"/>
            <w:tcBorders>
              <w:bottom w:val="single" w:sz="4"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Classe III, norme</w:t>
            </w:r>
          </w:p>
        </w:tc>
      </w:tr>
      <w:tr w:rsidR="00367C5D" w:rsidRPr="00335886" w:rsidTr="00E537AB">
        <w:trPr>
          <w:trHeight w:val="255"/>
        </w:trPr>
        <w:tc>
          <w:tcPr>
            <w:tcW w:w="402" w:type="pct"/>
            <w:vMerge/>
            <w:tcBorders>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rPr>
                <w:i/>
                <w:sz w:val="14"/>
                <w:szCs w:val="14"/>
                <w:lang w:eastAsia="en-GB"/>
              </w:rPr>
            </w:pPr>
          </w:p>
        </w:tc>
        <w:tc>
          <w:tcPr>
            <w:tcW w:w="608" w:type="pct"/>
            <w:vMerge/>
            <w:tcBorders>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p>
        </w:tc>
        <w:tc>
          <w:tcPr>
            <w:tcW w:w="540" w:type="pct"/>
            <w:vMerge/>
            <w:tcBorders>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p>
        </w:tc>
        <w:tc>
          <w:tcPr>
            <w:tcW w:w="305" w:type="pct"/>
            <w:tcBorders>
              <w:top w:val="single" w:sz="4" w:space="0" w:color="auto"/>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H</w:t>
            </w:r>
          </w:p>
        </w:tc>
        <w:tc>
          <w:tcPr>
            <w:tcW w:w="306" w:type="pct"/>
            <w:tcBorders>
              <w:top w:val="single" w:sz="4" w:space="0" w:color="auto"/>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I</w:t>
            </w:r>
          </w:p>
        </w:tc>
        <w:tc>
          <w:tcPr>
            <w:tcW w:w="306" w:type="pct"/>
            <w:tcBorders>
              <w:top w:val="single" w:sz="4" w:space="0" w:color="auto"/>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J</w:t>
            </w:r>
          </w:p>
        </w:tc>
        <w:tc>
          <w:tcPr>
            <w:tcW w:w="306" w:type="pct"/>
            <w:tcBorders>
              <w:top w:val="single" w:sz="4" w:space="0" w:color="auto"/>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K</w:t>
            </w:r>
          </w:p>
        </w:tc>
        <w:tc>
          <w:tcPr>
            <w:tcW w:w="306" w:type="pct"/>
            <w:tcBorders>
              <w:top w:val="single" w:sz="4" w:space="0" w:color="auto"/>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L</w:t>
            </w:r>
          </w:p>
        </w:tc>
        <w:tc>
          <w:tcPr>
            <w:tcW w:w="305" w:type="pct"/>
            <w:tcBorders>
              <w:top w:val="single" w:sz="4" w:space="0" w:color="auto"/>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M</w:t>
            </w:r>
          </w:p>
        </w:tc>
        <w:tc>
          <w:tcPr>
            <w:tcW w:w="306" w:type="pct"/>
            <w:tcBorders>
              <w:top w:val="single" w:sz="4" w:space="0" w:color="auto"/>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N</w:t>
            </w:r>
          </w:p>
        </w:tc>
        <w:tc>
          <w:tcPr>
            <w:tcW w:w="306" w:type="pct"/>
            <w:tcBorders>
              <w:top w:val="single" w:sz="4" w:space="0" w:color="auto"/>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P</w:t>
            </w:r>
          </w:p>
        </w:tc>
        <w:tc>
          <w:tcPr>
            <w:tcW w:w="274" w:type="pct"/>
            <w:tcBorders>
              <w:top w:val="single" w:sz="4" w:space="0" w:color="auto"/>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Q</w:t>
            </w:r>
          </w:p>
        </w:tc>
        <w:tc>
          <w:tcPr>
            <w:tcW w:w="361" w:type="pct"/>
            <w:tcBorders>
              <w:top w:val="single" w:sz="4" w:space="0" w:color="auto"/>
              <w:bottom w:val="single" w:sz="12" w:space="0" w:color="auto"/>
            </w:tcBorders>
            <w:shd w:val="clear" w:color="FFFFFF" w:fill="FFFFFF"/>
            <w:noWrap/>
            <w:vAlign w:val="bottom"/>
          </w:tcPr>
          <w:p w:rsidR="00367C5D" w:rsidRPr="0048308F" w:rsidRDefault="00367C5D" w:rsidP="00E537AB">
            <w:pPr>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R</w:t>
            </w:r>
          </w:p>
        </w:tc>
        <w:tc>
          <w:tcPr>
            <w:tcW w:w="369" w:type="pct"/>
            <w:tcBorders>
              <w:top w:val="single" w:sz="4" w:space="0" w:color="auto"/>
              <w:bottom w:val="single" w:sz="12" w:space="0" w:color="auto"/>
            </w:tcBorders>
            <w:shd w:val="clear" w:color="FFFFFF" w:fill="FFFFFF"/>
          </w:tcPr>
          <w:p w:rsidR="00367C5D" w:rsidRPr="0048308F" w:rsidRDefault="00367C5D" w:rsidP="00E537AB">
            <w:pPr>
              <w:tabs>
                <w:tab w:val="left" w:pos="567"/>
                <w:tab w:val="left" w:pos="1134"/>
              </w:tabs>
              <w:suppressAutoHyphens w:val="0"/>
              <w:spacing w:before="40" w:after="40" w:line="200" w:lineRule="exact"/>
              <w:ind w:left="57" w:right="57"/>
              <w:jc w:val="center"/>
              <w:rPr>
                <w:b/>
                <w:i/>
                <w:sz w:val="14"/>
                <w:szCs w:val="14"/>
                <w:lang w:eastAsia="en-GB"/>
              </w:rPr>
            </w:pPr>
            <w:r w:rsidRPr="0048308F">
              <w:rPr>
                <w:b/>
                <w:i/>
                <w:sz w:val="14"/>
                <w:szCs w:val="14"/>
                <w:lang w:eastAsia="en-GB"/>
              </w:rPr>
              <w:t>Stade V</w:t>
            </w:r>
          </w:p>
        </w:tc>
      </w:tr>
      <w:tr w:rsidR="00E537AB" w:rsidRPr="00335886" w:rsidTr="00E537AB">
        <w:trPr>
          <w:trHeight w:val="315"/>
        </w:trPr>
        <w:tc>
          <w:tcPr>
            <w:tcW w:w="402"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E</w:t>
            </w:r>
          </w:p>
        </w:tc>
        <w:tc>
          <w:tcPr>
            <w:tcW w:w="608"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540"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tcBorders>
              <w:top w:val="single" w:sz="12"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4,0</w:t>
            </w:r>
            <w:r w:rsidRPr="0048308F">
              <w:rPr>
                <w:sz w:val="16"/>
                <w:szCs w:val="16"/>
                <w:vertAlign w:val="superscript"/>
                <w:lang w:eastAsia="en-GB"/>
              </w:rPr>
              <w:t>(4)</w:t>
            </w:r>
          </w:p>
        </w:tc>
        <w:tc>
          <w:tcPr>
            <w:tcW w:w="306"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2,0</w:t>
            </w:r>
          </w:p>
        </w:tc>
        <w:tc>
          <w:tcPr>
            <w:tcW w:w="305"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361" w:type="pct"/>
            <w:tcBorders>
              <w:top w:val="single" w:sz="12"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9" w:type="pct"/>
            <w:tcBorders>
              <w:top w:val="single" w:sz="12" w:space="0" w:color="auto"/>
            </w:tcBorders>
            <w:shd w:val="clear" w:color="FFFFFF" w:fill="FFFFFF"/>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E537AB" w:rsidRPr="00335886" w:rsidTr="00E537AB">
        <w:trPr>
          <w:trHeight w:val="315"/>
        </w:trPr>
        <w:tc>
          <w:tcPr>
            <w:tcW w:w="402"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F</w:t>
            </w:r>
          </w:p>
        </w:tc>
        <w:tc>
          <w:tcPr>
            <w:tcW w:w="608"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 ≤ P &lt; 130</w:t>
            </w:r>
          </w:p>
        </w:tc>
        <w:tc>
          <w:tcPr>
            <w:tcW w:w="540"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4,0</w:t>
            </w:r>
            <w:r w:rsidRPr="0048308F">
              <w:rPr>
                <w:sz w:val="16"/>
                <w:szCs w:val="16"/>
                <w:vertAlign w:val="superscript"/>
                <w:lang w:eastAsia="en-GB"/>
              </w:rPr>
              <w:t>(4)</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3,3</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369" w:type="pct"/>
            <w:shd w:val="clear" w:color="FFFFFF" w:fill="FFFFFF"/>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E537AB" w:rsidRPr="00335886" w:rsidTr="00E537AB">
        <w:trPr>
          <w:trHeight w:val="315"/>
        </w:trPr>
        <w:tc>
          <w:tcPr>
            <w:tcW w:w="402"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G</w:t>
            </w:r>
          </w:p>
        </w:tc>
        <w:tc>
          <w:tcPr>
            <w:tcW w:w="608"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37 ≤ P &lt; 75</w:t>
            </w:r>
          </w:p>
        </w:tc>
        <w:tc>
          <w:tcPr>
            <w:tcW w:w="540"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4,7</w:t>
            </w:r>
            <w:r w:rsidRPr="0048308F">
              <w:rPr>
                <w:sz w:val="16"/>
                <w:szCs w:val="16"/>
                <w:vertAlign w:val="superscript"/>
                <w:lang w:eastAsia="en-GB"/>
              </w:rPr>
              <w:t>(4)</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3,3</w:t>
            </w:r>
            <w:r w:rsidRPr="0048308F">
              <w:rPr>
                <w:sz w:val="16"/>
                <w:szCs w:val="16"/>
                <w:vertAlign w:val="superscript"/>
                <w:lang w:eastAsia="en-GB"/>
              </w:rPr>
              <w:t>(1)</w:t>
            </w:r>
          </w:p>
        </w:tc>
        <w:tc>
          <w:tcPr>
            <w:tcW w:w="306" w:type="pct"/>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4,7</w:t>
            </w:r>
            <w:r w:rsidRPr="0048308F">
              <w:rPr>
                <w:sz w:val="16"/>
                <w:szCs w:val="16"/>
                <w:vertAlign w:val="superscript"/>
                <w:lang w:eastAsia="en-GB"/>
              </w:rPr>
              <w:t>(2,4)</w:t>
            </w:r>
          </w:p>
        </w:tc>
        <w:tc>
          <w:tcPr>
            <w:tcW w:w="274"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r w:rsidRPr="0048308F">
              <w:rPr>
                <w:sz w:val="16"/>
                <w:szCs w:val="16"/>
                <w:vertAlign w:val="superscript"/>
                <w:lang w:eastAsia="en-GB"/>
              </w:rPr>
              <w:t>(1)</w:t>
            </w:r>
          </w:p>
        </w:tc>
        <w:tc>
          <w:tcPr>
            <w:tcW w:w="369" w:type="pct"/>
            <w:shd w:val="clear" w:color="FFFFFF" w:fill="FFFFFF"/>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E537AB" w:rsidRPr="00335886" w:rsidTr="00E537AB">
        <w:trPr>
          <w:trHeight w:val="315"/>
        </w:trPr>
        <w:tc>
          <w:tcPr>
            <w:tcW w:w="402"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D</w:t>
            </w:r>
            <w:r w:rsidRPr="0048308F">
              <w:rPr>
                <w:b/>
                <w:sz w:val="16"/>
                <w:szCs w:val="16"/>
                <w:vertAlign w:val="superscript"/>
                <w:lang w:eastAsia="en-GB"/>
              </w:rPr>
              <w:t>(3)</w:t>
            </w:r>
          </w:p>
        </w:tc>
        <w:tc>
          <w:tcPr>
            <w:tcW w:w="608"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19 ≤ P &lt; 37</w:t>
            </w:r>
          </w:p>
        </w:tc>
        <w:tc>
          <w:tcPr>
            <w:tcW w:w="540"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w:t>
            </w:r>
            <w:r w:rsidRPr="0048308F">
              <w:rPr>
                <w:sz w:val="16"/>
                <w:szCs w:val="16"/>
                <w:vertAlign w:val="superscript"/>
                <w:lang w:eastAsia="en-GB"/>
              </w:rPr>
              <w:t>(4)</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9" w:type="pct"/>
            <w:shd w:val="clear" w:color="FFFFFF" w:fill="FFFFFF"/>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4,70</w:t>
            </w:r>
            <w:r w:rsidRPr="0048308F">
              <w:rPr>
                <w:b/>
                <w:sz w:val="16"/>
                <w:szCs w:val="16"/>
                <w:vertAlign w:val="superscript"/>
                <w:lang w:eastAsia="en-GB"/>
              </w:rPr>
              <w:t>(4)</w:t>
            </w:r>
          </w:p>
        </w:tc>
      </w:tr>
      <w:tr w:rsidR="00367C5D" w:rsidRPr="00335886" w:rsidTr="00E537AB">
        <w:trPr>
          <w:trHeight w:val="195"/>
        </w:trPr>
        <w:tc>
          <w:tcPr>
            <w:tcW w:w="5000" w:type="pct"/>
            <w:gridSpan w:val="14"/>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p>
        </w:tc>
      </w:tr>
      <w:tr w:rsidR="00367C5D" w:rsidRPr="00335886" w:rsidTr="00E537AB">
        <w:trPr>
          <w:trHeight w:val="315"/>
        </w:trPr>
        <w:tc>
          <w:tcPr>
            <w:tcW w:w="402"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H</w:t>
            </w:r>
          </w:p>
        </w:tc>
        <w:tc>
          <w:tcPr>
            <w:tcW w:w="608"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540"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2,0</w:t>
            </w:r>
          </w:p>
        </w:tc>
        <w:tc>
          <w:tcPr>
            <w:tcW w:w="305"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361"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9" w:type="pct"/>
            <w:shd w:val="clear" w:color="FFFFFF" w:fill="FFFFFF"/>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E537AB">
        <w:trPr>
          <w:trHeight w:val="315"/>
        </w:trPr>
        <w:tc>
          <w:tcPr>
            <w:tcW w:w="402"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I</w:t>
            </w:r>
          </w:p>
        </w:tc>
        <w:tc>
          <w:tcPr>
            <w:tcW w:w="608"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 ≤ P &lt; 130</w:t>
            </w:r>
          </w:p>
        </w:tc>
        <w:tc>
          <w:tcPr>
            <w:tcW w:w="540"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3,3</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369" w:type="pct"/>
            <w:shd w:val="clear" w:color="FFFFFF" w:fill="FFFFFF"/>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E537AB">
        <w:trPr>
          <w:trHeight w:val="315"/>
        </w:trPr>
        <w:tc>
          <w:tcPr>
            <w:tcW w:w="402"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J</w:t>
            </w:r>
          </w:p>
        </w:tc>
        <w:tc>
          <w:tcPr>
            <w:tcW w:w="608"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37 ≤ P &lt; 75</w:t>
            </w:r>
          </w:p>
        </w:tc>
        <w:tc>
          <w:tcPr>
            <w:tcW w:w="540"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3,3</w:t>
            </w:r>
            <w:r w:rsidRPr="0048308F">
              <w:rPr>
                <w:sz w:val="16"/>
                <w:szCs w:val="16"/>
                <w:vertAlign w:val="superscript"/>
                <w:lang w:eastAsia="en-GB"/>
              </w:rPr>
              <w:t>(1)</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4,7</w:t>
            </w:r>
            <w:r w:rsidRPr="0048308F">
              <w:rPr>
                <w:sz w:val="16"/>
                <w:szCs w:val="16"/>
                <w:vertAlign w:val="superscript"/>
                <w:lang w:eastAsia="en-GB"/>
              </w:rPr>
              <w:t>(2,4)</w:t>
            </w:r>
          </w:p>
        </w:tc>
        <w:tc>
          <w:tcPr>
            <w:tcW w:w="274"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r w:rsidRPr="0048308F">
              <w:rPr>
                <w:sz w:val="16"/>
                <w:szCs w:val="16"/>
                <w:vertAlign w:val="superscript"/>
                <w:lang w:eastAsia="en-GB"/>
              </w:rPr>
              <w:t>(1)</w:t>
            </w:r>
          </w:p>
        </w:tc>
        <w:tc>
          <w:tcPr>
            <w:tcW w:w="369" w:type="pct"/>
            <w:shd w:val="clear" w:color="FFFFFF" w:fill="FFFFFF"/>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E537AB">
        <w:trPr>
          <w:trHeight w:val="315"/>
        </w:trPr>
        <w:tc>
          <w:tcPr>
            <w:tcW w:w="402"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K</w:t>
            </w:r>
          </w:p>
        </w:tc>
        <w:tc>
          <w:tcPr>
            <w:tcW w:w="608"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19 ≤ P &lt; 37</w:t>
            </w:r>
          </w:p>
        </w:tc>
        <w:tc>
          <w:tcPr>
            <w:tcW w:w="540"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9" w:type="pct"/>
            <w:shd w:val="clear" w:color="FFFFFF" w:fill="FFFFFF"/>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E537AB">
        <w:trPr>
          <w:trHeight w:val="255"/>
        </w:trPr>
        <w:tc>
          <w:tcPr>
            <w:tcW w:w="5000" w:type="pct"/>
            <w:gridSpan w:val="14"/>
            <w:shd w:val="clear" w:color="FFFFFF" w:fill="auto"/>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rFonts w:ascii="Arial" w:hAnsi="Arial" w:cs="Arial"/>
                <w:b/>
                <w:sz w:val="16"/>
                <w:szCs w:val="16"/>
                <w:lang w:eastAsia="en-GB"/>
              </w:rPr>
            </w:pPr>
          </w:p>
        </w:tc>
      </w:tr>
      <w:tr w:rsidR="00367C5D" w:rsidRPr="00335886" w:rsidTr="00E537AB">
        <w:trPr>
          <w:trHeight w:val="255"/>
        </w:trPr>
        <w:tc>
          <w:tcPr>
            <w:tcW w:w="402"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L</w:t>
            </w:r>
          </w:p>
        </w:tc>
        <w:tc>
          <w:tcPr>
            <w:tcW w:w="608"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540"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361"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9" w:type="pct"/>
            <w:shd w:val="clear" w:color="FFFFFF" w:fill="FFFFFF"/>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E537AB">
        <w:trPr>
          <w:trHeight w:val="255"/>
        </w:trPr>
        <w:tc>
          <w:tcPr>
            <w:tcW w:w="402"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M</w:t>
            </w:r>
          </w:p>
        </w:tc>
        <w:tc>
          <w:tcPr>
            <w:tcW w:w="608"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 ≤ P &lt; 130</w:t>
            </w:r>
          </w:p>
        </w:tc>
        <w:tc>
          <w:tcPr>
            <w:tcW w:w="540" w:type="pct"/>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369" w:type="pct"/>
            <w:shd w:val="clear" w:color="FFFFFF" w:fill="FFFFFF"/>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E537AB">
        <w:trPr>
          <w:trHeight w:val="255"/>
        </w:trPr>
        <w:tc>
          <w:tcPr>
            <w:tcW w:w="402" w:type="pct"/>
            <w:tcBorders>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w:t>
            </w:r>
          </w:p>
        </w:tc>
        <w:tc>
          <w:tcPr>
            <w:tcW w:w="608" w:type="pct"/>
            <w:tcBorders>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56 ≤ P &lt; 75</w:t>
            </w:r>
          </w:p>
        </w:tc>
        <w:tc>
          <w:tcPr>
            <w:tcW w:w="540" w:type="pct"/>
            <w:tcBorders>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tcBorders>
              <w:bottom w:val="single" w:sz="4"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tcBorders>
              <w:bottom w:val="single" w:sz="4"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369" w:type="pct"/>
            <w:tcBorders>
              <w:bottom w:val="single" w:sz="4" w:space="0" w:color="auto"/>
            </w:tcBorders>
            <w:shd w:val="clear" w:color="FFFFFF" w:fill="FFFFFF"/>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E537AB">
        <w:trPr>
          <w:trHeight w:val="255"/>
        </w:trPr>
        <w:tc>
          <w:tcPr>
            <w:tcW w:w="402" w:type="pct"/>
            <w:tcBorders>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608" w:type="pct"/>
            <w:tcBorders>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37 ≤ P &lt; 56</w:t>
            </w:r>
          </w:p>
        </w:tc>
        <w:tc>
          <w:tcPr>
            <w:tcW w:w="540" w:type="pct"/>
            <w:tcBorders>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tcBorders>
              <w:bottom w:val="single" w:sz="4"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tcBorders>
              <w:bottom w:val="single" w:sz="4" w:space="0" w:color="auto"/>
            </w:tcBorders>
            <w:shd w:val="clear" w:color="FFFFFF" w:fill="FFFFFF"/>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9" w:type="pct"/>
            <w:tcBorders>
              <w:bottom w:val="single" w:sz="4" w:space="0" w:color="auto"/>
            </w:tcBorders>
            <w:shd w:val="clear" w:color="FFFFFF" w:fill="FFFFFF"/>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4,70</w:t>
            </w:r>
            <w:r w:rsidRPr="0048308F">
              <w:rPr>
                <w:b/>
                <w:sz w:val="16"/>
                <w:szCs w:val="16"/>
                <w:vertAlign w:val="superscript"/>
                <w:lang w:eastAsia="en-GB"/>
              </w:rPr>
              <w:t>(4)</w:t>
            </w:r>
          </w:p>
        </w:tc>
      </w:tr>
      <w:tr w:rsidR="00367C5D" w:rsidRPr="00335886" w:rsidTr="00E537AB">
        <w:trPr>
          <w:trHeight w:val="255"/>
        </w:trPr>
        <w:tc>
          <w:tcPr>
            <w:tcW w:w="5000" w:type="pct"/>
            <w:gridSpan w:val="14"/>
            <w:tcBorders>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p>
        </w:tc>
      </w:tr>
      <w:tr w:rsidR="00367C5D" w:rsidRPr="00335886" w:rsidTr="00E537AB">
        <w:trPr>
          <w:trHeight w:val="255"/>
        </w:trPr>
        <w:tc>
          <w:tcPr>
            <w:tcW w:w="402" w:type="pct"/>
            <w:tcBorders>
              <w:top w:val="single" w:sz="4" w:space="0" w:color="auto"/>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Q</w:t>
            </w:r>
          </w:p>
        </w:tc>
        <w:tc>
          <w:tcPr>
            <w:tcW w:w="608" w:type="pct"/>
            <w:tcBorders>
              <w:top w:val="single" w:sz="4" w:space="0" w:color="auto"/>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540" w:type="pct"/>
            <w:tcBorders>
              <w:top w:val="single" w:sz="4" w:space="0" w:color="auto"/>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tcBorders>
              <w:top w:val="single" w:sz="4" w:space="0" w:color="auto"/>
              <w:bottom w:val="single" w:sz="4" w:space="0" w:color="auto"/>
            </w:tcBorders>
            <w:shd w:val="clear" w:color="auto" w:fill="A6A6A6" w:themeFill="background1" w:themeFillShade="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9" w:type="pct"/>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E537AB">
        <w:trPr>
          <w:trHeight w:val="255"/>
        </w:trPr>
        <w:tc>
          <w:tcPr>
            <w:tcW w:w="402" w:type="pct"/>
            <w:tcBorders>
              <w:top w:val="single" w:sz="4" w:space="0" w:color="auto"/>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R</w:t>
            </w:r>
          </w:p>
        </w:tc>
        <w:tc>
          <w:tcPr>
            <w:tcW w:w="608" w:type="pct"/>
            <w:tcBorders>
              <w:top w:val="single" w:sz="4" w:space="0" w:color="auto"/>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56 ≤ P &lt; 130</w:t>
            </w:r>
          </w:p>
        </w:tc>
        <w:tc>
          <w:tcPr>
            <w:tcW w:w="540" w:type="pct"/>
            <w:tcBorders>
              <w:top w:val="single" w:sz="4" w:space="0" w:color="auto"/>
              <w:bottom w:val="single" w:sz="4" w:space="0" w:color="auto"/>
            </w:tcBorders>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05"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5"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06" w:type="pct"/>
            <w:tcBorders>
              <w:top w:val="single" w:sz="4" w:space="0" w:color="auto"/>
              <w:bottom w:val="single" w:sz="4" w:space="0" w:color="auto"/>
            </w:tcBorders>
            <w:shd w:val="clear" w:color="auto" w:fill="A6A6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1" w:type="pct"/>
            <w:tcBorders>
              <w:top w:val="single" w:sz="4" w:space="0" w:color="auto"/>
              <w:bottom w:val="single" w:sz="4" w:space="0" w:color="auto"/>
            </w:tcBorders>
            <w:shd w:val="clear" w:color="auto" w:fill="A6A6A6" w:themeFill="background1" w:themeFillShade="A6"/>
            <w:noWrap/>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69" w:type="pct"/>
            <w:vAlign w:val="center"/>
          </w:tcPr>
          <w:p w:rsidR="00367C5D" w:rsidRPr="0048308F" w:rsidRDefault="00367C5D" w:rsidP="00E537AB">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7B45A9" w:rsidRPr="00335886" w:rsidTr="007B45A9">
        <w:trPr>
          <w:trHeight w:val="255"/>
        </w:trPr>
        <w:tc>
          <w:tcPr>
            <w:tcW w:w="5000" w:type="pct"/>
            <w:gridSpan w:val="14"/>
            <w:tcBorders>
              <w:top w:val="single" w:sz="12" w:space="0" w:color="auto"/>
              <w:left w:val="nil"/>
              <w:bottom w:val="nil"/>
              <w:right w:val="nil"/>
            </w:tcBorders>
            <w:shd w:val="clear" w:color="FFFFFF" w:fill="FFFFFF"/>
            <w:noWrap/>
            <w:vAlign w:val="center"/>
          </w:tcPr>
          <w:p w:rsidR="007B45A9" w:rsidRPr="00367C5D" w:rsidRDefault="007B45A9" w:rsidP="004E6A7E">
            <w:pPr>
              <w:keepNext/>
              <w:spacing w:before="120"/>
              <w:ind w:left="57" w:right="57" w:firstLine="170"/>
              <w:rPr>
                <w:sz w:val="18"/>
                <w:szCs w:val="18"/>
                <w:lang w:val="fr-FR"/>
              </w:rPr>
            </w:pPr>
            <w:r w:rsidRPr="00367C5D">
              <w:rPr>
                <w:sz w:val="18"/>
                <w:szCs w:val="18"/>
                <w:vertAlign w:val="superscript"/>
                <w:lang w:val="fr-FR" w:eastAsia="en-GB"/>
              </w:rPr>
              <w:t>(1)</w:t>
            </w:r>
            <w:r w:rsidRPr="00367C5D">
              <w:rPr>
                <w:sz w:val="18"/>
                <w:szCs w:val="18"/>
                <w:lang w:val="fr-FR" w:eastAsia="en-GB"/>
              </w:rPr>
              <w:t xml:space="preserve">  Seulement pour les moteurs 56 ≤ P &lt; 75.</w:t>
            </w:r>
          </w:p>
          <w:p w:rsidR="007B45A9" w:rsidRPr="00367C5D" w:rsidRDefault="007B45A9" w:rsidP="004E6A7E">
            <w:pPr>
              <w:keepNext/>
              <w:ind w:left="57" w:right="57" w:firstLine="170"/>
              <w:rPr>
                <w:sz w:val="18"/>
                <w:szCs w:val="18"/>
                <w:lang w:val="fr-FR"/>
              </w:rPr>
            </w:pPr>
            <w:r w:rsidRPr="00367C5D">
              <w:rPr>
                <w:sz w:val="18"/>
                <w:szCs w:val="18"/>
                <w:vertAlign w:val="superscript"/>
                <w:lang w:val="fr-FR" w:eastAsia="en-GB"/>
              </w:rPr>
              <w:t>(2)</w:t>
            </w:r>
            <w:r w:rsidRPr="00367C5D">
              <w:rPr>
                <w:sz w:val="18"/>
                <w:szCs w:val="18"/>
                <w:lang w:val="fr-FR" w:eastAsia="en-GB"/>
              </w:rPr>
              <w:t xml:space="preserve">  Seulement pour les moteurs 37 ≤ P &lt; 56.</w:t>
            </w:r>
          </w:p>
          <w:p w:rsidR="007B45A9" w:rsidRDefault="007B45A9" w:rsidP="007B45A9">
            <w:pPr>
              <w:keepNext/>
              <w:ind w:left="57" w:right="57" w:firstLine="170"/>
              <w:rPr>
                <w:b/>
                <w:sz w:val="18"/>
                <w:szCs w:val="18"/>
                <w:lang w:val="fr-FR" w:eastAsia="en-GB"/>
              </w:rPr>
            </w:pPr>
            <w:r w:rsidRPr="00367C5D">
              <w:rPr>
                <w:sz w:val="18"/>
                <w:szCs w:val="18"/>
                <w:vertAlign w:val="superscript"/>
                <w:lang w:val="fr-FR" w:eastAsia="en-GB"/>
              </w:rPr>
              <w:t>(3)</w:t>
            </w:r>
            <w:r w:rsidRPr="00367C5D">
              <w:rPr>
                <w:sz w:val="18"/>
                <w:szCs w:val="18"/>
                <w:lang w:val="fr-FR" w:eastAsia="en-GB"/>
              </w:rPr>
              <w:t xml:space="preserve">  </w:t>
            </w:r>
            <w:r w:rsidRPr="00367C5D">
              <w:rPr>
                <w:b/>
                <w:sz w:val="18"/>
                <w:szCs w:val="18"/>
                <w:lang w:val="fr-FR" w:eastAsia="en-GB"/>
              </w:rPr>
              <w:t>La plage de puissance</w:t>
            </w:r>
            <w:r w:rsidRPr="00367C5D">
              <w:rPr>
                <w:sz w:val="18"/>
                <w:szCs w:val="18"/>
                <w:lang w:val="fr-FR" w:eastAsia="en-GB"/>
              </w:rPr>
              <w:t xml:space="preserve"> 19 ≤ P &lt; 37 </w:t>
            </w:r>
            <w:r w:rsidRPr="00367C5D">
              <w:rPr>
                <w:b/>
                <w:sz w:val="18"/>
                <w:szCs w:val="18"/>
                <w:lang w:val="fr-FR" w:eastAsia="en-GB"/>
              </w:rPr>
              <w:t>est adaptée à la subdivision définie dans la série 0</w:t>
            </w:r>
            <w:r>
              <w:rPr>
                <w:b/>
                <w:sz w:val="18"/>
                <w:szCs w:val="18"/>
                <w:lang w:val="fr-FR" w:eastAsia="en-GB"/>
              </w:rPr>
              <w:t xml:space="preserve">5 d’amendements au Règlement </w:t>
            </w:r>
            <w:r w:rsidRPr="00367C5D">
              <w:rPr>
                <w:rFonts w:eastAsia="MS Mincho"/>
                <w:b/>
                <w:sz w:val="18"/>
                <w:szCs w:val="18"/>
                <w:lang w:val="fr-FR" w:eastAsia="en-GB"/>
              </w:rPr>
              <w:t>n</w:t>
            </w:r>
            <w:r w:rsidRPr="00367C5D">
              <w:rPr>
                <w:rFonts w:eastAsia="MS Mincho"/>
                <w:b/>
                <w:sz w:val="18"/>
                <w:szCs w:val="18"/>
                <w:vertAlign w:val="superscript"/>
                <w:lang w:val="fr-FR" w:eastAsia="en-GB"/>
              </w:rPr>
              <w:t>o</w:t>
            </w:r>
            <w:r>
              <w:rPr>
                <w:b/>
                <w:sz w:val="18"/>
                <w:szCs w:val="18"/>
                <w:lang w:val="fr-FR" w:eastAsia="en-GB"/>
              </w:rPr>
              <w:t> </w:t>
            </w:r>
            <w:r w:rsidRPr="00367C5D">
              <w:rPr>
                <w:b/>
                <w:sz w:val="18"/>
                <w:szCs w:val="18"/>
                <w:lang w:val="fr-FR" w:eastAsia="en-GB"/>
              </w:rPr>
              <w:t>96 (Stade V).</w:t>
            </w:r>
          </w:p>
          <w:p w:rsidR="007B45A9" w:rsidRPr="00367C5D" w:rsidRDefault="007B45A9" w:rsidP="004E6A7E">
            <w:pPr>
              <w:keepNext/>
              <w:ind w:left="57" w:right="57" w:firstLine="170"/>
              <w:rPr>
                <w:sz w:val="18"/>
                <w:szCs w:val="18"/>
                <w:lang w:val="fr-FR" w:eastAsia="en-GB"/>
              </w:rPr>
            </w:pPr>
            <w:r w:rsidRPr="00367C5D">
              <w:rPr>
                <w:sz w:val="18"/>
                <w:szCs w:val="18"/>
                <w:vertAlign w:val="superscript"/>
                <w:lang w:val="fr-FR" w:eastAsia="en-GB"/>
              </w:rPr>
              <w:t>(4)</w:t>
            </w:r>
            <w:r w:rsidRPr="00367C5D">
              <w:rPr>
                <w:sz w:val="18"/>
                <w:szCs w:val="18"/>
                <w:lang w:val="fr-FR" w:eastAsia="en-GB"/>
              </w:rPr>
              <w:t xml:space="preserve">  Somme des hydrocarbures et des oxydes d’azote.</w:t>
            </w:r>
          </w:p>
          <w:p w:rsidR="007B45A9" w:rsidRPr="00335886" w:rsidRDefault="007B45A9" w:rsidP="00E537AB">
            <w:pPr>
              <w:tabs>
                <w:tab w:val="left" w:pos="567"/>
                <w:tab w:val="left" w:pos="1134"/>
              </w:tabs>
              <w:suppressAutoHyphens w:val="0"/>
              <w:spacing w:before="40" w:after="40" w:line="240" w:lineRule="auto"/>
              <w:ind w:left="57" w:right="57"/>
              <w:rPr>
                <w:sz w:val="18"/>
                <w:szCs w:val="18"/>
                <w:vertAlign w:val="superscript"/>
                <w:lang w:eastAsia="en-GB"/>
              </w:rPr>
            </w:pPr>
            <w:r w:rsidRPr="00367C5D">
              <w:rPr>
                <w:sz w:val="18"/>
                <w:szCs w:val="18"/>
                <w:lang w:val="fr-FR"/>
              </w:rPr>
              <w:t>*</w:t>
            </w:r>
            <w:r>
              <w:rPr>
                <w:sz w:val="18"/>
                <w:szCs w:val="18"/>
                <w:lang w:val="fr-FR"/>
              </w:rPr>
              <w:t xml:space="preserve"> </w:t>
            </w:r>
            <w:r w:rsidRPr="00367C5D">
              <w:rPr>
                <w:sz w:val="18"/>
                <w:szCs w:val="18"/>
                <w:lang w:val="fr-FR"/>
              </w:rPr>
              <w:t xml:space="preserve"> La base correspond aux valeurs limites de la série 04 d’amendements au Règlement</w:t>
            </w:r>
            <w:r w:rsidRPr="00367C5D">
              <w:rPr>
                <w:b/>
                <w:sz w:val="18"/>
                <w:szCs w:val="18"/>
                <w:lang w:val="fr-FR"/>
              </w:rPr>
              <w:t xml:space="preserve"> </w:t>
            </w:r>
            <w:r w:rsidRPr="00367C5D">
              <w:rPr>
                <w:sz w:val="18"/>
                <w:szCs w:val="18"/>
                <w:lang w:val="fr-FR"/>
              </w:rPr>
              <w:t>n</w:t>
            </w:r>
            <w:r w:rsidRPr="00367C5D">
              <w:rPr>
                <w:sz w:val="18"/>
                <w:szCs w:val="18"/>
                <w:vertAlign w:val="superscript"/>
                <w:lang w:val="fr-FR"/>
              </w:rPr>
              <w:t>o</w:t>
            </w:r>
            <w:r w:rsidRPr="00367C5D">
              <w:rPr>
                <w:sz w:val="18"/>
                <w:szCs w:val="18"/>
                <w:lang w:val="fr-FR"/>
              </w:rPr>
              <w:t> 96. ».</w:t>
            </w:r>
          </w:p>
        </w:tc>
      </w:tr>
    </w:tbl>
    <w:p w:rsidR="000C5264" w:rsidRDefault="00C13192" w:rsidP="00D55ACE">
      <w:pPr>
        <w:pStyle w:val="SingleTxtG"/>
        <w:keepNext/>
        <w:spacing w:before="240"/>
        <w:rPr>
          <w:sz w:val="18"/>
          <w:szCs w:val="18"/>
          <w:lang w:val="fr-FR"/>
        </w:rPr>
      </w:pPr>
      <w:r>
        <w:rPr>
          <w:i/>
          <w:sz w:val="18"/>
          <w:szCs w:val="18"/>
          <w:lang w:val="fr-FR"/>
        </w:rPr>
        <w:br w:type="page"/>
      </w:r>
      <w:r w:rsidR="000C5264">
        <w:rPr>
          <w:i/>
          <w:sz w:val="18"/>
          <w:szCs w:val="18"/>
          <w:lang w:val="fr-FR"/>
        </w:rPr>
        <w:lastRenderedPageBreak/>
        <w:t>Annexe 9, tableau A 9/4</w:t>
      </w:r>
      <w:r w:rsidR="000C5264" w:rsidRPr="00D55ACE">
        <w:rPr>
          <w:sz w:val="18"/>
          <w:szCs w:val="18"/>
          <w:lang w:val="fr-FR"/>
        </w:rPr>
        <w:t>,</w:t>
      </w:r>
      <w:r w:rsidR="000C5264">
        <w:rPr>
          <w:i/>
          <w:sz w:val="18"/>
          <w:szCs w:val="18"/>
          <w:lang w:val="fr-FR"/>
        </w:rPr>
        <w:t xml:space="preserve"> </w:t>
      </w:r>
      <w:r w:rsidR="000C5264" w:rsidRPr="004E2112">
        <w:rPr>
          <w:sz w:val="18"/>
          <w:szCs w:val="18"/>
          <w:lang w:val="fr-FR"/>
        </w:rPr>
        <w:t>modifier comme suit :</w:t>
      </w:r>
    </w:p>
    <w:p w:rsidR="000C5264" w:rsidRDefault="000C5264" w:rsidP="00D55ACE">
      <w:pPr>
        <w:pStyle w:val="SingleTxtG"/>
        <w:keepNext/>
        <w:ind w:left="0"/>
        <w:rPr>
          <w:b/>
          <w:lang w:val="fr-FR"/>
        </w:rPr>
      </w:pPr>
      <w:r>
        <w:rPr>
          <w:sz w:val="18"/>
          <w:szCs w:val="18"/>
          <w:lang w:val="fr-FR"/>
        </w:rPr>
        <w:t>« </w:t>
      </w:r>
      <w:r w:rsidRPr="00D01EC4">
        <w:rPr>
          <w:b/>
          <w:szCs w:val="24"/>
          <w:lang w:val="fr-FR"/>
        </w:rPr>
        <w:t>Tableaux d</w:t>
      </w:r>
      <w:r>
        <w:rPr>
          <w:b/>
          <w:szCs w:val="24"/>
          <w:lang w:val="fr-FR"/>
        </w:rPr>
        <w:t>’</w:t>
      </w:r>
      <w:r w:rsidRPr="00D01EC4">
        <w:rPr>
          <w:b/>
          <w:szCs w:val="24"/>
          <w:lang w:val="fr-FR"/>
        </w:rPr>
        <w:t xml:space="preserve">équivalence pour le </w:t>
      </w:r>
      <w:r w:rsidRPr="00D01EC4">
        <w:rPr>
          <w:b/>
          <w:lang w:val="fr-FR"/>
        </w:rPr>
        <w:t>Règlement n</w:t>
      </w:r>
      <w:r w:rsidRPr="00D01EC4">
        <w:rPr>
          <w:b/>
          <w:vertAlign w:val="superscript"/>
          <w:lang w:val="fr-FR"/>
        </w:rPr>
        <w:t>o </w:t>
      </w:r>
      <w:r w:rsidRPr="00D01EC4">
        <w:rPr>
          <w:b/>
          <w:lang w:val="fr-FR"/>
        </w:rPr>
        <w:t xml:space="preserve">96/DAM </w:t>
      </w:r>
      <w:r>
        <w:rPr>
          <w:b/>
          <w:lang w:val="fr-FR"/>
        </w:rPr>
        <w:t xml:space="preserve">de la </w:t>
      </w:r>
      <w:r w:rsidRPr="00D01EC4">
        <w:rPr>
          <w:b/>
          <w:lang w:val="fr-FR"/>
        </w:rPr>
        <w:t>classe IV</w:t>
      </w:r>
    </w:p>
    <w:tbl>
      <w:tblPr>
        <w:tblW w:w="9639" w:type="dxa"/>
        <w:tblLayout w:type="fixed"/>
        <w:tblCellMar>
          <w:left w:w="0" w:type="dxa"/>
          <w:right w:w="0" w:type="dxa"/>
        </w:tblCellMar>
        <w:tblLook w:val="04A0" w:firstRow="1" w:lastRow="0" w:firstColumn="1" w:lastColumn="0" w:noHBand="0" w:noVBand="1"/>
      </w:tblPr>
      <w:tblGrid>
        <w:gridCol w:w="795"/>
        <w:gridCol w:w="38"/>
        <w:gridCol w:w="1203"/>
        <w:gridCol w:w="763"/>
        <w:gridCol w:w="276"/>
        <w:gridCol w:w="474"/>
        <w:gridCol w:w="542"/>
        <w:gridCol w:w="547"/>
        <w:gridCol w:w="542"/>
        <w:gridCol w:w="540"/>
        <w:gridCol w:w="10"/>
        <w:gridCol w:w="532"/>
        <w:gridCol w:w="10"/>
        <w:gridCol w:w="671"/>
        <w:gridCol w:w="8"/>
        <w:gridCol w:w="675"/>
        <w:gridCol w:w="542"/>
        <w:gridCol w:w="675"/>
        <w:gridCol w:w="796"/>
      </w:tblGrid>
      <w:tr w:rsidR="00367C5D" w:rsidRPr="00A61052" w:rsidTr="00C92C7D">
        <w:trPr>
          <w:trHeight w:val="255"/>
          <w:tblHeader/>
        </w:trPr>
        <w:tc>
          <w:tcPr>
            <w:tcW w:w="433" w:type="pct"/>
            <w:gridSpan w:val="2"/>
            <w:vMerge w:val="restart"/>
            <w:tcBorders>
              <w:top w:val="single" w:sz="4" w:space="0" w:color="auto"/>
              <w:left w:val="single" w:sz="4" w:space="0" w:color="auto"/>
              <w:right w:val="nil"/>
            </w:tcBorders>
            <w:shd w:val="clear" w:color="FFFFFF" w:fill="FFFFFF"/>
            <w:noWrap/>
            <w:vAlign w:val="center"/>
          </w:tcPr>
          <w:p w:rsidR="00367C5D" w:rsidRPr="0048308F" w:rsidRDefault="00367C5D" w:rsidP="004E6A7E">
            <w:pPr>
              <w:keepLines/>
              <w:suppressAutoHyphens w:val="0"/>
              <w:spacing w:before="40" w:after="40" w:line="200" w:lineRule="exact"/>
              <w:ind w:left="57" w:right="57"/>
              <w:jc w:val="center"/>
              <w:rPr>
                <w:i/>
                <w:sz w:val="14"/>
                <w:szCs w:val="14"/>
                <w:lang w:eastAsia="en-GB"/>
              </w:rPr>
            </w:pPr>
            <w:r w:rsidRPr="0048308F">
              <w:rPr>
                <w:i/>
                <w:sz w:val="14"/>
                <w:szCs w:val="14"/>
                <w:lang w:eastAsia="en-GB"/>
              </w:rPr>
              <w:t>Base</w:t>
            </w:r>
            <w:r w:rsidRPr="0048308F">
              <w:rPr>
                <w:i/>
                <w:sz w:val="14"/>
                <w:szCs w:val="14"/>
                <w:vertAlign w:val="superscript"/>
                <w:lang w:eastAsia="en-GB"/>
              </w:rPr>
              <w:t>*</w:t>
            </w:r>
          </w:p>
        </w:tc>
        <w:tc>
          <w:tcPr>
            <w:tcW w:w="624" w:type="pct"/>
            <w:vMerge w:val="restart"/>
            <w:tcBorders>
              <w:top w:val="single" w:sz="4" w:space="0" w:color="auto"/>
              <w:left w:val="single" w:sz="4" w:space="0" w:color="auto"/>
              <w:right w:val="single" w:sz="4" w:space="0" w:color="auto"/>
            </w:tcBorders>
            <w:shd w:val="clear" w:color="FFFFFF" w:fill="FFFFFF"/>
            <w:noWrap/>
            <w:vAlign w:val="center"/>
          </w:tcPr>
          <w:p w:rsidR="00367C5D" w:rsidRPr="0048308F" w:rsidRDefault="00367C5D" w:rsidP="004E6A7E">
            <w:pPr>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Puissance nette</w:t>
            </w:r>
            <w:r w:rsidR="00A61052" w:rsidRPr="0048308F">
              <w:rPr>
                <w:i/>
                <w:sz w:val="14"/>
                <w:szCs w:val="14"/>
                <w:lang w:eastAsia="en-GB"/>
              </w:rPr>
              <w:br/>
            </w:r>
            <w:r w:rsidRPr="0048308F">
              <w:rPr>
                <w:i/>
                <w:sz w:val="14"/>
                <w:szCs w:val="14"/>
                <w:lang w:eastAsia="en-GB"/>
              </w:rPr>
              <w:t>[kW]</w:t>
            </w:r>
          </w:p>
        </w:tc>
        <w:tc>
          <w:tcPr>
            <w:tcW w:w="539" w:type="pct"/>
            <w:gridSpan w:val="2"/>
            <w:vMerge w:val="restart"/>
            <w:tcBorders>
              <w:top w:val="single" w:sz="4" w:space="0" w:color="auto"/>
              <w:left w:val="nil"/>
              <w:right w:val="single" w:sz="4" w:space="0" w:color="auto"/>
            </w:tcBorders>
            <w:shd w:val="clear" w:color="FFFFFF" w:fill="FFFFFF"/>
            <w:noWrap/>
            <w:vAlign w:val="center"/>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Constituant</w:t>
            </w:r>
            <w:r w:rsidR="00A61052" w:rsidRPr="0048308F">
              <w:rPr>
                <w:i/>
                <w:sz w:val="14"/>
                <w:szCs w:val="14"/>
                <w:lang w:eastAsia="en-GB"/>
              </w:rPr>
              <w:br/>
            </w:r>
            <w:r w:rsidRPr="0048308F">
              <w:rPr>
                <w:i/>
                <w:sz w:val="14"/>
                <w:szCs w:val="14"/>
                <w:lang w:eastAsia="en-GB"/>
              </w:rPr>
              <w:t>[g/kWh]</w:t>
            </w:r>
          </w:p>
        </w:tc>
        <w:tc>
          <w:tcPr>
            <w:tcW w:w="3404" w:type="pct"/>
            <w:gridSpan w:val="14"/>
            <w:tcBorders>
              <w:top w:val="single" w:sz="4" w:space="0" w:color="auto"/>
              <w:left w:val="nil"/>
              <w:bottom w:val="single" w:sz="4"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Classe IV, norme</w:t>
            </w:r>
          </w:p>
        </w:tc>
      </w:tr>
      <w:tr w:rsidR="00367C5D" w:rsidRPr="00335886" w:rsidTr="00C92C7D">
        <w:trPr>
          <w:trHeight w:val="255"/>
          <w:tblHeader/>
        </w:trPr>
        <w:tc>
          <w:tcPr>
            <w:tcW w:w="433" w:type="pct"/>
            <w:gridSpan w:val="2"/>
            <w:vMerge/>
            <w:tcBorders>
              <w:left w:val="single" w:sz="4" w:space="0" w:color="auto"/>
              <w:bottom w:val="single" w:sz="12" w:space="0" w:color="auto"/>
              <w:right w:val="nil"/>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p>
        </w:tc>
        <w:tc>
          <w:tcPr>
            <w:tcW w:w="624" w:type="pct"/>
            <w:vMerge/>
            <w:tcBorders>
              <w:left w:val="single" w:sz="4" w:space="0" w:color="auto"/>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p>
        </w:tc>
        <w:tc>
          <w:tcPr>
            <w:tcW w:w="539" w:type="pct"/>
            <w:gridSpan w:val="2"/>
            <w:vMerge/>
            <w:tcBorders>
              <w:left w:val="nil"/>
              <w:bottom w:val="single" w:sz="12" w:space="0" w:color="auto"/>
              <w:right w:val="single" w:sz="4" w:space="0" w:color="auto"/>
            </w:tcBorders>
            <w:shd w:val="clear" w:color="FFFFFF" w:fill="FFFFFF"/>
            <w:noWrap/>
            <w:vAlign w:val="center"/>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p>
        </w:tc>
        <w:tc>
          <w:tcPr>
            <w:tcW w:w="246" w:type="pct"/>
            <w:tcBorders>
              <w:top w:val="single" w:sz="4" w:space="0" w:color="auto"/>
              <w:left w:val="nil"/>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H</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I</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J</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K</w:t>
            </w:r>
          </w:p>
        </w:tc>
        <w:tc>
          <w:tcPr>
            <w:tcW w:w="285" w:type="pct"/>
            <w:gridSpan w:val="2"/>
            <w:tcBorders>
              <w:top w:val="single" w:sz="4" w:space="0" w:color="auto"/>
              <w:left w:val="nil"/>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L</w:t>
            </w:r>
          </w:p>
        </w:tc>
        <w:tc>
          <w:tcPr>
            <w:tcW w:w="281" w:type="pct"/>
            <w:gridSpan w:val="2"/>
            <w:tcBorders>
              <w:top w:val="single" w:sz="4" w:space="0" w:color="auto"/>
              <w:left w:val="nil"/>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M</w:t>
            </w:r>
          </w:p>
        </w:tc>
        <w:tc>
          <w:tcPr>
            <w:tcW w:w="352" w:type="pct"/>
            <w:gridSpan w:val="2"/>
            <w:tcBorders>
              <w:top w:val="single" w:sz="4" w:space="0" w:color="auto"/>
              <w:left w:val="nil"/>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N</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P</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Q</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i/>
                <w:sz w:val="14"/>
                <w:szCs w:val="14"/>
                <w:lang w:eastAsia="en-GB"/>
              </w:rPr>
            </w:pPr>
            <w:r w:rsidRPr="0048308F">
              <w:rPr>
                <w:i/>
                <w:sz w:val="14"/>
                <w:szCs w:val="14"/>
                <w:lang w:eastAsia="en-GB"/>
              </w:rPr>
              <w:t>R</w:t>
            </w:r>
          </w:p>
        </w:tc>
        <w:tc>
          <w:tcPr>
            <w:tcW w:w="413" w:type="pct"/>
            <w:tcBorders>
              <w:top w:val="single" w:sz="4" w:space="0" w:color="auto"/>
              <w:left w:val="nil"/>
              <w:bottom w:val="single" w:sz="12" w:space="0" w:color="auto"/>
              <w:right w:val="single" w:sz="4" w:space="0" w:color="auto"/>
            </w:tcBorders>
            <w:shd w:val="clear" w:color="FFFFFF" w:fill="FFFFFF"/>
            <w:vAlign w:val="center"/>
          </w:tcPr>
          <w:p w:rsidR="00367C5D" w:rsidRPr="0048308F" w:rsidRDefault="00367C5D" w:rsidP="00A61052">
            <w:pPr>
              <w:keepNext/>
              <w:keepLines/>
              <w:tabs>
                <w:tab w:val="left" w:pos="567"/>
                <w:tab w:val="left" w:pos="1134"/>
              </w:tabs>
              <w:suppressAutoHyphens w:val="0"/>
              <w:spacing w:before="40" w:after="40" w:line="200" w:lineRule="exact"/>
              <w:ind w:left="57" w:right="57"/>
              <w:jc w:val="center"/>
              <w:rPr>
                <w:b/>
                <w:i/>
                <w:sz w:val="14"/>
                <w:szCs w:val="14"/>
                <w:lang w:eastAsia="en-GB"/>
              </w:rPr>
            </w:pPr>
            <w:r w:rsidRPr="0048308F">
              <w:rPr>
                <w:b/>
                <w:i/>
                <w:sz w:val="14"/>
                <w:szCs w:val="14"/>
                <w:lang w:eastAsia="en-GB"/>
              </w:rPr>
              <w:t>Stade V</w:t>
            </w:r>
          </w:p>
        </w:tc>
      </w:tr>
      <w:tr w:rsidR="00367C5D" w:rsidRPr="00335886" w:rsidTr="00D55ACE">
        <w:trPr>
          <w:trHeight w:val="315"/>
        </w:trPr>
        <w:tc>
          <w:tcPr>
            <w:tcW w:w="433" w:type="pct"/>
            <w:gridSpan w:val="2"/>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E</w:t>
            </w:r>
          </w:p>
        </w:tc>
        <w:tc>
          <w:tcPr>
            <w:tcW w:w="624"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539" w:type="pct"/>
            <w:gridSpan w:val="2"/>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246" w:type="pct"/>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5" w:type="pct"/>
            <w:gridSpan w:val="2"/>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281" w:type="pct"/>
            <w:gridSpan w:val="2"/>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2" w:type="pct"/>
            <w:gridSpan w:val="2"/>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12"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4,0</w:t>
            </w:r>
            <w:r w:rsidRPr="0048308F">
              <w:rPr>
                <w:sz w:val="16"/>
                <w:szCs w:val="16"/>
                <w:vertAlign w:val="superscript"/>
                <w:lang w:eastAsia="en-GB"/>
              </w:rPr>
              <w:t>(4)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D55AC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F</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 ≤ P &lt; 130</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4,0</w:t>
            </w:r>
            <w:r w:rsidRPr="0048308F">
              <w:rPr>
                <w:sz w:val="16"/>
                <w:szCs w:val="16"/>
                <w:vertAlign w:val="superscript"/>
                <w:lang w:eastAsia="en-GB"/>
              </w:rPr>
              <w:t>(4)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3,3</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D55AC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G</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37 ≤ P &lt; 75</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4,7</w:t>
            </w:r>
            <w:r w:rsidRPr="0048308F">
              <w:rPr>
                <w:sz w:val="16"/>
                <w:szCs w:val="16"/>
                <w:vertAlign w:val="superscript"/>
                <w:lang w:eastAsia="en-GB"/>
              </w:rPr>
              <w:t>(4)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3,3</w:t>
            </w:r>
            <w:r w:rsidRPr="0048308F">
              <w:rPr>
                <w:sz w:val="16"/>
                <w:szCs w:val="16"/>
                <w:vertAlign w:val="superscript"/>
                <w:lang w:eastAsia="en-GB"/>
              </w:rPr>
              <w:t>(1)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4,7</w:t>
            </w:r>
            <w:r w:rsidRPr="0048308F">
              <w:rPr>
                <w:sz w:val="16"/>
                <w:szCs w:val="16"/>
                <w:vertAlign w:val="superscript"/>
                <w:lang w:eastAsia="en-GB"/>
              </w:rPr>
              <w:t>(2,4)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r w:rsidRPr="0048308F">
              <w:rPr>
                <w:sz w:val="16"/>
                <w:szCs w:val="16"/>
                <w:vertAlign w:val="superscript"/>
                <w:lang w:eastAsia="en-GB"/>
              </w:rPr>
              <w:t>(1)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D55AC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D</w:t>
            </w:r>
            <w:r w:rsidRPr="0048308F">
              <w:rPr>
                <w:b/>
                <w:sz w:val="16"/>
                <w:szCs w:val="16"/>
                <w:vertAlign w:val="superscript"/>
                <w:lang w:eastAsia="en-GB"/>
              </w:rPr>
              <w:t>(3)</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19 ≤ P &lt; 37</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0,6</w:t>
            </w:r>
            <w:r w:rsidRPr="0048308F">
              <w:rPr>
                <w:sz w:val="16"/>
                <w:szCs w:val="16"/>
                <w:vertAlign w:val="superscript"/>
                <w:lang w:eastAsia="en-GB"/>
              </w:rPr>
              <w:t xml:space="preserve"> </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w:t>
            </w:r>
            <w:r w:rsidRPr="0048308F">
              <w:rPr>
                <w:sz w:val="16"/>
                <w:szCs w:val="16"/>
                <w:vertAlign w:val="superscript"/>
                <w:lang w:eastAsia="en-GB"/>
              </w:rPr>
              <w:t>(4)</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4,70</w:t>
            </w:r>
            <w:r w:rsidRPr="0048308F">
              <w:rPr>
                <w:b/>
                <w:sz w:val="16"/>
                <w:szCs w:val="16"/>
                <w:vertAlign w:val="superscript"/>
                <w:lang w:eastAsia="en-GB"/>
              </w:rPr>
              <w:t>(4)</w:t>
            </w:r>
          </w:p>
        </w:tc>
      </w:tr>
      <w:tr w:rsidR="00367C5D" w:rsidRPr="00335886" w:rsidTr="00D55ACE">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p>
        </w:tc>
      </w:tr>
      <w:tr w:rsidR="00367C5D" w:rsidRPr="00335886" w:rsidTr="00D55AC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H</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D55AC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I</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r w:rsidRPr="0048308F">
              <w:rPr>
                <w:sz w:val="16"/>
                <w:szCs w:val="16"/>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3,3</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D55ACE">
        <w:trPr>
          <w:trHeight w:val="31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J</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37 ≤ P &lt; 75</w:t>
            </w: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 xml:space="preserve"> (1)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0,025</w:t>
            </w:r>
            <w:r w:rsidRPr="0048308F">
              <w:rPr>
                <w:sz w:val="16"/>
                <w:szCs w:val="16"/>
                <w:vertAlign w:val="superscript"/>
                <w:lang w:eastAsia="en-GB"/>
              </w:rPr>
              <w:t>(1)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r w:rsidRPr="0048308F">
              <w:rPr>
                <w:sz w:val="16"/>
                <w:szCs w:val="16"/>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3,3</w:t>
            </w:r>
            <w:r w:rsidRPr="0048308F">
              <w:rPr>
                <w:sz w:val="16"/>
                <w:szCs w:val="16"/>
                <w:vertAlign w:val="superscript"/>
                <w:lang w:eastAsia="en-GB"/>
              </w:rPr>
              <w:t>(1)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vertAlign w:val="superscript"/>
                <w:lang w:eastAsia="en-GB"/>
              </w:rPr>
            </w:pPr>
            <w:r w:rsidRPr="0048308F">
              <w:rPr>
                <w:sz w:val="16"/>
                <w:szCs w:val="16"/>
                <w:lang w:eastAsia="en-GB"/>
              </w:rPr>
              <w:t>4,7</w:t>
            </w:r>
            <w:r w:rsidRPr="0048308F">
              <w:rPr>
                <w:sz w:val="16"/>
                <w:szCs w:val="16"/>
                <w:vertAlign w:val="superscript"/>
                <w:lang w:eastAsia="en-GB"/>
              </w:rPr>
              <w:t>(2,4)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r w:rsidRPr="0048308F">
              <w:rPr>
                <w:sz w:val="16"/>
                <w:szCs w:val="16"/>
                <w:vertAlign w:val="superscript"/>
                <w:lang w:eastAsia="en-GB"/>
              </w:rPr>
              <w:t>(1)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D55AC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K</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19 ≤ P &lt; 37</w:t>
            </w: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r w:rsidRPr="0048308F">
              <w:rPr>
                <w:sz w:val="16"/>
                <w:szCs w:val="16"/>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CC7478">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4,70</w:t>
            </w:r>
            <w:r w:rsidRPr="0048308F">
              <w:rPr>
                <w:b/>
                <w:sz w:val="16"/>
                <w:szCs w:val="16"/>
                <w:vertAlign w:val="superscript"/>
                <w:lang w:eastAsia="en-GB"/>
              </w:rPr>
              <w:t>(4)</w:t>
            </w:r>
          </w:p>
        </w:tc>
      </w:tr>
      <w:tr w:rsidR="00367C5D" w:rsidRPr="00335886" w:rsidTr="00D55ACE">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rsidR="00367C5D" w:rsidRPr="00335886" w:rsidRDefault="00367C5D" w:rsidP="00A61052">
            <w:pPr>
              <w:tabs>
                <w:tab w:val="left" w:pos="567"/>
                <w:tab w:val="left" w:pos="1134"/>
              </w:tabs>
              <w:suppressAutoHyphens w:val="0"/>
              <w:spacing w:before="40" w:after="40" w:line="240" w:lineRule="auto"/>
              <w:ind w:left="57" w:right="57"/>
              <w:jc w:val="center"/>
              <w:rPr>
                <w:b/>
                <w:sz w:val="18"/>
                <w:szCs w:val="18"/>
                <w:lang w:eastAsia="en-GB"/>
              </w:rPr>
            </w:pPr>
          </w:p>
        </w:tc>
      </w:tr>
      <w:tr w:rsidR="00367C5D" w:rsidRPr="00335886" w:rsidTr="00D55AC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L</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D55AC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M</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D55AC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56 ≤ P &lt; 75</w:t>
            </w: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D55ACE">
        <w:trPr>
          <w:trHeight w:val="255"/>
        </w:trPr>
        <w:tc>
          <w:tcPr>
            <w:tcW w:w="413" w:type="pct"/>
            <w:vMerge w:val="restart"/>
            <w:tcBorders>
              <w:top w:val="single" w:sz="4" w:space="0" w:color="auto"/>
              <w:left w:val="single" w:sz="4" w:space="0" w:color="auto"/>
              <w:bottom w:val="single" w:sz="12"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644" w:type="pct"/>
            <w:gridSpan w:val="2"/>
            <w:vMerge w:val="restart"/>
            <w:tcBorders>
              <w:top w:val="single" w:sz="4" w:space="0" w:color="auto"/>
              <w:left w:val="single" w:sz="4" w:space="0" w:color="auto"/>
              <w:bottom w:val="single" w:sz="12"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37 ≤ P &lt; 56</w:t>
            </w: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2F2894">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4,70</w:t>
            </w:r>
            <w:r w:rsidRPr="0048308F">
              <w:rPr>
                <w:b/>
                <w:sz w:val="16"/>
                <w:szCs w:val="16"/>
                <w:vertAlign w:val="superscript"/>
                <w:lang w:eastAsia="en-GB"/>
              </w:rPr>
              <w:t>(4)</w:t>
            </w:r>
          </w:p>
        </w:tc>
      </w:tr>
      <w:tr w:rsidR="00367C5D" w:rsidRPr="00335886" w:rsidTr="00D55ACE">
        <w:trPr>
          <w:trHeight w:val="255"/>
        </w:trPr>
        <w:tc>
          <w:tcPr>
            <w:tcW w:w="5000" w:type="pct"/>
            <w:gridSpan w:val="19"/>
            <w:tcBorders>
              <w:top w:val="single" w:sz="4" w:space="0" w:color="auto"/>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p>
        </w:tc>
      </w:tr>
      <w:tr w:rsidR="00367C5D" w:rsidRPr="00335886" w:rsidTr="00D55ACE">
        <w:trPr>
          <w:trHeight w:val="255"/>
        </w:trPr>
        <w:tc>
          <w:tcPr>
            <w:tcW w:w="413" w:type="pct"/>
            <w:vMerge w:val="restart"/>
            <w:tcBorders>
              <w:top w:val="single" w:sz="4" w:space="0" w:color="auto"/>
              <w:left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Q</w:t>
            </w:r>
          </w:p>
        </w:tc>
        <w:tc>
          <w:tcPr>
            <w:tcW w:w="644" w:type="pct"/>
            <w:gridSpan w:val="2"/>
            <w:vMerge w:val="restart"/>
            <w:tcBorders>
              <w:top w:val="single" w:sz="4" w:space="0" w:color="auto"/>
              <w:left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255"/>
        </w:trPr>
        <w:tc>
          <w:tcPr>
            <w:tcW w:w="413" w:type="pct"/>
            <w:vMerge/>
            <w:tcBorders>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p>
        </w:tc>
        <w:tc>
          <w:tcPr>
            <w:tcW w:w="644" w:type="pct"/>
            <w:gridSpan w:val="2"/>
            <w:vMerge/>
            <w:tcBorders>
              <w:left w:val="single" w:sz="4" w:space="0" w:color="auto"/>
              <w:bottom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35886" w:rsidTr="00D55ACE">
        <w:trPr>
          <w:trHeight w:val="255"/>
        </w:trPr>
        <w:tc>
          <w:tcPr>
            <w:tcW w:w="413" w:type="pct"/>
            <w:vMerge w:val="restart"/>
            <w:tcBorders>
              <w:top w:val="single" w:sz="4" w:space="0" w:color="auto"/>
              <w:left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R</w:t>
            </w:r>
          </w:p>
        </w:tc>
        <w:tc>
          <w:tcPr>
            <w:tcW w:w="644" w:type="pct"/>
            <w:gridSpan w:val="2"/>
            <w:vMerge w:val="restart"/>
            <w:tcBorders>
              <w:top w:val="single" w:sz="4" w:space="0" w:color="auto"/>
              <w:left w:val="single" w:sz="4"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56 ≤ P &lt; 130</w:t>
            </w:r>
          </w:p>
        </w:tc>
        <w:tc>
          <w:tcPr>
            <w:tcW w:w="396" w:type="pct"/>
            <w:tcBorders>
              <w:top w:val="single" w:sz="4" w:space="0" w:color="auto"/>
              <w:left w:val="nil"/>
              <w:bottom w:val="single" w:sz="4"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P</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0,015</w:t>
            </w:r>
          </w:p>
        </w:tc>
      </w:tr>
      <w:tr w:rsidR="00367C5D" w:rsidRPr="00335886" w:rsidTr="00D55ACE">
        <w:trPr>
          <w:trHeight w:val="255"/>
        </w:trPr>
        <w:tc>
          <w:tcPr>
            <w:tcW w:w="413" w:type="pct"/>
            <w:vMerge/>
            <w:tcBorders>
              <w:left w:val="single" w:sz="4" w:space="0" w:color="auto"/>
              <w:bottom w:val="single" w:sz="12"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p>
        </w:tc>
        <w:tc>
          <w:tcPr>
            <w:tcW w:w="644" w:type="pct"/>
            <w:gridSpan w:val="2"/>
            <w:vMerge/>
            <w:tcBorders>
              <w:left w:val="single" w:sz="4" w:space="0" w:color="auto"/>
              <w:bottom w:val="single" w:sz="12" w:space="0" w:color="auto"/>
              <w:right w:val="single" w:sz="4" w:space="0" w:color="auto"/>
            </w:tcBorders>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p>
        </w:tc>
        <w:tc>
          <w:tcPr>
            <w:tcW w:w="396" w:type="pct"/>
            <w:tcBorders>
              <w:top w:val="single" w:sz="4" w:space="0" w:color="auto"/>
              <w:left w:val="nil"/>
              <w:bottom w:val="single" w:sz="12" w:space="0" w:color="auto"/>
              <w:right w:val="single" w:sz="4" w:space="0" w:color="auto"/>
            </w:tcBorders>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NO</w:t>
            </w:r>
            <w:r w:rsidRPr="0048308F">
              <w:rPr>
                <w:sz w:val="16"/>
                <w:szCs w:val="16"/>
                <w:vertAlign w:val="subscript"/>
                <w:lang w:eastAsia="en-GB"/>
              </w:rPr>
              <w:t>x</w:t>
            </w:r>
          </w:p>
        </w:tc>
        <w:tc>
          <w:tcPr>
            <w:tcW w:w="389" w:type="pct"/>
            <w:gridSpan w:val="2"/>
            <w:tcBorders>
              <w:top w:val="single" w:sz="4" w:space="0" w:color="auto"/>
              <w:left w:val="nil"/>
              <w:bottom w:val="single" w:sz="12"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12"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4" w:type="pct"/>
            <w:tcBorders>
              <w:top w:val="single" w:sz="4" w:space="0" w:color="auto"/>
              <w:left w:val="nil"/>
              <w:bottom w:val="single" w:sz="12"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12"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0" w:type="pct"/>
            <w:tcBorders>
              <w:top w:val="single" w:sz="4" w:space="0" w:color="auto"/>
              <w:left w:val="nil"/>
              <w:bottom w:val="single" w:sz="12"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gridSpan w:val="2"/>
            <w:tcBorders>
              <w:top w:val="single" w:sz="4" w:space="0" w:color="auto"/>
              <w:left w:val="nil"/>
              <w:bottom w:val="single" w:sz="12"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3" w:type="pct"/>
            <w:gridSpan w:val="2"/>
            <w:tcBorders>
              <w:top w:val="single" w:sz="4" w:space="0" w:color="auto"/>
              <w:left w:val="nil"/>
              <w:bottom w:val="single" w:sz="12"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4" w:type="pct"/>
            <w:gridSpan w:val="2"/>
            <w:tcBorders>
              <w:top w:val="single" w:sz="4" w:space="0" w:color="auto"/>
              <w:left w:val="nil"/>
              <w:bottom w:val="single" w:sz="12" w:space="0" w:color="auto"/>
              <w:right w:val="single" w:sz="4" w:space="0" w:color="auto"/>
            </w:tcBorders>
            <w:shd w:val="clear" w:color="auto" w:fill="A6A6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281"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350"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sz w:val="16"/>
                <w:szCs w:val="16"/>
                <w:lang w:eastAsia="en-GB"/>
              </w:rPr>
            </w:pPr>
            <w:r w:rsidRPr="0048308F">
              <w:rPr>
                <w:sz w:val="16"/>
                <w:szCs w:val="16"/>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367C5D" w:rsidRPr="0048308F" w:rsidRDefault="00367C5D" w:rsidP="00A61052">
            <w:pPr>
              <w:tabs>
                <w:tab w:val="left" w:pos="567"/>
                <w:tab w:val="left" w:pos="1134"/>
              </w:tabs>
              <w:suppressAutoHyphens w:val="0"/>
              <w:spacing w:before="40" w:after="40" w:line="240" w:lineRule="auto"/>
              <w:ind w:left="57" w:right="57"/>
              <w:jc w:val="center"/>
              <w:rPr>
                <w:b/>
                <w:sz w:val="16"/>
                <w:szCs w:val="16"/>
                <w:lang w:eastAsia="en-GB"/>
              </w:rPr>
            </w:pPr>
            <w:r w:rsidRPr="0048308F">
              <w:rPr>
                <w:b/>
                <w:sz w:val="16"/>
                <w:szCs w:val="16"/>
                <w:lang w:eastAsia="en-GB"/>
              </w:rPr>
              <w:t>-</w:t>
            </w:r>
          </w:p>
        </w:tc>
      </w:tr>
      <w:tr w:rsidR="00367C5D" w:rsidRPr="00367C5D" w:rsidTr="00D55ACE">
        <w:trPr>
          <w:trHeight w:val="1345"/>
        </w:trPr>
        <w:tc>
          <w:tcPr>
            <w:tcW w:w="5000" w:type="pct"/>
            <w:gridSpan w:val="19"/>
            <w:tcBorders>
              <w:top w:val="single" w:sz="12" w:space="0" w:color="auto"/>
              <w:left w:val="nil"/>
              <w:right w:val="nil"/>
            </w:tcBorders>
            <w:shd w:val="clear" w:color="FFFFFF" w:fill="FFFFFF"/>
            <w:noWrap/>
            <w:vAlign w:val="center"/>
          </w:tcPr>
          <w:p w:rsidR="00367C5D" w:rsidRPr="00367C5D" w:rsidRDefault="00367C5D" w:rsidP="00BB7BC3">
            <w:pPr>
              <w:spacing w:before="40"/>
              <w:ind w:left="57" w:right="57" w:firstLine="170"/>
              <w:rPr>
                <w:sz w:val="18"/>
                <w:szCs w:val="18"/>
                <w:lang w:val="fr-FR"/>
              </w:rPr>
            </w:pPr>
            <w:r w:rsidRPr="00367C5D">
              <w:rPr>
                <w:sz w:val="18"/>
                <w:szCs w:val="18"/>
                <w:vertAlign w:val="superscript"/>
                <w:lang w:val="fr-FR" w:eastAsia="en-GB"/>
              </w:rPr>
              <w:t>(1)</w:t>
            </w:r>
            <w:r w:rsidRPr="00367C5D">
              <w:rPr>
                <w:sz w:val="18"/>
                <w:szCs w:val="18"/>
                <w:lang w:val="fr-FR" w:eastAsia="en-GB"/>
              </w:rPr>
              <w:t xml:space="preserve">  Seulement pour les moteurs 56 ≤ P &lt; 75.</w:t>
            </w:r>
          </w:p>
          <w:p w:rsidR="00367C5D" w:rsidRPr="00367C5D" w:rsidRDefault="00367C5D" w:rsidP="00BB7BC3">
            <w:pPr>
              <w:ind w:left="57" w:right="57" w:firstLine="170"/>
              <w:rPr>
                <w:sz w:val="18"/>
                <w:szCs w:val="18"/>
                <w:lang w:val="fr-FR"/>
              </w:rPr>
            </w:pPr>
            <w:r w:rsidRPr="00367C5D">
              <w:rPr>
                <w:sz w:val="18"/>
                <w:szCs w:val="18"/>
                <w:vertAlign w:val="superscript"/>
                <w:lang w:val="fr-FR" w:eastAsia="en-GB"/>
              </w:rPr>
              <w:t>(2)</w:t>
            </w:r>
            <w:r w:rsidRPr="00367C5D">
              <w:rPr>
                <w:sz w:val="18"/>
                <w:szCs w:val="18"/>
                <w:lang w:val="fr-FR" w:eastAsia="en-GB"/>
              </w:rPr>
              <w:t xml:space="preserve">  Seulement pour les moteurs 37 ≤ P &lt; 56.</w:t>
            </w:r>
          </w:p>
          <w:p w:rsidR="00367C5D" w:rsidRPr="00367C5D" w:rsidRDefault="00367C5D" w:rsidP="007B45A9">
            <w:pPr>
              <w:keepNext/>
              <w:ind w:left="57" w:right="57" w:firstLine="170"/>
              <w:rPr>
                <w:sz w:val="18"/>
                <w:szCs w:val="18"/>
                <w:lang w:val="fr-FR"/>
              </w:rPr>
            </w:pPr>
            <w:r w:rsidRPr="00367C5D">
              <w:rPr>
                <w:sz w:val="18"/>
                <w:szCs w:val="18"/>
                <w:vertAlign w:val="superscript"/>
                <w:lang w:val="fr-FR" w:eastAsia="en-GB"/>
              </w:rPr>
              <w:t>(3)</w:t>
            </w:r>
            <w:r w:rsidRPr="00367C5D">
              <w:rPr>
                <w:sz w:val="18"/>
                <w:szCs w:val="18"/>
                <w:lang w:val="fr-FR" w:eastAsia="en-GB"/>
              </w:rPr>
              <w:t xml:space="preserve">  </w:t>
            </w:r>
            <w:r w:rsidRPr="00367C5D">
              <w:rPr>
                <w:b/>
                <w:sz w:val="18"/>
                <w:szCs w:val="18"/>
                <w:lang w:val="fr-FR" w:eastAsia="en-GB"/>
              </w:rPr>
              <w:t>La plage de puissance</w:t>
            </w:r>
            <w:r w:rsidRPr="00367C5D">
              <w:rPr>
                <w:sz w:val="18"/>
                <w:szCs w:val="18"/>
                <w:lang w:val="fr-FR" w:eastAsia="en-GB"/>
              </w:rPr>
              <w:t xml:space="preserve"> 19 ≤ P &lt; 37 </w:t>
            </w:r>
            <w:r w:rsidRPr="00367C5D">
              <w:rPr>
                <w:b/>
                <w:sz w:val="18"/>
                <w:szCs w:val="18"/>
                <w:lang w:val="fr-FR" w:eastAsia="en-GB"/>
              </w:rPr>
              <w:t xml:space="preserve">est adaptée à la subdivision définie dans la série 05 d’amendements au Règlement </w:t>
            </w:r>
            <w:r w:rsidRPr="00367C5D">
              <w:rPr>
                <w:rFonts w:eastAsia="MS Mincho"/>
                <w:b/>
                <w:sz w:val="18"/>
                <w:szCs w:val="18"/>
                <w:lang w:val="fr-FR" w:eastAsia="en-GB"/>
              </w:rPr>
              <w:t>n</w:t>
            </w:r>
            <w:r w:rsidRPr="00367C5D">
              <w:rPr>
                <w:rFonts w:eastAsia="MS Mincho"/>
                <w:b/>
                <w:sz w:val="18"/>
                <w:szCs w:val="18"/>
                <w:vertAlign w:val="superscript"/>
                <w:lang w:val="fr-FR" w:eastAsia="en-GB"/>
              </w:rPr>
              <w:t>o</w:t>
            </w:r>
            <w:r w:rsidRPr="00367C5D">
              <w:rPr>
                <w:b/>
                <w:sz w:val="18"/>
                <w:szCs w:val="18"/>
                <w:lang w:val="fr-FR" w:eastAsia="en-GB"/>
              </w:rPr>
              <w:t> 96 (Stade V).</w:t>
            </w:r>
          </w:p>
          <w:p w:rsidR="00367C5D" w:rsidRPr="00367C5D" w:rsidRDefault="00367C5D" w:rsidP="00BB7BC3">
            <w:pPr>
              <w:ind w:left="57" w:right="57" w:firstLine="170"/>
              <w:rPr>
                <w:sz w:val="18"/>
                <w:szCs w:val="18"/>
                <w:lang w:val="fr-FR" w:eastAsia="en-GB"/>
              </w:rPr>
            </w:pPr>
            <w:r w:rsidRPr="00367C5D">
              <w:rPr>
                <w:sz w:val="18"/>
                <w:szCs w:val="18"/>
                <w:vertAlign w:val="superscript"/>
                <w:lang w:val="fr-FR" w:eastAsia="en-GB"/>
              </w:rPr>
              <w:t>(4)</w:t>
            </w:r>
            <w:r w:rsidRPr="00367C5D">
              <w:rPr>
                <w:sz w:val="18"/>
                <w:szCs w:val="18"/>
                <w:lang w:val="fr-FR" w:eastAsia="en-GB"/>
              </w:rPr>
              <w:t xml:space="preserve">  Somme des hydrocarbures et des oxydes d’azote.</w:t>
            </w:r>
          </w:p>
          <w:p w:rsidR="00367C5D" w:rsidRPr="00367C5D" w:rsidRDefault="00367C5D" w:rsidP="00BB7BC3">
            <w:pPr>
              <w:spacing w:after="40"/>
              <w:ind w:left="57" w:right="57" w:firstLine="170"/>
              <w:rPr>
                <w:sz w:val="18"/>
                <w:szCs w:val="18"/>
                <w:lang w:val="fr-FR"/>
              </w:rPr>
            </w:pPr>
            <w:r w:rsidRPr="00367C5D">
              <w:rPr>
                <w:sz w:val="18"/>
                <w:szCs w:val="18"/>
                <w:lang w:val="fr-FR"/>
              </w:rPr>
              <w:t>*  La base correspond aux valeurs limites de la série 04 d’amendements au Règlement</w:t>
            </w:r>
            <w:r w:rsidRPr="00367C5D">
              <w:rPr>
                <w:b/>
                <w:sz w:val="18"/>
                <w:szCs w:val="18"/>
                <w:lang w:val="fr-FR"/>
              </w:rPr>
              <w:t xml:space="preserve"> </w:t>
            </w:r>
            <w:r w:rsidRPr="00367C5D">
              <w:rPr>
                <w:sz w:val="18"/>
                <w:szCs w:val="18"/>
                <w:lang w:val="fr-FR"/>
              </w:rPr>
              <w:t>n</w:t>
            </w:r>
            <w:r w:rsidRPr="00367C5D">
              <w:rPr>
                <w:sz w:val="18"/>
                <w:szCs w:val="18"/>
                <w:vertAlign w:val="superscript"/>
                <w:lang w:val="fr-FR"/>
              </w:rPr>
              <w:t>o</w:t>
            </w:r>
            <w:r w:rsidRPr="00367C5D">
              <w:rPr>
                <w:sz w:val="18"/>
                <w:szCs w:val="18"/>
                <w:lang w:val="fr-FR"/>
              </w:rPr>
              <w:t> 96. ».</w:t>
            </w:r>
          </w:p>
        </w:tc>
      </w:tr>
    </w:tbl>
    <w:p w:rsidR="000C5264" w:rsidRDefault="007B45A9" w:rsidP="0048308F">
      <w:pPr>
        <w:pStyle w:val="SingleTxtG"/>
        <w:keepNext/>
        <w:spacing w:before="240"/>
        <w:rPr>
          <w:lang w:val="fr-FR"/>
        </w:rPr>
      </w:pPr>
      <w:r>
        <w:rPr>
          <w:i/>
          <w:lang w:val="fr-FR"/>
        </w:rPr>
        <w:br w:type="page"/>
      </w:r>
      <w:r w:rsidR="000C5264" w:rsidRPr="00367C5D">
        <w:rPr>
          <w:i/>
          <w:lang w:val="fr-FR"/>
        </w:rPr>
        <w:lastRenderedPageBreak/>
        <w:t>Annexe 10, paragraphe 8.2</w:t>
      </w:r>
      <w:r w:rsidR="000C5264">
        <w:rPr>
          <w:lang w:val="fr-FR"/>
        </w:rPr>
        <w:t>, modifier comme suit :</w:t>
      </w:r>
    </w:p>
    <w:p w:rsidR="000C5264" w:rsidRDefault="00163730" w:rsidP="00163730">
      <w:pPr>
        <w:pStyle w:val="SingleTxtG"/>
        <w:ind w:left="2268" w:hanging="1134"/>
        <w:rPr>
          <w:lang w:val="fr-FR"/>
        </w:rPr>
      </w:pPr>
      <w:r>
        <w:rPr>
          <w:sz w:val="18"/>
          <w:szCs w:val="18"/>
          <w:lang w:val="fr-FR"/>
        </w:rPr>
        <w:t>« </w:t>
      </w:r>
      <w:r w:rsidR="000C5264">
        <w:rPr>
          <w:sz w:val="18"/>
          <w:szCs w:val="18"/>
          <w:lang w:val="fr-FR"/>
        </w:rPr>
        <w:t>8.2</w:t>
      </w:r>
      <w:r w:rsidR="000C5264">
        <w:rPr>
          <w:sz w:val="18"/>
          <w:szCs w:val="18"/>
          <w:lang w:val="fr-FR"/>
        </w:rPr>
        <w:tab/>
      </w:r>
      <w:r w:rsidR="000C5264">
        <w:rPr>
          <w:sz w:val="18"/>
          <w:szCs w:val="18"/>
          <w:lang w:val="fr-FR"/>
        </w:rPr>
        <w:tab/>
      </w:r>
      <w:r w:rsidR="000C5264" w:rsidRPr="00861153">
        <w:rPr>
          <w:b/>
          <w:sz w:val="18"/>
          <w:szCs w:val="18"/>
          <w:lang w:val="fr-FR"/>
        </w:rPr>
        <w:t>Le fabricant doit indiquer une concentration minimale acceptable de réactif CDmin</w:t>
      </w:r>
      <w:r w:rsidR="000C5264">
        <w:rPr>
          <w:b/>
          <w:sz w:val="18"/>
          <w:szCs w:val="18"/>
          <w:lang w:val="fr-FR"/>
        </w:rPr>
        <w:t>,</w:t>
      </w:r>
      <w:r w:rsidR="000C5264" w:rsidRPr="00861153">
        <w:rPr>
          <w:b/>
          <w:sz w:val="18"/>
          <w:szCs w:val="18"/>
          <w:lang w:val="fr-FR"/>
        </w:rPr>
        <w:t xml:space="preserve"> </w:t>
      </w:r>
      <w:r w:rsidR="000C5264" w:rsidRPr="00CB4C1B">
        <w:rPr>
          <w:b/>
          <w:lang w:val="fr-FR"/>
        </w:rPr>
        <w:t>avec laquelle les émissions de NO</w:t>
      </w:r>
      <w:r w:rsidR="000C5264" w:rsidRPr="00CB4C1B">
        <w:rPr>
          <w:b/>
          <w:vertAlign w:val="subscript"/>
          <w:lang w:val="fr-FR"/>
        </w:rPr>
        <w:t>x</w:t>
      </w:r>
      <w:r w:rsidR="000C5264" w:rsidRPr="00CB4C1B">
        <w:rPr>
          <w:b/>
          <w:lang w:val="fr-FR"/>
        </w:rPr>
        <w:t xml:space="preserve"> en sortie d’échappement ne dépassent pas la plus basse des deux valeurs suivantes, à savoir la</w:t>
      </w:r>
      <w:r w:rsidR="000C5264">
        <w:rPr>
          <w:b/>
          <w:sz w:val="18"/>
          <w:szCs w:val="18"/>
          <w:lang w:val="fr-FR"/>
        </w:rPr>
        <w:t xml:space="preserve"> </w:t>
      </w:r>
      <w:r w:rsidR="000C5264" w:rsidRPr="003934C0">
        <w:rPr>
          <w:b/>
          <w:lang w:val="fr-FR"/>
        </w:rPr>
        <w:t>valeur limite</w:t>
      </w:r>
      <w:r w:rsidR="000C5264">
        <w:rPr>
          <w:b/>
          <w:sz w:val="18"/>
          <w:szCs w:val="18"/>
          <w:lang w:val="fr-FR"/>
        </w:rPr>
        <w:t xml:space="preserve"> </w:t>
      </w:r>
      <w:r w:rsidR="000C5264" w:rsidRPr="003934C0">
        <w:rPr>
          <w:b/>
          <w:lang w:val="fr-FR"/>
        </w:rPr>
        <w:t>de</w:t>
      </w:r>
      <w:r w:rsidR="000C5264">
        <w:rPr>
          <w:b/>
          <w:sz w:val="18"/>
          <w:szCs w:val="18"/>
          <w:lang w:val="fr-FR"/>
        </w:rPr>
        <w:t xml:space="preserve"> </w:t>
      </w:r>
      <w:r w:rsidR="000C5264" w:rsidRPr="00CB4C1B">
        <w:rPr>
          <w:b/>
          <w:lang w:val="fr-FR"/>
        </w:rPr>
        <w:t>NO</w:t>
      </w:r>
      <w:r w:rsidR="000C5264" w:rsidRPr="00CB4C1B">
        <w:rPr>
          <w:b/>
          <w:vertAlign w:val="subscript"/>
          <w:lang w:val="fr-FR"/>
        </w:rPr>
        <w:t>x</w:t>
      </w:r>
      <w:r w:rsidR="000C5264">
        <w:rPr>
          <w:b/>
          <w:vertAlign w:val="subscript"/>
          <w:lang w:val="fr-FR"/>
        </w:rPr>
        <w:t xml:space="preserve"> </w:t>
      </w:r>
      <w:r w:rsidR="000C5264">
        <w:rPr>
          <w:b/>
          <w:lang w:val="fr-FR"/>
        </w:rPr>
        <w:t>applicable multiplié</w:t>
      </w:r>
      <w:r>
        <w:rPr>
          <w:b/>
          <w:lang w:val="fr-FR"/>
        </w:rPr>
        <w:t xml:space="preserve">e par 2,25 ou la valeur limite </w:t>
      </w:r>
      <w:r w:rsidR="000C5264">
        <w:rPr>
          <w:b/>
          <w:lang w:val="fr-FR"/>
        </w:rPr>
        <w:tab/>
        <w:t>applicable augmentée de 1,</w:t>
      </w:r>
      <w:r w:rsidR="000C5264" w:rsidRPr="00CB4C1B">
        <w:rPr>
          <w:b/>
          <w:lang w:val="fr-FR"/>
        </w:rPr>
        <w:t>5 g/kWh</w:t>
      </w:r>
      <w:r w:rsidR="000C5264">
        <w:rPr>
          <w:b/>
          <w:lang w:val="fr-FR"/>
        </w:rPr>
        <w:t>. Pour les sous-catégories de</w:t>
      </w:r>
      <w:r>
        <w:rPr>
          <w:b/>
          <w:lang w:val="fr-FR"/>
        </w:rPr>
        <w:t xml:space="preserve"> moteurs soumis à une limite </w:t>
      </w:r>
      <w:r>
        <w:rPr>
          <w:b/>
          <w:lang w:val="fr-FR"/>
        </w:rPr>
        <w:tab/>
      </w:r>
      <w:r w:rsidR="000C5264">
        <w:rPr>
          <w:b/>
          <w:lang w:val="fr-FR"/>
        </w:rPr>
        <w:t xml:space="preserve">combinée des valeurs de HC et de </w:t>
      </w:r>
      <w:r w:rsidR="000C5264" w:rsidRPr="00CB4C1B">
        <w:rPr>
          <w:b/>
          <w:lang w:val="fr-FR"/>
        </w:rPr>
        <w:t>NO</w:t>
      </w:r>
      <w:r w:rsidR="000C5264" w:rsidRPr="00CB4C1B">
        <w:rPr>
          <w:b/>
          <w:vertAlign w:val="subscript"/>
          <w:lang w:val="fr-FR"/>
        </w:rPr>
        <w:t>x</w:t>
      </w:r>
      <w:r w:rsidR="000C5264">
        <w:rPr>
          <w:b/>
          <w:lang w:val="fr-FR"/>
        </w:rPr>
        <w:t xml:space="preserve">, la valeur limite de </w:t>
      </w:r>
      <w:r w:rsidR="000C5264" w:rsidRPr="00CB4C1B">
        <w:rPr>
          <w:b/>
          <w:lang w:val="fr-FR"/>
        </w:rPr>
        <w:t>NO</w:t>
      </w:r>
      <w:r w:rsidR="000C5264" w:rsidRPr="00CB4C1B">
        <w:rPr>
          <w:b/>
          <w:vertAlign w:val="subscript"/>
          <w:lang w:val="fr-FR"/>
        </w:rPr>
        <w:t>x</w:t>
      </w:r>
      <w:r>
        <w:rPr>
          <w:b/>
          <w:lang w:val="fr-FR"/>
        </w:rPr>
        <w:t xml:space="preserve"> applicable aux fins du </w:t>
      </w:r>
      <w:r w:rsidR="000C5264">
        <w:rPr>
          <w:b/>
          <w:lang w:val="fr-FR"/>
        </w:rPr>
        <w:t xml:space="preserve">présent paragraphe doit être égale à la valeur limite combinée de HC et de </w:t>
      </w:r>
      <w:r w:rsidR="000C5264" w:rsidRPr="00CB4C1B">
        <w:rPr>
          <w:b/>
          <w:lang w:val="fr-FR"/>
        </w:rPr>
        <w:t>NO</w:t>
      </w:r>
      <w:r w:rsidR="002451C4" w:rsidRPr="00CB4C1B">
        <w:rPr>
          <w:b/>
          <w:vertAlign w:val="subscript"/>
          <w:lang w:val="fr-FR"/>
        </w:rPr>
        <w:t>x</w:t>
      </w:r>
      <w:r>
        <w:rPr>
          <w:b/>
          <w:lang w:val="fr-FR"/>
        </w:rPr>
        <w:t xml:space="preserve">, diminuée de </w:t>
      </w:r>
      <w:r w:rsidR="000C5264">
        <w:rPr>
          <w:b/>
          <w:lang w:val="fr-FR"/>
        </w:rPr>
        <w:t>0,</w:t>
      </w:r>
      <w:r w:rsidR="00A207CE">
        <w:rPr>
          <w:b/>
          <w:lang w:val="fr-FR"/>
        </w:rPr>
        <w:t>1</w:t>
      </w:r>
      <w:r w:rsidR="000C5264">
        <w:rPr>
          <w:b/>
          <w:lang w:val="fr-FR"/>
        </w:rPr>
        <w:t>9 g/kWh.</w:t>
      </w:r>
      <w:r w:rsidR="000C5264">
        <w:rPr>
          <w:lang w:val="fr-FR"/>
        </w:rPr>
        <w:t> ».</w:t>
      </w:r>
    </w:p>
    <w:p w:rsidR="00A207CE" w:rsidRPr="00A207CE" w:rsidRDefault="00A207CE" w:rsidP="00A207CE">
      <w:pPr>
        <w:pStyle w:val="SingleTxtG"/>
        <w:keepNext/>
        <w:ind w:left="2268"/>
        <w:rPr>
          <w:strike/>
          <w:lang w:val="fr-FR"/>
        </w:rPr>
      </w:pPr>
      <w:r w:rsidRPr="00A207CE">
        <w:rPr>
          <w:strike/>
          <w:lang w:val="fr-FR"/>
        </w:rPr>
        <w:t>Le fabricant doit spécifier une concentration minimale acceptable de réactif CDmin, avec laquelle les émissions de NOx en sortie d’échappement ne dépassent pas :</w:t>
      </w:r>
    </w:p>
    <w:p w:rsidR="00A207CE" w:rsidRPr="00A207CE" w:rsidRDefault="00A207CE" w:rsidP="00A207CE">
      <w:pPr>
        <w:pStyle w:val="SingleTxtG"/>
        <w:ind w:left="2835" w:hanging="567"/>
        <w:rPr>
          <w:strike/>
          <w:lang w:val="fr-FR"/>
        </w:rPr>
      </w:pPr>
      <w:r w:rsidRPr="00A207CE">
        <w:rPr>
          <w:strike/>
          <w:lang w:val="fr-FR"/>
        </w:rPr>
        <w:t>a)</w:t>
      </w:r>
      <w:r w:rsidRPr="00A207CE">
        <w:rPr>
          <w:strike/>
          <w:lang w:val="fr-FR"/>
        </w:rPr>
        <w:tab/>
        <w:t>0,9 g/kWh pour des systèmes moteurs rééquipés satisfaisant aux valeurs limites d’émissions de NOx pour les stades Q et R du Règlement no 96; ou</w:t>
      </w:r>
    </w:p>
    <w:p w:rsidR="00A207CE" w:rsidRPr="00D01EC4" w:rsidRDefault="00A207CE" w:rsidP="00A207CE">
      <w:pPr>
        <w:pStyle w:val="SingleTxtG"/>
        <w:ind w:left="2835" w:hanging="567"/>
        <w:rPr>
          <w:lang w:val="fr-FR"/>
        </w:rPr>
      </w:pPr>
      <w:r w:rsidRPr="00A207CE">
        <w:rPr>
          <w:strike/>
          <w:lang w:val="fr-FR"/>
        </w:rPr>
        <w:t>b)</w:t>
      </w:r>
      <w:r w:rsidRPr="00A207CE">
        <w:rPr>
          <w:strike/>
          <w:lang w:val="fr-FR"/>
        </w:rPr>
        <w:tab/>
        <w:t xml:space="preserve">Les valeurs limites d’émissions de NOx + 1,5 g/kWh pour tous les autres </w:t>
      </w:r>
      <w:r w:rsidRPr="00A207CE">
        <w:rPr>
          <w:strike/>
          <w:szCs w:val="24"/>
          <w:lang w:val="fr-FR"/>
        </w:rPr>
        <w:t>systèmes</w:t>
      </w:r>
      <w:r w:rsidRPr="00A207CE">
        <w:rPr>
          <w:strike/>
          <w:lang w:val="fr-FR"/>
        </w:rPr>
        <w:t>.</w:t>
      </w:r>
    </w:p>
    <w:p w:rsidR="000C5264" w:rsidRDefault="000C5264" w:rsidP="00163730">
      <w:pPr>
        <w:pStyle w:val="SingleTxtG"/>
        <w:keepNext/>
        <w:spacing w:before="240"/>
        <w:rPr>
          <w:i/>
          <w:sz w:val="18"/>
          <w:szCs w:val="18"/>
          <w:lang w:val="fr-FR"/>
        </w:rPr>
      </w:pPr>
      <w:r>
        <w:rPr>
          <w:i/>
          <w:sz w:val="18"/>
          <w:szCs w:val="18"/>
          <w:lang w:val="fr-FR"/>
        </w:rPr>
        <w:t>Insérer une nouvelle annexe</w:t>
      </w:r>
      <w:r w:rsidRPr="00163730">
        <w:rPr>
          <w:sz w:val="18"/>
          <w:szCs w:val="18"/>
          <w:lang w:val="fr-FR"/>
        </w:rPr>
        <w:t>, ainsi libellée :</w:t>
      </w:r>
    </w:p>
    <w:p w:rsidR="000C5264" w:rsidRDefault="000C5264" w:rsidP="00163730">
      <w:pPr>
        <w:pStyle w:val="HChG"/>
        <w:rPr>
          <w:sz w:val="18"/>
          <w:szCs w:val="18"/>
          <w:lang w:val="fr-FR"/>
        </w:rPr>
      </w:pPr>
      <w:r w:rsidRPr="00163730">
        <w:rPr>
          <w:b w:val="0"/>
          <w:sz w:val="20"/>
          <w:lang w:val="fr-FR"/>
        </w:rPr>
        <w:t>«</w:t>
      </w:r>
      <w:r>
        <w:rPr>
          <w:sz w:val="18"/>
          <w:szCs w:val="18"/>
          <w:lang w:val="fr-FR"/>
        </w:rPr>
        <w:t> </w:t>
      </w:r>
      <w:r w:rsidRPr="007D1050">
        <w:rPr>
          <w:lang w:val="fr-FR"/>
        </w:rPr>
        <w:t>Annexe 13</w:t>
      </w:r>
    </w:p>
    <w:p w:rsidR="000C5264" w:rsidRPr="00D01EC4" w:rsidRDefault="000C5264" w:rsidP="00802A86">
      <w:pPr>
        <w:pStyle w:val="HChG"/>
        <w:rPr>
          <w:lang w:val="fr-FR"/>
        </w:rPr>
      </w:pPr>
      <w:r>
        <w:rPr>
          <w:i/>
          <w:sz w:val="18"/>
          <w:szCs w:val="18"/>
          <w:lang w:val="fr-FR"/>
        </w:rPr>
        <w:tab/>
      </w:r>
      <w:r w:rsidRPr="00D01EC4">
        <w:rPr>
          <w:lang w:val="fr-FR"/>
        </w:rPr>
        <w:tab/>
        <w:t xml:space="preserve">Prescriptions spécifiques </w:t>
      </w:r>
      <w:r>
        <w:rPr>
          <w:lang w:val="fr-FR"/>
        </w:rPr>
        <w:t>relatives à</w:t>
      </w:r>
      <w:r w:rsidRPr="00D01EC4">
        <w:rPr>
          <w:lang w:val="fr-FR"/>
        </w:rPr>
        <w:t xml:space="preserve"> l</w:t>
      </w:r>
      <w:r>
        <w:rPr>
          <w:lang w:val="fr-FR"/>
        </w:rPr>
        <w:t>’</w:t>
      </w:r>
      <w:r w:rsidRPr="00D01EC4">
        <w:rPr>
          <w:lang w:val="fr-FR"/>
        </w:rPr>
        <w:t>homologation</w:t>
      </w:r>
      <w:r w:rsidR="00802A86">
        <w:rPr>
          <w:lang w:val="fr-FR"/>
        </w:rPr>
        <w:br/>
      </w:r>
      <w:r w:rsidRPr="00D01EC4">
        <w:rPr>
          <w:lang w:val="fr-FR"/>
        </w:rPr>
        <w:t>d</w:t>
      </w:r>
      <w:r>
        <w:rPr>
          <w:lang w:val="fr-FR"/>
        </w:rPr>
        <w:t>’</w:t>
      </w:r>
      <w:r w:rsidRPr="00D01EC4">
        <w:rPr>
          <w:lang w:val="fr-FR"/>
        </w:rPr>
        <w:t>un DAM en ce qui concerne les valeurs limites</w:t>
      </w:r>
      <w:r w:rsidRPr="00D01EC4">
        <w:rPr>
          <w:lang w:val="fr-FR"/>
        </w:rPr>
        <w:br/>
        <w:t>d</w:t>
      </w:r>
      <w:r>
        <w:rPr>
          <w:lang w:val="fr-FR"/>
        </w:rPr>
        <w:t>’</w:t>
      </w:r>
      <w:r w:rsidRPr="00D01EC4">
        <w:rPr>
          <w:lang w:val="fr-FR"/>
        </w:rPr>
        <w:t>é</w:t>
      </w:r>
      <w:r>
        <w:rPr>
          <w:lang w:val="fr-FR"/>
        </w:rPr>
        <w:t>missions fixées dans la série 05</w:t>
      </w:r>
      <w:r w:rsidRPr="00D01EC4">
        <w:rPr>
          <w:lang w:val="fr-FR"/>
        </w:rPr>
        <w:t xml:space="preserve"> d</w:t>
      </w:r>
      <w:r>
        <w:rPr>
          <w:lang w:val="fr-FR"/>
        </w:rPr>
        <w:t>’</w:t>
      </w:r>
      <w:r w:rsidRPr="00D01EC4">
        <w:rPr>
          <w:lang w:val="fr-FR"/>
        </w:rPr>
        <w:t>amendements</w:t>
      </w:r>
      <w:r w:rsidRPr="00D01EC4">
        <w:rPr>
          <w:lang w:val="fr-FR"/>
        </w:rPr>
        <w:br/>
        <w:t>au Règlement n</w:t>
      </w:r>
      <w:r w:rsidRPr="00D01EC4">
        <w:rPr>
          <w:vertAlign w:val="superscript"/>
          <w:lang w:val="fr-FR"/>
        </w:rPr>
        <w:t>o</w:t>
      </w:r>
      <w:r>
        <w:rPr>
          <w:lang w:val="fr-FR"/>
        </w:rPr>
        <w:t> </w:t>
      </w:r>
      <w:r w:rsidRPr="00D01EC4">
        <w:rPr>
          <w:lang w:val="fr-FR"/>
        </w:rPr>
        <w:t>9</w:t>
      </w:r>
      <w:r>
        <w:rPr>
          <w:lang w:val="fr-FR"/>
        </w:rPr>
        <w:t>6</w:t>
      </w:r>
    </w:p>
    <w:p w:rsidR="000C5264" w:rsidRPr="00802A86" w:rsidRDefault="000C5264" w:rsidP="00802A86">
      <w:pPr>
        <w:pStyle w:val="SingleTxtG"/>
        <w:ind w:left="2268" w:hanging="1134"/>
        <w:rPr>
          <w:b/>
          <w:lang w:val="fr-FR"/>
        </w:rPr>
      </w:pPr>
      <w:r w:rsidRPr="00802A86">
        <w:rPr>
          <w:b/>
          <w:lang w:val="fr-FR"/>
        </w:rPr>
        <w:t>1.</w:t>
      </w:r>
      <w:r w:rsidRPr="00802A86">
        <w:rPr>
          <w:b/>
          <w:lang w:val="fr-FR"/>
        </w:rPr>
        <w:tab/>
        <w:t>Introduction</w:t>
      </w:r>
    </w:p>
    <w:p w:rsidR="000C5264" w:rsidRPr="00861153" w:rsidRDefault="000C5264" w:rsidP="00802A86">
      <w:pPr>
        <w:pStyle w:val="SingleTxtG"/>
        <w:ind w:left="2268"/>
        <w:rPr>
          <w:b/>
          <w:lang w:val="fr-FR"/>
        </w:rPr>
      </w:pPr>
      <w:r w:rsidRPr="00861153">
        <w:rPr>
          <w:b/>
          <w:lang w:val="fr-FR"/>
        </w:rPr>
        <w:t>La présente annexe énonce des prescriptions spécifiques s’appliquant à l’homologation d’un DAM installé sur un moteur aux fins de satisfaire aux valeurs limites d’é</w:t>
      </w:r>
      <w:r>
        <w:rPr>
          <w:b/>
          <w:lang w:val="fr-FR"/>
        </w:rPr>
        <w:t>missions fixées dans la série 05</w:t>
      </w:r>
      <w:r w:rsidRPr="00861153">
        <w:rPr>
          <w:b/>
          <w:lang w:val="fr-FR"/>
        </w:rPr>
        <w:t xml:space="preserve"> d’amendements au Règlement n</w:t>
      </w:r>
      <w:r w:rsidRPr="00861153">
        <w:rPr>
          <w:b/>
          <w:vertAlign w:val="superscript"/>
          <w:lang w:val="fr-FR"/>
        </w:rPr>
        <w:t>o</w:t>
      </w:r>
      <w:r>
        <w:rPr>
          <w:b/>
          <w:lang w:val="fr-FR"/>
        </w:rPr>
        <w:t> </w:t>
      </w:r>
      <w:r w:rsidRPr="00861153">
        <w:rPr>
          <w:b/>
          <w:lang w:val="fr-FR"/>
        </w:rPr>
        <w:t>9</w:t>
      </w:r>
      <w:r>
        <w:rPr>
          <w:b/>
          <w:lang w:val="fr-FR"/>
        </w:rPr>
        <w:t>6</w:t>
      </w:r>
      <w:r w:rsidRPr="00861153">
        <w:rPr>
          <w:b/>
          <w:lang w:val="fr-FR"/>
        </w:rPr>
        <w:t>.</w:t>
      </w:r>
    </w:p>
    <w:p w:rsidR="000C5264" w:rsidRPr="00802A86" w:rsidRDefault="000C5264" w:rsidP="00802A86">
      <w:pPr>
        <w:pStyle w:val="SingleTxtG"/>
        <w:ind w:left="2268" w:hanging="1134"/>
        <w:rPr>
          <w:lang w:val="fr-FR"/>
        </w:rPr>
      </w:pPr>
      <w:r w:rsidRPr="00861153">
        <w:rPr>
          <w:b/>
          <w:lang w:val="fr-FR"/>
        </w:rPr>
        <w:t>2.</w:t>
      </w:r>
      <w:r w:rsidRPr="00861153">
        <w:rPr>
          <w:b/>
          <w:lang w:val="fr-FR"/>
        </w:rPr>
        <w:tab/>
        <w:t>Prescriptions spécifiques</w:t>
      </w:r>
    </w:p>
    <w:p w:rsidR="000C5264" w:rsidRPr="00802A86" w:rsidRDefault="000C5264" w:rsidP="00802A86">
      <w:pPr>
        <w:pStyle w:val="SingleTxtG"/>
        <w:ind w:left="2268" w:hanging="1134"/>
        <w:rPr>
          <w:b/>
          <w:lang w:val="fr-FR"/>
        </w:rPr>
      </w:pPr>
      <w:r w:rsidRPr="00802A86">
        <w:rPr>
          <w:b/>
          <w:lang w:val="fr-FR"/>
        </w:rPr>
        <w:t>2.1</w:t>
      </w:r>
      <w:r w:rsidRPr="00802A86">
        <w:rPr>
          <w:b/>
          <w:lang w:val="fr-FR"/>
        </w:rPr>
        <w:tab/>
        <w:t>Le système moteur rééquipé doit satisfaire aux prescriptions spécifiques ci-après</w:t>
      </w:r>
      <w:r w:rsidR="00802A86">
        <w:rPr>
          <w:b/>
          <w:lang w:val="fr-FR"/>
        </w:rPr>
        <w:t> </w:t>
      </w:r>
      <w:r w:rsidRPr="00802A86">
        <w:rPr>
          <w:b/>
          <w:lang w:val="fr-FR"/>
        </w:rPr>
        <w:t>:</w:t>
      </w:r>
    </w:p>
    <w:p w:rsidR="000C5264" w:rsidRPr="00802A86" w:rsidRDefault="000C5264" w:rsidP="00802A86">
      <w:pPr>
        <w:pStyle w:val="SingleTxtG"/>
        <w:ind w:left="2268" w:hanging="1134"/>
        <w:rPr>
          <w:b/>
          <w:lang w:val="fr-FR"/>
        </w:rPr>
      </w:pPr>
      <w:r w:rsidRPr="00802A86">
        <w:rPr>
          <w:b/>
          <w:lang w:val="fr-FR"/>
        </w:rPr>
        <w:t>2.1.1</w:t>
      </w:r>
      <w:r w:rsidRPr="00802A86">
        <w:rPr>
          <w:b/>
          <w:lang w:val="fr-FR"/>
        </w:rPr>
        <w:tab/>
        <w:t xml:space="preserve">Les valeurs limites d’émissions de NOx et de particules fixées dans les tableaux 7 et 8 de l’appendice 1 au paragraphe 5 de la série 05 d’amendements au Règlement </w:t>
      </w:r>
      <w:r w:rsidR="00802A86" w:rsidRPr="00802A86">
        <w:rPr>
          <w:rFonts w:eastAsia="MS Mincho"/>
          <w:b/>
          <w:lang w:val="fr-FR"/>
        </w:rPr>
        <w:t>n</w:t>
      </w:r>
      <w:r w:rsidR="00802A86" w:rsidRPr="00802A86">
        <w:rPr>
          <w:rFonts w:eastAsia="MS Mincho"/>
          <w:b/>
          <w:vertAlign w:val="superscript"/>
          <w:lang w:val="fr-FR"/>
        </w:rPr>
        <w:t>o</w:t>
      </w:r>
      <w:r w:rsidR="00802A86">
        <w:rPr>
          <w:b/>
          <w:lang w:val="fr-FR"/>
        </w:rPr>
        <w:t> </w:t>
      </w:r>
      <w:r w:rsidRPr="00802A86">
        <w:rPr>
          <w:b/>
          <w:lang w:val="fr-FR"/>
        </w:rPr>
        <w:t>96</w:t>
      </w:r>
      <w:r w:rsidR="00EB13E4">
        <w:rPr>
          <w:b/>
          <w:lang w:val="fr-FR"/>
        </w:rPr>
        <w:t> ;</w:t>
      </w:r>
    </w:p>
    <w:p w:rsidR="000C5264" w:rsidRPr="00802A86" w:rsidRDefault="000C5264" w:rsidP="00802A86">
      <w:pPr>
        <w:pStyle w:val="SingleTxtG"/>
        <w:ind w:left="2268" w:hanging="1134"/>
        <w:rPr>
          <w:b/>
          <w:lang w:val="fr-FR"/>
        </w:rPr>
      </w:pPr>
      <w:r w:rsidRPr="00802A86">
        <w:rPr>
          <w:b/>
          <w:lang w:val="fr-FR"/>
        </w:rPr>
        <w:t>2.1.2</w:t>
      </w:r>
      <w:r w:rsidRPr="00802A86">
        <w:rPr>
          <w:b/>
          <w:lang w:val="fr-FR"/>
        </w:rPr>
        <w:tab/>
        <w:t xml:space="preserve">Les prescriptions concernant la vérification de la durée de vie des systèmes moteurs, telles qu’elles sont énoncées à l’annexe 8 de la série 05 d’amendements au Règlement </w:t>
      </w:r>
      <w:r w:rsidR="00802A86" w:rsidRPr="00802A86">
        <w:rPr>
          <w:rFonts w:eastAsia="MS Mincho"/>
          <w:b/>
          <w:lang w:val="fr-FR"/>
        </w:rPr>
        <w:t>n</w:t>
      </w:r>
      <w:r w:rsidR="00802A86" w:rsidRPr="00802A86">
        <w:rPr>
          <w:rFonts w:eastAsia="MS Mincho"/>
          <w:b/>
          <w:vertAlign w:val="superscript"/>
          <w:lang w:val="fr-FR"/>
        </w:rPr>
        <w:t>o</w:t>
      </w:r>
      <w:r w:rsidR="00802A86">
        <w:rPr>
          <w:b/>
          <w:lang w:val="fr-FR"/>
        </w:rPr>
        <w:t> </w:t>
      </w:r>
      <w:r w:rsidRPr="00802A86">
        <w:rPr>
          <w:b/>
          <w:lang w:val="fr-FR"/>
        </w:rPr>
        <w:t>96 ;</w:t>
      </w:r>
    </w:p>
    <w:p w:rsidR="000C5264" w:rsidRPr="00802A86" w:rsidRDefault="000C5264" w:rsidP="00802A86">
      <w:pPr>
        <w:pStyle w:val="SingleTxtG"/>
        <w:ind w:left="2268" w:hanging="1134"/>
        <w:rPr>
          <w:b/>
          <w:lang w:val="fr-FR"/>
        </w:rPr>
      </w:pPr>
      <w:r w:rsidRPr="00802A86">
        <w:rPr>
          <w:b/>
          <w:lang w:val="fr-FR"/>
        </w:rPr>
        <w:t>2.1.3</w:t>
      </w:r>
      <w:r w:rsidRPr="00802A86">
        <w:rPr>
          <w:b/>
          <w:lang w:val="fr-FR"/>
        </w:rPr>
        <w:tab/>
        <w:t>Les prescriptions spécifiques relatives à la limitation des émissions hors cycle, telles qu’elles sont énoncées au paragraphe</w:t>
      </w:r>
      <w:r w:rsidR="00802A86">
        <w:rPr>
          <w:b/>
          <w:lang w:val="fr-FR"/>
        </w:rPr>
        <w:t> </w:t>
      </w:r>
      <w:r w:rsidRPr="00802A86">
        <w:rPr>
          <w:b/>
          <w:lang w:val="fr-FR"/>
        </w:rPr>
        <w:t>5.6 de la s</w:t>
      </w:r>
      <w:r w:rsidR="00802A86">
        <w:rPr>
          <w:b/>
          <w:lang w:val="fr-FR"/>
        </w:rPr>
        <w:t>érie </w:t>
      </w:r>
      <w:r w:rsidRPr="00802A86">
        <w:rPr>
          <w:b/>
          <w:lang w:val="fr-FR"/>
        </w:rPr>
        <w:t xml:space="preserve">05 d’amendements au Règlement </w:t>
      </w:r>
      <w:r w:rsidR="00802A86" w:rsidRPr="00802A86">
        <w:rPr>
          <w:rFonts w:eastAsia="MS Mincho"/>
          <w:b/>
          <w:lang w:val="fr-FR"/>
        </w:rPr>
        <w:t>n</w:t>
      </w:r>
      <w:r w:rsidR="00802A86" w:rsidRPr="00802A86">
        <w:rPr>
          <w:rFonts w:eastAsia="MS Mincho"/>
          <w:b/>
          <w:vertAlign w:val="superscript"/>
          <w:lang w:val="fr-FR"/>
        </w:rPr>
        <w:t>o</w:t>
      </w:r>
      <w:r w:rsidR="00802A86">
        <w:rPr>
          <w:b/>
          <w:lang w:val="fr-FR"/>
        </w:rPr>
        <w:t> </w:t>
      </w:r>
      <w:r w:rsidRPr="00802A86">
        <w:rPr>
          <w:b/>
          <w:lang w:val="fr-FR"/>
        </w:rPr>
        <w:t>96 ;</w:t>
      </w:r>
    </w:p>
    <w:p w:rsidR="000C5264" w:rsidRPr="00802A86" w:rsidRDefault="000C5264" w:rsidP="00802A86">
      <w:pPr>
        <w:pStyle w:val="SingleTxtG"/>
        <w:ind w:left="2268" w:hanging="1134"/>
        <w:rPr>
          <w:b/>
          <w:lang w:val="fr-FR"/>
        </w:rPr>
      </w:pPr>
      <w:r w:rsidRPr="00802A86">
        <w:rPr>
          <w:b/>
          <w:lang w:val="fr-FR"/>
        </w:rPr>
        <w:t>2.1.4</w:t>
      </w:r>
      <w:r w:rsidRPr="00802A86">
        <w:rPr>
          <w:b/>
          <w:lang w:val="fr-FR"/>
        </w:rPr>
        <w:tab/>
        <w:t>Les prescriptions concernant la vérification des émissions de gaz de carter, telles qu’elles sont énoncées au paragraphe</w:t>
      </w:r>
      <w:r w:rsidR="00802A86">
        <w:rPr>
          <w:b/>
          <w:lang w:val="fr-FR"/>
        </w:rPr>
        <w:t> </w:t>
      </w:r>
      <w:r w:rsidRPr="00802A86">
        <w:rPr>
          <w:b/>
          <w:lang w:val="fr-FR"/>
        </w:rPr>
        <w:t>5.7 de la série</w:t>
      </w:r>
      <w:r w:rsidR="00802A86">
        <w:rPr>
          <w:b/>
          <w:lang w:val="fr-FR"/>
        </w:rPr>
        <w:t> </w:t>
      </w:r>
      <w:r w:rsidRPr="00802A86">
        <w:rPr>
          <w:b/>
          <w:lang w:val="fr-FR"/>
        </w:rPr>
        <w:t xml:space="preserve">05 d’amendements au Règlement </w:t>
      </w:r>
      <w:r w:rsidR="00802A86" w:rsidRPr="00802A86">
        <w:rPr>
          <w:rFonts w:eastAsia="MS Mincho"/>
          <w:b/>
          <w:lang w:val="fr-FR"/>
        </w:rPr>
        <w:t>n</w:t>
      </w:r>
      <w:r w:rsidR="00802A86" w:rsidRPr="00802A86">
        <w:rPr>
          <w:rFonts w:eastAsia="MS Mincho"/>
          <w:b/>
          <w:vertAlign w:val="superscript"/>
          <w:lang w:val="fr-FR"/>
        </w:rPr>
        <w:t>o</w:t>
      </w:r>
      <w:r w:rsidR="00802A86">
        <w:rPr>
          <w:b/>
          <w:lang w:val="fr-FR"/>
        </w:rPr>
        <w:t> </w:t>
      </w:r>
      <w:r w:rsidRPr="00802A86">
        <w:rPr>
          <w:b/>
          <w:lang w:val="fr-FR"/>
        </w:rPr>
        <w:t>96 ;</w:t>
      </w:r>
    </w:p>
    <w:p w:rsidR="000C5264" w:rsidRPr="00802A86" w:rsidRDefault="000C5264" w:rsidP="00BA1469">
      <w:pPr>
        <w:pStyle w:val="SingleTxtG"/>
        <w:keepLines/>
        <w:ind w:left="2268" w:hanging="1134"/>
        <w:rPr>
          <w:b/>
          <w:lang w:val="fr-FR"/>
        </w:rPr>
      </w:pPr>
      <w:r w:rsidRPr="00802A86">
        <w:rPr>
          <w:b/>
          <w:lang w:val="fr-FR"/>
        </w:rPr>
        <w:t>2.1.5</w:t>
      </w:r>
      <w:r w:rsidRPr="00802A86">
        <w:rPr>
          <w:b/>
          <w:lang w:val="fr-FR"/>
        </w:rPr>
        <w:tab/>
        <w:t xml:space="preserve">Les prescriptions visant à garantir le fonctionnement correct des mesures de limitation des émissions, des NOx et des particules, telles qu’elles sont énoncées à l’annexe 9 de la série 05 d’amendements au Règlement </w:t>
      </w:r>
      <w:r w:rsidR="00802A86" w:rsidRPr="00802A86">
        <w:rPr>
          <w:rFonts w:eastAsia="MS Mincho"/>
          <w:b/>
          <w:lang w:val="fr-FR"/>
        </w:rPr>
        <w:t>n</w:t>
      </w:r>
      <w:r w:rsidR="00802A86" w:rsidRPr="00802A86">
        <w:rPr>
          <w:rFonts w:eastAsia="MS Mincho"/>
          <w:b/>
          <w:vertAlign w:val="superscript"/>
          <w:lang w:val="fr-FR"/>
        </w:rPr>
        <w:t>o</w:t>
      </w:r>
      <w:r w:rsidR="00802A86">
        <w:rPr>
          <w:b/>
          <w:lang w:val="fr-FR"/>
        </w:rPr>
        <w:t> </w:t>
      </w:r>
      <w:r w:rsidRPr="00802A86">
        <w:rPr>
          <w:b/>
          <w:lang w:val="fr-FR"/>
        </w:rPr>
        <w:t>96 ;</w:t>
      </w:r>
    </w:p>
    <w:p w:rsidR="00F9573C" w:rsidRDefault="000C5264" w:rsidP="00802A86">
      <w:pPr>
        <w:pStyle w:val="SingleTxtG"/>
        <w:ind w:left="2268" w:hanging="1134"/>
        <w:rPr>
          <w:lang w:val="fr-FR"/>
        </w:rPr>
      </w:pPr>
      <w:r w:rsidRPr="00802A86">
        <w:rPr>
          <w:b/>
          <w:lang w:val="fr-FR"/>
        </w:rPr>
        <w:t>2.1.6</w:t>
      </w:r>
      <w:r w:rsidRPr="00802A86">
        <w:rPr>
          <w:b/>
          <w:lang w:val="fr-FR"/>
        </w:rPr>
        <w:tab/>
        <w:t>Nonobstant les dispositions du paragraphe 8.6.2 du présent Règlement, pour les DAM de la classe III et de la classe IV, les émissions d’ammoniac ne doivent pas dépasser une valeur moyenne de 10 ppm lorsqu’elles sont mesurées conformément aux prescriptions du paragraphe</w:t>
      </w:r>
      <w:r w:rsidR="00802A86">
        <w:rPr>
          <w:b/>
          <w:lang w:val="fr-FR"/>
        </w:rPr>
        <w:t> </w:t>
      </w:r>
      <w:r w:rsidRPr="00802A86">
        <w:rPr>
          <w:b/>
          <w:lang w:val="fr-FR"/>
        </w:rPr>
        <w:t xml:space="preserve">3.4 de l’annexe 9 de la série 05 d’amendements au Règlement </w:t>
      </w:r>
      <w:r w:rsidR="00802A86" w:rsidRPr="00802A86">
        <w:rPr>
          <w:rFonts w:eastAsia="MS Mincho"/>
          <w:b/>
          <w:lang w:val="fr-FR"/>
        </w:rPr>
        <w:t>n</w:t>
      </w:r>
      <w:r w:rsidR="00802A86" w:rsidRPr="00802A86">
        <w:rPr>
          <w:rFonts w:eastAsia="MS Mincho"/>
          <w:b/>
          <w:vertAlign w:val="superscript"/>
          <w:lang w:val="fr-FR"/>
        </w:rPr>
        <w:t>o</w:t>
      </w:r>
      <w:r w:rsidR="00802A86">
        <w:rPr>
          <w:b/>
          <w:lang w:val="fr-FR"/>
        </w:rPr>
        <w:t> </w:t>
      </w:r>
      <w:r w:rsidRPr="00802A86">
        <w:rPr>
          <w:b/>
          <w:lang w:val="fr-FR"/>
        </w:rPr>
        <w:t>96.</w:t>
      </w:r>
      <w:r w:rsidRPr="00802A86">
        <w:rPr>
          <w:lang w:val="fr-FR"/>
        </w:rPr>
        <w:t> ».</w:t>
      </w:r>
    </w:p>
    <w:p w:rsidR="00B12C49" w:rsidRPr="00B12C49" w:rsidRDefault="00B12C49" w:rsidP="00B12C4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12C49" w:rsidRPr="00B12C49" w:rsidSect="00E401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A7E" w:rsidRDefault="004E6A7E" w:rsidP="00F95C08">
      <w:pPr>
        <w:spacing w:line="240" w:lineRule="auto"/>
      </w:pPr>
    </w:p>
  </w:endnote>
  <w:endnote w:type="continuationSeparator" w:id="0">
    <w:p w:rsidR="004E6A7E" w:rsidRPr="00AC3823" w:rsidRDefault="004E6A7E" w:rsidP="00AC3823">
      <w:pPr>
        <w:pStyle w:val="Footer"/>
      </w:pPr>
    </w:p>
  </w:endnote>
  <w:endnote w:type="continuationNotice" w:id="1">
    <w:p w:rsidR="004E6A7E" w:rsidRDefault="004E6A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7E" w:rsidRPr="00E4015C" w:rsidRDefault="004E6A7E" w:rsidP="00E4015C">
    <w:pPr>
      <w:pStyle w:val="Footer"/>
      <w:tabs>
        <w:tab w:val="right" w:pos="9638"/>
      </w:tabs>
    </w:pPr>
    <w:r w:rsidRPr="00E4015C">
      <w:rPr>
        <w:b/>
        <w:sz w:val="18"/>
      </w:rPr>
      <w:fldChar w:fldCharType="begin"/>
    </w:r>
    <w:r w:rsidRPr="00E4015C">
      <w:rPr>
        <w:b/>
        <w:sz w:val="18"/>
      </w:rPr>
      <w:instrText xml:space="preserve"> PAGE  \* MERGEFORMAT </w:instrText>
    </w:r>
    <w:r w:rsidRPr="00E4015C">
      <w:rPr>
        <w:b/>
        <w:sz w:val="18"/>
      </w:rPr>
      <w:fldChar w:fldCharType="separate"/>
    </w:r>
    <w:r w:rsidR="00354F4C">
      <w:rPr>
        <w:b/>
        <w:noProof/>
        <w:sz w:val="18"/>
      </w:rPr>
      <w:t>2</w:t>
    </w:r>
    <w:r w:rsidRPr="00E4015C">
      <w:rPr>
        <w:b/>
        <w:sz w:val="18"/>
      </w:rPr>
      <w:fldChar w:fldCharType="end"/>
    </w:r>
    <w:r>
      <w:rPr>
        <w:b/>
        <w:sz w:val="18"/>
      </w:rPr>
      <w:tab/>
    </w:r>
    <w:r>
      <w:t>GE.18-04553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7E" w:rsidRPr="00E4015C" w:rsidRDefault="004E6A7E" w:rsidP="00E4015C">
    <w:pPr>
      <w:pStyle w:val="Footer"/>
      <w:tabs>
        <w:tab w:val="right" w:pos="9638"/>
      </w:tabs>
      <w:rPr>
        <w:b/>
        <w:sz w:val="18"/>
      </w:rPr>
    </w:pPr>
    <w:r>
      <w:t>GE.18-04553</w:t>
    </w:r>
    <w:r>
      <w:tab/>
    </w:r>
    <w:r w:rsidRPr="00E4015C">
      <w:rPr>
        <w:b/>
        <w:sz w:val="18"/>
      </w:rPr>
      <w:fldChar w:fldCharType="begin"/>
    </w:r>
    <w:r w:rsidRPr="00E4015C">
      <w:rPr>
        <w:b/>
        <w:sz w:val="18"/>
      </w:rPr>
      <w:instrText xml:space="preserve"> PAGE  \* MERGEFORMAT </w:instrText>
    </w:r>
    <w:r w:rsidRPr="00E4015C">
      <w:rPr>
        <w:b/>
        <w:sz w:val="18"/>
      </w:rPr>
      <w:fldChar w:fldCharType="separate"/>
    </w:r>
    <w:r w:rsidR="00354F4C">
      <w:rPr>
        <w:b/>
        <w:noProof/>
        <w:sz w:val="18"/>
      </w:rPr>
      <w:t>7</w:t>
    </w:r>
    <w:r w:rsidRPr="00E401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7E" w:rsidRPr="00E4015C" w:rsidRDefault="004E6A7E" w:rsidP="00E4015C">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18-04553  (F)    290318    </w:t>
    </w:r>
    <w:r w:rsidR="00D6667B">
      <w:rPr>
        <w:sz w:val="20"/>
      </w:rPr>
      <w:t>17</w:t>
    </w:r>
    <w:r>
      <w:rPr>
        <w:sz w:val="20"/>
      </w:rPr>
      <w:t>0418</w:t>
    </w:r>
    <w:r>
      <w:rPr>
        <w:sz w:val="20"/>
      </w:rPr>
      <w:br/>
    </w:r>
    <w:r w:rsidRPr="00E4015C">
      <w:rPr>
        <w:rFonts w:ascii="C39T30Lfz" w:hAnsi="C39T30Lfz"/>
        <w:sz w:val="56"/>
      </w:rPr>
      <w:t></w:t>
    </w:r>
    <w:r w:rsidRPr="00E4015C">
      <w:rPr>
        <w:rFonts w:ascii="C39T30Lfz" w:hAnsi="C39T30Lfz"/>
        <w:sz w:val="56"/>
      </w:rPr>
      <w:t></w:t>
    </w:r>
    <w:r w:rsidRPr="00E4015C">
      <w:rPr>
        <w:rFonts w:ascii="C39T30Lfz" w:hAnsi="C39T30Lfz"/>
        <w:sz w:val="56"/>
      </w:rPr>
      <w:t></w:t>
    </w:r>
    <w:r w:rsidRPr="00E4015C">
      <w:rPr>
        <w:rFonts w:ascii="C39T30Lfz" w:hAnsi="C39T30Lfz"/>
        <w:sz w:val="56"/>
      </w:rPr>
      <w:t></w:t>
    </w:r>
    <w:r w:rsidRPr="00E4015C">
      <w:rPr>
        <w:rFonts w:ascii="C39T30Lfz" w:hAnsi="C39T30Lfz"/>
        <w:sz w:val="56"/>
      </w:rPr>
      <w:t></w:t>
    </w:r>
    <w:r w:rsidRPr="00E4015C">
      <w:rPr>
        <w:rFonts w:ascii="C39T30Lfz" w:hAnsi="C39T30Lfz"/>
        <w:sz w:val="56"/>
      </w:rPr>
      <w:t></w:t>
    </w:r>
    <w:r w:rsidRPr="00E4015C">
      <w:rPr>
        <w:rFonts w:ascii="C39T30Lfz" w:hAnsi="C39T30Lfz"/>
        <w:sz w:val="56"/>
      </w:rPr>
      <w:t></w:t>
    </w:r>
    <w:r w:rsidRPr="00E4015C">
      <w:rPr>
        <w:rFonts w:ascii="C39T30Lfz" w:hAnsi="C39T30Lfz"/>
        <w:sz w:val="56"/>
      </w:rPr>
      <w:t></w:t>
    </w:r>
    <w:r w:rsidRPr="00E4015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A7E" w:rsidRPr="00AC3823" w:rsidRDefault="004E6A7E" w:rsidP="00AC3823">
      <w:pPr>
        <w:pStyle w:val="Footer"/>
        <w:tabs>
          <w:tab w:val="right" w:pos="2155"/>
        </w:tabs>
        <w:spacing w:after="80" w:line="240" w:lineRule="atLeast"/>
        <w:ind w:left="680"/>
        <w:rPr>
          <w:u w:val="single"/>
        </w:rPr>
      </w:pPr>
      <w:r>
        <w:rPr>
          <w:u w:val="single"/>
        </w:rPr>
        <w:tab/>
      </w:r>
    </w:p>
  </w:footnote>
  <w:footnote w:type="continuationSeparator" w:id="0">
    <w:p w:rsidR="004E6A7E" w:rsidRPr="00AC3823" w:rsidRDefault="004E6A7E" w:rsidP="00AC3823">
      <w:pPr>
        <w:pStyle w:val="Footer"/>
        <w:tabs>
          <w:tab w:val="right" w:pos="2155"/>
        </w:tabs>
        <w:spacing w:after="80" w:line="240" w:lineRule="atLeast"/>
        <w:ind w:left="680"/>
        <w:rPr>
          <w:u w:val="single"/>
        </w:rPr>
      </w:pPr>
      <w:r>
        <w:rPr>
          <w:u w:val="single"/>
        </w:rPr>
        <w:tab/>
      </w:r>
    </w:p>
  </w:footnote>
  <w:footnote w:type="continuationNotice" w:id="1">
    <w:p w:rsidR="004E6A7E" w:rsidRPr="00AC3823" w:rsidRDefault="004E6A7E">
      <w:pPr>
        <w:spacing w:line="240" w:lineRule="auto"/>
        <w:rPr>
          <w:sz w:val="2"/>
          <w:szCs w:val="2"/>
        </w:rPr>
      </w:pPr>
    </w:p>
  </w:footnote>
  <w:footnote w:id="2">
    <w:p w:rsidR="004E6A7E" w:rsidRPr="00CE1536" w:rsidRDefault="004E6A7E" w:rsidP="000C5264">
      <w:pPr>
        <w:pStyle w:val="FootnoteText"/>
      </w:pPr>
      <w:r>
        <w:rPr>
          <w:rStyle w:val="FootnoteReference"/>
        </w:rPr>
        <w:tab/>
      </w:r>
      <w:r w:rsidRPr="00CE1536">
        <w:rPr>
          <w:rStyle w:val="FootnoteReference"/>
          <w:sz w:val="20"/>
          <w:vertAlign w:val="baseline"/>
        </w:rPr>
        <w:t>*</w:t>
      </w:r>
      <w:r>
        <w:rPr>
          <w:rStyle w:val="FootnoteReference"/>
          <w:sz w:val="20"/>
          <w:vertAlign w:val="baseline"/>
        </w:rPr>
        <w:tab/>
      </w:r>
      <w:r>
        <w:rPr>
          <w:lang w:val="fr-FR"/>
        </w:rPr>
        <w:t xml:space="preserve">Conformément au </w:t>
      </w:r>
      <w:r w:rsidRPr="00CE1536">
        <w:rPr>
          <w:spacing w:val="-2"/>
          <w:lang w:val="fr-FR"/>
        </w:rPr>
        <w:t>programme de travail du Comité des transports intérieurs</w:t>
      </w:r>
      <w:r>
        <w:rPr>
          <w:lang w:val="fr-FR"/>
        </w:rPr>
        <w:t xml:space="preserve"> pour la période 2018-2019 (ECE/TRANS/274, par. 123, et ECE/TRANS/2018/21 et Add.1, module 3),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7E" w:rsidRPr="00E4015C" w:rsidRDefault="00354F4C">
    <w:pPr>
      <w:pStyle w:val="Header"/>
    </w:pPr>
    <w:r>
      <w:fldChar w:fldCharType="begin"/>
    </w:r>
    <w:r>
      <w:instrText xml:space="preserve"> TITLE  \* MERGEFORMAT </w:instrText>
    </w:r>
    <w:r>
      <w:fldChar w:fldCharType="separate"/>
    </w:r>
    <w:r w:rsidR="00D83663">
      <w:t>ECE/TRANS/WP.29/GRPE/2018/12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A7E" w:rsidRPr="00E4015C" w:rsidRDefault="00354F4C" w:rsidP="00E4015C">
    <w:pPr>
      <w:pStyle w:val="Header"/>
      <w:jc w:val="right"/>
    </w:pPr>
    <w:r>
      <w:fldChar w:fldCharType="begin"/>
    </w:r>
    <w:r>
      <w:instrText xml:space="preserve"> TITLE  \* MERGEFORMAT </w:instrText>
    </w:r>
    <w:r>
      <w:fldChar w:fldCharType="separate"/>
    </w:r>
    <w:r w:rsidR="00D83663">
      <w:t>ECE/TRANS/WP.29/GRPE/2018/12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2711FB"/>
    <w:multiLevelType w:val="hybridMultilevel"/>
    <w:tmpl w:val="D84C6D64"/>
    <w:lvl w:ilvl="0" w:tplc="A468983C">
      <w:start w:val="1"/>
      <w:numFmt w:val="decimal"/>
      <w:lvlText w:val="%1."/>
      <w:lvlJc w:val="left"/>
      <w:pPr>
        <w:ind w:left="1494" w:hanging="360"/>
      </w:pPr>
      <w:rPr>
        <w:sz w:val="2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A468983C">
        <w:start w:val="1"/>
        <w:numFmt w:val="decimal"/>
        <w:lvlText w:val="%1."/>
        <w:lvlJc w:val="left"/>
        <w:pPr>
          <w:ind w:left="1494" w:hanging="360"/>
        </w:pPr>
        <w:rPr>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34"/>
    <w:rsid w:val="00017F94"/>
    <w:rsid w:val="00023842"/>
    <w:rsid w:val="000334F9"/>
    <w:rsid w:val="00045FEB"/>
    <w:rsid w:val="0006739A"/>
    <w:rsid w:val="0007796D"/>
    <w:rsid w:val="000B7790"/>
    <w:rsid w:val="000C5264"/>
    <w:rsid w:val="00103AB7"/>
    <w:rsid w:val="00111F2F"/>
    <w:rsid w:val="001434BE"/>
    <w:rsid w:val="0014365E"/>
    <w:rsid w:val="00143C66"/>
    <w:rsid w:val="00163730"/>
    <w:rsid w:val="00176178"/>
    <w:rsid w:val="00176621"/>
    <w:rsid w:val="001F525A"/>
    <w:rsid w:val="00223272"/>
    <w:rsid w:val="002451C4"/>
    <w:rsid w:val="0024779E"/>
    <w:rsid w:val="00257168"/>
    <w:rsid w:val="002744B8"/>
    <w:rsid w:val="002832AC"/>
    <w:rsid w:val="002D7C93"/>
    <w:rsid w:val="002F2894"/>
    <w:rsid w:val="00305801"/>
    <w:rsid w:val="00354F4C"/>
    <w:rsid w:val="00367C5D"/>
    <w:rsid w:val="003916DE"/>
    <w:rsid w:val="00441C3B"/>
    <w:rsid w:val="00443847"/>
    <w:rsid w:val="00446FE5"/>
    <w:rsid w:val="00452396"/>
    <w:rsid w:val="00474AFD"/>
    <w:rsid w:val="0048308F"/>
    <w:rsid w:val="004837D8"/>
    <w:rsid w:val="004D0416"/>
    <w:rsid w:val="004E468C"/>
    <w:rsid w:val="004E6A7E"/>
    <w:rsid w:val="005505B7"/>
    <w:rsid w:val="00573BE5"/>
    <w:rsid w:val="00586ED3"/>
    <w:rsid w:val="00596293"/>
    <w:rsid w:val="00596AA9"/>
    <w:rsid w:val="005C2DF9"/>
    <w:rsid w:val="005C3D98"/>
    <w:rsid w:val="00633BBC"/>
    <w:rsid w:val="006464CE"/>
    <w:rsid w:val="006B44BE"/>
    <w:rsid w:val="0071601D"/>
    <w:rsid w:val="00737934"/>
    <w:rsid w:val="007A4CC9"/>
    <w:rsid w:val="007A62E6"/>
    <w:rsid w:val="007B45A9"/>
    <w:rsid w:val="007C7798"/>
    <w:rsid w:val="007E5AB6"/>
    <w:rsid w:val="007F20FA"/>
    <w:rsid w:val="00802A86"/>
    <w:rsid w:val="0080684C"/>
    <w:rsid w:val="008513AD"/>
    <w:rsid w:val="00871C75"/>
    <w:rsid w:val="008776DC"/>
    <w:rsid w:val="008C3D70"/>
    <w:rsid w:val="009446C0"/>
    <w:rsid w:val="009705C8"/>
    <w:rsid w:val="009C1CF4"/>
    <w:rsid w:val="009F6B74"/>
    <w:rsid w:val="00A10208"/>
    <w:rsid w:val="00A207CE"/>
    <w:rsid w:val="00A30353"/>
    <w:rsid w:val="00A61052"/>
    <w:rsid w:val="00A911B2"/>
    <w:rsid w:val="00AC3823"/>
    <w:rsid w:val="00AC7D4B"/>
    <w:rsid w:val="00AD32E8"/>
    <w:rsid w:val="00AE323C"/>
    <w:rsid w:val="00AF0CB5"/>
    <w:rsid w:val="00B00181"/>
    <w:rsid w:val="00B00B0D"/>
    <w:rsid w:val="00B12C49"/>
    <w:rsid w:val="00B36804"/>
    <w:rsid w:val="00B47DB8"/>
    <w:rsid w:val="00B765F7"/>
    <w:rsid w:val="00BA0CA9"/>
    <w:rsid w:val="00BA1469"/>
    <w:rsid w:val="00BB7BC3"/>
    <w:rsid w:val="00C02897"/>
    <w:rsid w:val="00C13192"/>
    <w:rsid w:val="00C824B0"/>
    <w:rsid w:val="00C92C7D"/>
    <w:rsid w:val="00C97039"/>
    <w:rsid w:val="00CC7478"/>
    <w:rsid w:val="00CE11D1"/>
    <w:rsid w:val="00CF6A1A"/>
    <w:rsid w:val="00D12929"/>
    <w:rsid w:val="00D225EC"/>
    <w:rsid w:val="00D3439C"/>
    <w:rsid w:val="00D55ACE"/>
    <w:rsid w:val="00D6667B"/>
    <w:rsid w:val="00D83663"/>
    <w:rsid w:val="00DB1831"/>
    <w:rsid w:val="00DB286C"/>
    <w:rsid w:val="00DB7E9A"/>
    <w:rsid w:val="00DD3BFD"/>
    <w:rsid w:val="00DF6678"/>
    <w:rsid w:val="00E0299A"/>
    <w:rsid w:val="00E4015C"/>
    <w:rsid w:val="00E537AB"/>
    <w:rsid w:val="00E712EF"/>
    <w:rsid w:val="00E807BD"/>
    <w:rsid w:val="00E85C74"/>
    <w:rsid w:val="00EA6547"/>
    <w:rsid w:val="00EB13E4"/>
    <w:rsid w:val="00EF2E22"/>
    <w:rsid w:val="00EF5680"/>
    <w:rsid w:val="00F0559E"/>
    <w:rsid w:val="00F15C54"/>
    <w:rsid w:val="00F35BAF"/>
    <w:rsid w:val="00F660DF"/>
    <w:rsid w:val="00F94664"/>
    <w:rsid w:val="00F9573C"/>
    <w:rsid w:val="00F95C08"/>
    <w:rsid w:val="00FA404C"/>
    <w:rsid w:val="00FA7D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79FD90-7173-49C0-9E79-71538272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207C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2286</Words>
  <Characters>13035</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ECE/TRANS/WP.29/GRPE/2018/12</vt:lpstr>
      <vt:lpstr>ECE/TRANS/WP.29/GRPE/2018/12</vt:lpstr>
    </vt:vector>
  </TitlesOfParts>
  <Company>DCM</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ECE/TRANS/WP.29/GRPE/2018/12</dc:title>
  <dc:subject/>
  <dc:creator>Sylvie LAMY</dc:creator>
  <cp:keywords/>
  <cp:lastModifiedBy>Benedicte Boudol</cp:lastModifiedBy>
  <cp:revision>2</cp:revision>
  <cp:lastPrinted>2018-04-17T13:26:00Z</cp:lastPrinted>
  <dcterms:created xsi:type="dcterms:W3CDTF">2018-04-17T14:12:00Z</dcterms:created>
  <dcterms:modified xsi:type="dcterms:W3CDTF">2018-04-17T14:12:00Z</dcterms:modified>
</cp:coreProperties>
</file>