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92" w:rsidRDefault="00507892" w:rsidP="00E93275">
      <w:pPr>
        <w:spacing w:after="120" w:line="300" w:lineRule="exact"/>
        <w:ind w:leftChars="515" w:left="1133" w:right="1133"/>
        <w:jc w:val="both"/>
        <w:rPr>
          <w:rFonts w:ascii="Times New Roman" w:hAnsi="Times New Roman"/>
          <w:b/>
          <w:sz w:val="28"/>
          <w:szCs w:val="28"/>
        </w:rPr>
      </w:pPr>
    </w:p>
    <w:p w:rsidR="00507892" w:rsidRPr="00507892" w:rsidRDefault="00507892" w:rsidP="00E93275">
      <w:pPr>
        <w:spacing w:after="120" w:line="300" w:lineRule="exact"/>
        <w:ind w:leftChars="515" w:left="1133" w:right="1133"/>
        <w:jc w:val="both"/>
        <w:rPr>
          <w:rFonts w:ascii="Times New Roman" w:hAnsi="Times New Roman"/>
          <w:b/>
          <w:sz w:val="28"/>
          <w:szCs w:val="28"/>
          <w:lang w:val="en-GB"/>
        </w:rPr>
      </w:pPr>
      <w:proofErr w:type="gramStart"/>
      <w:r w:rsidRPr="00507892">
        <w:rPr>
          <w:rFonts w:ascii="Times New Roman" w:hAnsi="Times New Roman"/>
          <w:b/>
          <w:sz w:val="28"/>
          <w:szCs w:val="28"/>
          <w:lang w:val="en-GB"/>
        </w:rPr>
        <w:t xml:space="preserve">Proposal </w:t>
      </w:r>
      <w:r w:rsidR="00782E81">
        <w:rPr>
          <w:rFonts w:ascii="Times New Roman" w:hAnsi="Times New Roman"/>
          <w:b/>
          <w:sz w:val="28"/>
          <w:szCs w:val="28"/>
          <w:lang w:val="en-GB"/>
        </w:rPr>
        <w:t xml:space="preserve">to </w:t>
      </w:r>
      <w:r w:rsidR="002C618D">
        <w:rPr>
          <w:rFonts w:ascii="Times New Roman" w:hAnsi="Times New Roman"/>
          <w:b/>
          <w:sz w:val="28"/>
          <w:szCs w:val="28"/>
          <w:lang w:val="en-GB"/>
        </w:rPr>
        <w:t xml:space="preserve">improve and correct the </w:t>
      </w:r>
      <w:r w:rsidR="00CA611B">
        <w:rPr>
          <w:rFonts w:ascii="Times New Roman" w:hAnsi="Times New Roman"/>
          <w:b/>
          <w:sz w:val="28"/>
          <w:szCs w:val="28"/>
          <w:lang w:val="en-GB"/>
        </w:rPr>
        <w:t>text of</w:t>
      </w:r>
      <w:r w:rsidR="002C618D" w:rsidRPr="002C618D">
        <w:rPr>
          <w:rFonts w:ascii="Times New Roman" w:hAnsi="Times New Roman"/>
          <w:b/>
          <w:sz w:val="28"/>
          <w:szCs w:val="28"/>
          <w:lang w:val="en-GB"/>
        </w:rPr>
        <w:t xml:space="preserve"> the three new simplified </w:t>
      </w:r>
      <w:r w:rsidR="002C618D">
        <w:rPr>
          <w:rFonts w:ascii="Times New Roman" w:hAnsi="Times New Roman"/>
          <w:b/>
          <w:sz w:val="28"/>
          <w:szCs w:val="28"/>
          <w:lang w:val="en-GB"/>
        </w:rPr>
        <w:t xml:space="preserve">UN </w:t>
      </w:r>
      <w:r w:rsidR="002C618D" w:rsidRPr="002C618D">
        <w:rPr>
          <w:rFonts w:ascii="Times New Roman" w:hAnsi="Times New Roman"/>
          <w:b/>
          <w:sz w:val="28"/>
          <w:szCs w:val="28"/>
          <w:lang w:val="en-GB"/>
        </w:rPr>
        <w:t xml:space="preserve">Regulations </w:t>
      </w:r>
      <w:r w:rsidR="002C618D">
        <w:rPr>
          <w:rFonts w:ascii="Times New Roman" w:hAnsi="Times New Roman"/>
          <w:b/>
          <w:sz w:val="28"/>
          <w:szCs w:val="28"/>
          <w:lang w:val="en-GB"/>
        </w:rPr>
        <w:t>"</w:t>
      </w:r>
      <w:r w:rsidR="002C618D" w:rsidRPr="002C618D">
        <w:rPr>
          <w:rFonts w:ascii="Times New Roman" w:hAnsi="Times New Roman"/>
          <w:b/>
          <w:sz w:val="28"/>
          <w:szCs w:val="28"/>
          <w:lang w:val="en-GB"/>
        </w:rPr>
        <w:t>LSD</w:t>
      </w:r>
      <w:r w:rsidR="002C618D">
        <w:rPr>
          <w:rFonts w:ascii="Times New Roman" w:hAnsi="Times New Roman"/>
          <w:b/>
          <w:sz w:val="28"/>
          <w:szCs w:val="28"/>
          <w:lang w:val="en-GB"/>
        </w:rPr>
        <w:t>"</w:t>
      </w:r>
      <w:r w:rsidR="002C618D" w:rsidRPr="002C618D">
        <w:rPr>
          <w:rFonts w:ascii="Times New Roman" w:hAnsi="Times New Roman"/>
          <w:b/>
          <w:sz w:val="28"/>
          <w:szCs w:val="28"/>
          <w:lang w:val="en-GB"/>
        </w:rPr>
        <w:t xml:space="preserve">, </w:t>
      </w:r>
      <w:r w:rsidR="002C618D">
        <w:rPr>
          <w:rFonts w:ascii="Times New Roman" w:hAnsi="Times New Roman"/>
          <w:b/>
          <w:sz w:val="28"/>
          <w:szCs w:val="28"/>
          <w:lang w:val="en-GB"/>
        </w:rPr>
        <w:t>"</w:t>
      </w:r>
      <w:r w:rsidR="002C618D" w:rsidRPr="002C618D">
        <w:rPr>
          <w:rFonts w:ascii="Times New Roman" w:hAnsi="Times New Roman"/>
          <w:b/>
          <w:sz w:val="28"/>
          <w:szCs w:val="28"/>
          <w:lang w:val="en-GB"/>
        </w:rPr>
        <w:t>RID</w:t>
      </w:r>
      <w:r w:rsidR="002C618D">
        <w:rPr>
          <w:rFonts w:ascii="Times New Roman" w:hAnsi="Times New Roman"/>
          <w:b/>
          <w:sz w:val="28"/>
          <w:szCs w:val="28"/>
          <w:lang w:val="en-GB"/>
        </w:rPr>
        <w:t>" a</w:t>
      </w:r>
      <w:r w:rsidR="002C618D" w:rsidRPr="002C618D">
        <w:rPr>
          <w:rFonts w:ascii="Times New Roman" w:hAnsi="Times New Roman"/>
          <w:b/>
          <w:sz w:val="28"/>
          <w:szCs w:val="28"/>
          <w:lang w:val="en-GB"/>
        </w:rPr>
        <w:t xml:space="preserve">nd </w:t>
      </w:r>
      <w:r w:rsidR="002C618D">
        <w:rPr>
          <w:rFonts w:ascii="Times New Roman" w:hAnsi="Times New Roman"/>
          <w:b/>
          <w:sz w:val="28"/>
          <w:szCs w:val="28"/>
          <w:lang w:val="en-GB"/>
        </w:rPr>
        <w:t>"</w:t>
      </w:r>
      <w:r w:rsidR="002C618D" w:rsidRPr="002C618D">
        <w:rPr>
          <w:rFonts w:ascii="Times New Roman" w:hAnsi="Times New Roman"/>
          <w:b/>
          <w:sz w:val="28"/>
          <w:szCs w:val="28"/>
          <w:lang w:val="en-GB"/>
        </w:rPr>
        <w:t>RRD</w:t>
      </w:r>
      <w:r w:rsidR="002C618D">
        <w:rPr>
          <w:rFonts w:ascii="Times New Roman" w:hAnsi="Times New Roman"/>
          <w:b/>
          <w:sz w:val="28"/>
          <w:szCs w:val="28"/>
          <w:lang w:val="en-GB"/>
        </w:rPr>
        <w:t>".</w:t>
      </w:r>
      <w:proofErr w:type="gramEnd"/>
    </w:p>
    <w:p w:rsidR="00507892" w:rsidRPr="00507892" w:rsidRDefault="00507892" w:rsidP="00E93275">
      <w:pPr>
        <w:spacing w:after="120" w:line="300" w:lineRule="exact"/>
        <w:ind w:leftChars="515" w:left="1133" w:right="1133"/>
        <w:jc w:val="both"/>
        <w:rPr>
          <w:rFonts w:ascii="Times New Roman" w:hAnsi="Times New Roman"/>
          <w:lang w:val="en-GB"/>
        </w:rPr>
      </w:pPr>
    </w:p>
    <w:p w:rsidR="007B1DCD" w:rsidRDefault="002C618D" w:rsidP="00E93275">
      <w:pPr>
        <w:spacing w:after="120" w:line="300" w:lineRule="exact"/>
        <w:ind w:leftChars="515" w:left="1133" w:right="1133"/>
        <w:jc w:val="both"/>
        <w:rPr>
          <w:rFonts w:ascii="Times New Roman" w:hAnsi="Times New Roman"/>
          <w:lang w:val="en-GB"/>
        </w:rPr>
      </w:pPr>
      <w:r w:rsidRPr="002C618D">
        <w:rPr>
          <w:rFonts w:ascii="Times New Roman" w:hAnsi="Times New Roman"/>
          <w:lang w:val="en-GB"/>
        </w:rPr>
        <w:t xml:space="preserve">The text reproduced below was prepared by the expert from the IWG SLR with the aim to </w:t>
      </w:r>
      <w:r>
        <w:rPr>
          <w:rFonts w:ascii="Times New Roman" w:hAnsi="Times New Roman"/>
          <w:lang w:val="en-GB"/>
        </w:rPr>
        <w:t xml:space="preserve">improve and </w:t>
      </w:r>
      <w:r w:rsidRPr="002C618D">
        <w:rPr>
          <w:rFonts w:ascii="Times New Roman" w:hAnsi="Times New Roman"/>
          <w:lang w:val="en-GB"/>
        </w:rPr>
        <w:t xml:space="preserve">correct some minor errors or inconsistencies identified in the </w:t>
      </w:r>
      <w:r w:rsidR="00CA611B">
        <w:rPr>
          <w:rFonts w:ascii="Times New Roman" w:hAnsi="Times New Roman"/>
          <w:lang w:val="en-GB"/>
        </w:rPr>
        <w:t xml:space="preserve">text of the draft new UN Regulations </w:t>
      </w:r>
      <w:r w:rsidRPr="002C618D">
        <w:rPr>
          <w:rFonts w:ascii="Times New Roman" w:hAnsi="Times New Roman"/>
          <w:lang w:val="en-GB"/>
        </w:rPr>
        <w:t>submitted by the SLR to GRE-79</w:t>
      </w:r>
      <w:r w:rsidR="00CA611B">
        <w:rPr>
          <w:rFonts w:ascii="Times New Roman" w:hAnsi="Times New Roman"/>
          <w:lang w:val="en-GB"/>
        </w:rPr>
        <w:t>, namely documents GRE/2018/02, GRE/2018/03 and GRE/2018/04</w:t>
      </w:r>
      <w:r w:rsidR="00916D43">
        <w:rPr>
          <w:rFonts w:ascii="Times New Roman" w:hAnsi="Times New Roman"/>
          <w:lang w:val="en-GB"/>
        </w:rPr>
        <w:t>.</w:t>
      </w:r>
    </w:p>
    <w:p w:rsidR="00916D43" w:rsidRDefault="00916D43" w:rsidP="00E93275">
      <w:pPr>
        <w:spacing w:after="120" w:line="300" w:lineRule="exact"/>
        <w:ind w:leftChars="515" w:left="1133" w:right="1133"/>
        <w:jc w:val="both"/>
        <w:rPr>
          <w:rFonts w:ascii="Times New Roman" w:hAnsi="Times New Roman"/>
          <w:lang w:val="en-GB"/>
        </w:rPr>
      </w:pPr>
      <w:r>
        <w:rPr>
          <w:rFonts w:ascii="Times New Roman" w:hAnsi="Times New Roman"/>
          <w:lang w:val="en-GB"/>
        </w:rPr>
        <w:t>In the RRD document (i.e. GRE/2018/04) by mistake Annex 25 has not been included. This Annex, copied from the existing Annex 15 to Regulation No. 69, has now been added to the RRD text.</w:t>
      </w:r>
    </w:p>
    <w:p w:rsidR="00507892" w:rsidRPr="00507892" w:rsidRDefault="002C618D" w:rsidP="00E93275">
      <w:pPr>
        <w:spacing w:after="120" w:line="300" w:lineRule="exact"/>
        <w:ind w:leftChars="515" w:left="1133" w:right="1133"/>
        <w:jc w:val="both"/>
        <w:rPr>
          <w:rFonts w:ascii="Times New Roman" w:hAnsi="Times New Roman"/>
          <w:lang w:val="en-GB"/>
        </w:rPr>
      </w:pPr>
      <w:r w:rsidRPr="002C618D">
        <w:rPr>
          <w:rFonts w:ascii="Times New Roman" w:hAnsi="Times New Roman"/>
          <w:lang w:val="en-GB"/>
        </w:rPr>
        <w:t>The modifications to the text of the formal documents are</w:t>
      </w:r>
      <w:r>
        <w:rPr>
          <w:rFonts w:ascii="Times New Roman" w:hAnsi="Times New Roman"/>
          <w:lang w:val="en-GB"/>
        </w:rPr>
        <w:t xml:space="preserve"> </w:t>
      </w:r>
      <w:r w:rsidRPr="002C618D">
        <w:rPr>
          <w:rFonts w:ascii="Times New Roman" w:hAnsi="Times New Roman"/>
          <w:lang w:val="en-GB"/>
        </w:rPr>
        <w:t>indicated with yellow highlights</w:t>
      </w:r>
      <w:r w:rsidR="00C23D55">
        <w:rPr>
          <w:rFonts w:ascii="Times New Roman" w:hAnsi="Times New Roman"/>
          <w:lang w:val="en-GB"/>
        </w:rPr>
        <w:t>.</w:t>
      </w:r>
    </w:p>
    <w:p w:rsidR="001B0A3C" w:rsidRDefault="001B0A3C" w:rsidP="00E93275">
      <w:pPr>
        <w:spacing w:after="120" w:line="300" w:lineRule="exact"/>
        <w:ind w:leftChars="515" w:left="1133" w:rightChars="549" w:right="1208"/>
        <w:jc w:val="both"/>
        <w:rPr>
          <w:rFonts w:ascii="Times New Roman" w:hAnsi="Times New Roman"/>
          <w:b/>
          <w:sz w:val="28"/>
          <w:szCs w:val="28"/>
          <w:lang w:val="en-GB"/>
        </w:rPr>
      </w:pPr>
    </w:p>
    <w:p w:rsidR="00661CFB" w:rsidRPr="00BE7CCE" w:rsidRDefault="00661CFB" w:rsidP="00661CFB">
      <w:pPr>
        <w:tabs>
          <w:tab w:val="left" w:pos="8505"/>
        </w:tabs>
        <w:spacing w:after="120" w:line="300" w:lineRule="exact"/>
        <w:ind w:left="1134" w:right="991" w:hanging="708"/>
        <w:rPr>
          <w:rFonts w:ascii="Times New Roman" w:hAnsi="Times New Roman"/>
          <w:b/>
          <w:sz w:val="28"/>
          <w:szCs w:val="28"/>
          <w:lang w:val="en-GB"/>
        </w:rPr>
      </w:pPr>
      <w:r>
        <w:rPr>
          <w:rFonts w:ascii="Times New Roman" w:hAnsi="Times New Roman"/>
          <w:b/>
          <w:sz w:val="28"/>
          <w:szCs w:val="28"/>
          <w:lang w:val="en-GB"/>
        </w:rPr>
        <w:t>I.</w:t>
      </w:r>
      <w:r w:rsidRPr="00BE7CCE">
        <w:rPr>
          <w:rFonts w:ascii="Times New Roman" w:hAnsi="Times New Roman"/>
          <w:b/>
          <w:sz w:val="28"/>
          <w:szCs w:val="28"/>
          <w:lang w:val="en-GB"/>
        </w:rPr>
        <w:tab/>
      </w:r>
      <w:r w:rsidRPr="00E0045E">
        <w:rPr>
          <w:rFonts w:ascii="Times New Roman" w:hAnsi="Times New Roman"/>
          <w:b/>
          <w:sz w:val="28"/>
          <w:szCs w:val="28"/>
          <w:lang w:val="en-GB"/>
        </w:rPr>
        <w:t>Proposal</w:t>
      </w:r>
      <w:r>
        <w:rPr>
          <w:rFonts w:ascii="Times New Roman" w:hAnsi="Times New Roman"/>
          <w:b/>
          <w:sz w:val="28"/>
          <w:szCs w:val="28"/>
          <w:lang w:val="en-GB"/>
        </w:rPr>
        <w:t xml:space="preserve"> to </w:t>
      </w:r>
      <w:r>
        <w:rPr>
          <w:rFonts w:ascii="Times New Roman" w:hAnsi="Times New Roman"/>
          <w:b/>
          <w:sz w:val="28"/>
          <w:szCs w:val="28"/>
          <w:lang w:val="en-US"/>
        </w:rPr>
        <w:t>correct</w:t>
      </w:r>
      <w:r w:rsidRPr="00215D2F">
        <w:rPr>
          <w:rFonts w:ascii="Times New Roman" w:hAnsi="Times New Roman"/>
          <w:b/>
          <w:sz w:val="28"/>
          <w:szCs w:val="28"/>
          <w:lang w:val="en-US"/>
        </w:rPr>
        <w:t xml:space="preserve"> </w:t>
      </w:r>
      <w:r w:rsidR="000C12CC">
        <w:rPr>
          <w:rFonts w:ascii="Times New Roman" w:hAnsi="Times New Roman"/>
          <w:b/>
          <w:sz w:val="28"/>
          <w:szCs w:val="28"/>
          <w:lang w:val="en-US"/>
        </w:rPr>
        <w:t>typos</w:t>
      </w:r>
      <w:r w:rsidR="00EA6F45">
        <w:rPr>
          <w:rFonts w:ascii="Times New Roman" w:hAnsi="Times New Roman"/>
          <w:b/>
          <w:sz w:val="28"/>
          <w:szCs w:val="28"/>
          <w:lang w:val="en-US"/>
        </w:rPr>
        <w:t xml:space="preserve"> </w:t>
      </w:r>
      <w:r w:rsidR="000C12CC">
        <w:rPr>
          <w:rFonts w:ascii="Times New Roman" w:hAnsi="Times New Roman"/>
          <w:b/>
          <w:sz w:val="28"/>
          <w:szCs w:val="28"/>
          <w:lang w:val="en-US"/>
        </w:rPr>
        <w:t>in</w:t>
      </w:r>
      <w:r w:rsidR="00EA6F45">
        <w:rPr>
          <w:rFonts w:ascii="Times New Roman" w:hAnsi="Times New Roman"/>
          <w:b/>
          <w:sz w:val="28"/>
          <w:szCs w:val="28"/>
          <w:lang w:val="en-US"/>
        </w:rPr>
        <w:t xml:space="preserve"> GRE/2018/03 (RID)</w:t>
      </w:r>
    </w:p>
    <w:p w:rsidR="00661CFB" w:rsidRDefault="00EA6F45" w:rsidP="00661CFB">
      <w:pPr>
        <w:pStyle w:val="SingleTxtG"/>
        <w:spacing w:after="0" w:line="240" w:lineRule="auto"/>
        <w:ind w:left="2268" w:right="1133" w:hanging="1134"/>
        <w:rPr>
          <w:iCs/>
          <w:kern w:val="2"/>
          <w:lang w:val="en-US" w:eastAsia="ja-JP"/>
        </w:rPr>
      </w:pPr>
      <w:r>
        <w:rPr>
          <w:i/>
          <w:iCs/>
          <w:kern w:val="2"/>
          <w:lang w:val="en-US" w:eastAsia="ja-JP"/>
        </w:rPr>
        <w:t>Cover page</w:t>
      </w:r>
      <w:r w:rsidR="00661CFB">
        <w:rPr>
          <w:i/>
          <w:iCs/>
          <w:kern w:val="2"/>
          <w:lang w:val="en-US" w:eastAsia="ja-JP"/>
        </w:rPr>
        <w:t xml:space="preserve">, </w:t>
      </w:r>
      <w:r w:rsidR="00661CFB">
        <w:rPr>
          <w:iCs/>
          <w:kern w:val="2"/>
          <w:lang w:val="en-US" w:eastAsia="ja-JP"/>
        </w:rPr>
        <w:t xml:space="preserve">amend to </w:t>
      </w:r>
      <w:r w:rsidR="00661CFB" w:rsidRPr="001433A2">
        <w:t>read</w:t>
      </w:r>
      <w:r w:rsidR="00661CFB">
        <w:rPr>
          <w:iCs/>
          <w:kern w:val="2"/>
          <w:lang w:val="en-US" w:eastAsia="ja-JP"/>
        </w:rPr>
        <w:t>:</w:t>
      </w:r>
    </w:p>
    <w:p w:rsidR="00EA6F45" w:rsidRDefault="00EA6F45" w:rsidP="00661CFB">
      <w:pPr>
        <w:pStyle w:val="SingleTxtG"/>
        <w:spacing w:after="0" w:line="240" w:lineRule="auto"/>
        <w:ind w:left="2268" w:right="1133" w:hanging="1134"/>
        <w:rPr>
          <w:iCs/>
          <w:kern w:val="2"/>
          <w:lang w:val="en-US" w:eastAsia="ja-JP"/>
        </w:rPr>
      </w:pPr>
    </w:p>
    <w:p w:rsidR="00EA6F45" w:rsidRDefault="00EA6F45" w:rsidP="00EA6F45">
      <w:pPr>
        <w:pStyle w:val="SingleTxtG"/>
        <w:spacing w:after="0" w:line="240" w:lineRule="auto"/>
        <w:ind w:right="1133"/>
        <w:rPr>
          <w:iCs/>
          <w:kern w:val="2"/>
          <w:lang w:val="en-US" w:eastAsia="ja-JP"/>
        </w:rPr>
      </w:pPr>
      <w:r>
        <w:rPr>
          <w:iCs/>
          <w:kern w:val="2"/>
          <w:lang w:val="en-US" w:eastAsia="ja-JP"/>
        </w:rPr>
        <w:t>"…</w:t>
      </w:r>
    </w:p>
    <w:p w:rsidR="001B0A3C" w:rsidRDefault="001B0A3C" w:rsidP="00EA6F45">
      <w:pPr>
        <w:pStyle w:val="SingleTxtG"/>
        <w:spacing w:after="0" w:line="240" w:lineRule="auto"/>
        <w:ind w:right="1133"/>
        <w:rPr>
          <w:iCs/>
          <w:kern w:val="2"/>
          <w:lang w:val="en-US" w:eastAsia="ja-JP"/>
        </w:rPr>
      </w:pPr>
    </w:p>
    <w:p w:rsidR="00EA6F45" w:rsidRDefault="00EA6F45" w:rsidP="00EA6F45">
      <w:pPr>
        <w:pStyle w:val="SingleTxtG"/>
        <w:ind w:firstLine="567"/>
        <w:rPr>
          <w:iCs/>
          <w:kern w:val="2"/>
          <w:lang w:eastAsia="ja-JP"/>
        </w:rPr>
      </w:pPr>
      <w:r w:rsidRPr="00EA6F45">
        <w:rPr>
          <w:rFonts w:eastAsia="Times New Roman"/>
          <w:lang w:val="en-US"/>
        </w:rPr>
        <w:t>The</w:t>
      </w:r>
      <w:r w:rsidRPr="00EA6F45">
        <w:rPr>
          <w:iCs/>
          <w:kern w:val="2"/>
          <w:lang w:val="en-US" w:eastAsia="ja-JP"/>
        </w:rPr>
        <w:t xml:space="preserve"> proposal for a new UN Regulation on </w:t>
      </w:r>
      <w:r w:rsidRPr="00EA6F45">
        <w:rPr>
          <w:iCs/>
          <w:strike/>
          <w:kern w:val="2"/>
          <w:highlight w:val="yellow"/>
          <w:lang w:val="en-US" w:eastAsia="ja-JP"/>
        </w:rPr>
        <w:t>Light-</w:t>
      </w:r>
      <w:proofErr w:type="spellStart"/>
      <w:r w:rsidRPr="00EA6F45">
        <w:rPr>
          <w:iCs/>
          <w:strike/>
          <w:kern w:val="2"/>
          <w:highlight w:val="yellow"/>
          <w:lang w:val="en-US" w:eastAsia="ja-JP"/>
        </w:rPr>
        <w:t>Signalling</w:t>
      </w:r>
      <w:proofErr w:type="spellEnd"/>
      <w:r w:rsidRPr="00EA6F45">
        <w:rPr>
          <w:iCs/>
          <w:kern w:val="2"/>
          <w:highlight w:val="yellow"/>
          <w:lang w:val="en-US" w:eastAsia="ja-JP"/>
        </w:rPr>
        <w:t xml:space="preserve"> </w:t>
      </w:r>
      <w:r w:rsidRPr="00EA6F45">
        <w:rPr>
          <w:b/>
          <w:iCs/>
          <w:kern w:val="2"/>
          <w:highlight w:val="yellow"/>
          <w:lang w:val="en-US" w:eastAsia="ja-JP"/>
        </w:rPr>
        <w:t>Road Illumination</w:t>
      </w:r>
      <w:r w:rsidRPr="00EA6F45">
        <w:rPr>
          <w:iCs/>
          <w:kern w:val="2"/>
          <w:lang w:val="en-US" w:eastAsia="ja-JP"/>
        </w:rPr>
        <w:t xml:space="preserve"> Devices (</w:t>
      </w:r>
      <w:r w:rsidRPr="00EA6F45">
        <w:rPr>
          <w:iCs/>
          <w:strike/>
          <w:kern w:val="2"/>
          <w:highlight w:val="yellow"/>
          <w:lang w:val="en-US" w:eastAsia="ja-JP"/>
        </w:rPr>
        <w:t>LSD</w:t>
      </w:r>
      <w:r w:rsidRPr="00EA6F45">
        <w:rPr>
          <w:b/>
          <w:iCs/>
          <w:kern w:val="2"/>
          <w:highlight w:val="yellow"/>
          <w:lang w:val="en-US" w:eastAsia="ja-JP"/>
        </w:rPr>
        <w:t>RID</w:t>
      </w:r>
      <w:r w:rsidRPr="00EA6F45">
        <w:rPr>
          <w:iCs/>
          <w:kern w:val="2"/>
          <w:lang w:val="en-US" w:eastAsia="ja-JP"/>
        </w:rPr>
        <w:t xml:space="preserve">) reproduced below was prepared by the IWG SLR on the basis of </w:t>
      </w:r>
      <w:r w:rsidRPr="00EA6F45">
        <w:rPr>
          <w:iCs/>
          <w:kern w:val="2"/>
          <w:lang w:eastAsia="ja-JP"/>
        </w:rPr>
        <w:t>informal document GRE-78-31 and taking into account the input received during the 78th GRE session</w:t>
      </w:r>
      <w:r w:rsidRPr="00EA6F45">
        <w:rPr>
          <w:iCs/>
          <w:kern w:val="2"/>
          <w:lang w:val="en-US" w:eastAsia="ja-JP"/>
        </w:rPr>
        <w:t xml:space="preserve">. </w:t>
      </w:r>
      <w:r w:rsidRPr="00EA6F45">
        <w:rPr>
          <w:iCs/>
          <w:kern w:val="2"/>
          <w:lang w:eastAsia="ja-JP"/>
        </w:rPr>
        <w:t xml:space="preserve">Some text is shown in square brackets to indicate that consideration and a decision are required. </w:t>
      </w:r>
      <w:r>
        <w:rPr>
          <w:iCs/>
          <w:kern w:val="2"/>
          <w:lang w:eastAsia="ja-JP"/>
        </w:rPr>
        <w:t>"</w:t>
      </w:r>
    </w:p>
    <w:p w:rsidR="000C12CC" w:rsidRDefault="000C12CC" w:rsidP="000C12CC">
      <w:pPr>
        <w:pStyle w:val="SingleTxtG"/>
        <w:rPr>
          <w:iCs/>
          <w:kern w:val="2"/>
          <w:lang w:eastAsia="ja-JP"/>
        </w:rPr>
      </w:pPr>
    </w:p>
    <w:p w:rsidR="000C12CC" w:rsidRDefault="000237FC" w:rsidP="000C12CC">
      <w:pPr>
        <w:pStyle w:val="SingleTxtG"/>
        <w:spacing w:after="0" w:line="240" w:lineRule="auto"/>
        <w:ind w:left="2268" w:right="1133" w:hanging="1134"/>
        <w:rPr>
          <w:iCs/>
          <w:kern w:val="2"/>
          <w:lang w:val="en-US" w:eastAsia="ja-JP"/>
        </w:rPr>
      </w:pPr>
      <w:r>
        <w:rPr>
          <w:i/>
          <w:iCs/>
          <w:kern w:val="2"/>
          <w:lang w:val="en-US" w:eastAsia="ja-JP"/>
        </w:rPr>
        <w:t xml:space="preserve">Annex 1, </w:t>
      </w:r>
      <w:r w:rsidR="000C12CC" w:rsidRPr="001433A2">
        <w:rPr>
          <w:i/>
          <w:iCs/>
          <w:kern w:val="2"/>
          <w:lang w:val="en-US" w:eastAsia="ja-JP"/>
        </w:rPr>
        <w:t xml:space="preserve">Paragraph </w:t>
      </w:r>
      <w:r w:rsidR="000C12CC">
        <w:rPr>
          <w:i/>
          <w:iCs/>
          <w:kern w:val="2"/>
          <w:lang w:val="en-US" w:eastAsia="ja-JP"/>
        </w:rPr>
        <w:t xml:space="preserve">9.1., </w:t>
      </w:r>
      <w:r w:rsidR="000C12CC">
        <w:rPr>
          <w:iCs/>
          <w:kern w:val="2"/>
          <w:lang w:val="en-US" w:eastAsia="ja-JP"/>
        </w:rPr>
        <w:t xml:space="preserve">amend to </w:t>
      </w:r>
      <w:r w:rsidR="000C12CC" w:rsidRPr="001433A2">
        <w:t>read</w:t>
      </w:r>
      <w:r w:rsidR="000C12CC">
        <w:rPr>
          <w:iCs/>
          <w:kern w:val="2"/>
          <w:lang w:val="en-US" w:eastAsia="ja-JP"/>
        </w:rPr>
        <w:t>:</w:t>
      </w:r>
    </w:p>
    <w:p w:rsidR="000C12CC" w:rsidRDefault="000C12CC" w:rsidP="000C12CC">
      <w:pPr>
        <w:pStyle w:val="SingleTxtG"/>
        <w:spacing w:after="0" w:line="240" w:lineRule="auto"/>
        <w:ind w:left="2268" w:right="1133" w:hanging="1134"/>
        <w:rPr>
          <w:iCs/>
          <w:kern w:val="2"/>
          <w:lang w:val="en-US" w:eastAsia="ja-JP"/>
        </w:rPr>
      </w:pPr>
    </w:p>
    <w:p w:rsidR="000237FC" w:rsidRDefault="000237FC" w:rsidP="00DF015B">
      <w:pPr>
        <w:pStyle w:val="SingleTxtG"/>
        <w:ind w:left="2268" w:hanging="1134"/>
        <w:rPr>
          <w:iCs/>
          <w:kern w:val="2"/>
          <w:lang w:val="en-US" w:eastAsia="ja-JP"/>
        </w:rPr>
      </w:pPr>
      <w:r>
        <w:rPr>
          <w:iCs/>
          <w:kern w:val="2"/>
          <w:lang w:val="en-US" w:eastAsia="ja-JP"/>
        </w:rPr>
        <w:t>"</w:t>
      </w:r>
      <w:r w:rsidRPr="000237FC">
        <w:rPr>
          <w:iCs/>
          <w:kern w:val="2"/>
          <w:lang w:eastAsia="ja-JP"/>
        </w:rPr>
        <w:t>9.1.</w:t>
      </w:r>
      <w:r w:rsidRPr="000237FC">
        <w:rPr>
          <w:iCs/>
          <w:kern w:val="2"/>
          <w:lang w:eastAsia="ja-JP"/>
        </w:rPr>
        <w:tab/>
        <w:t>For Headlamps of Classes A and B</w:t>
      </w:r>
      <w:r w:rsidRPr="000237FC">
        <w:rPr>
          <w:iCs/>
          <w:strike/>
          <w:kern w:val="2"/>
          <w:highlight w:val="yellow"/>
          <w:lang w:eastAsia="ja-JP"/>
        </w:rPr>
        <w:t>10</w:t>
      </w:r>
      <w:r w:rsidRPr="000237FC">
        <w:rPr>
          <w:b/>
          <w:iCs/>
          <w:kern w:val="2"/>
          <w:highlight w:val="yellow"/>
          <w:vertAlign w:val="superscript"/>
          <w:lang w:eastAsia="ja-JP"/>
        </w:rPr>
        <w:t>10</w:t>
      </w:r>
      <w:r>
        <w:rPr>
          <w:iCs/>
          <w:kern w:val="2"/>
          <w:lang w:val="en-US" w:eastAsia="ja-JP"/>
        </w:rPr>
        <w:t>"</w:t>
      </w:r>
    </w:p>
    <w:p w:rsidR="00DF015B" w:rsidRDefault="00DF015B" w:rsidP="00DF015B">
      <w:pPr>
        <w:pStyle w:val="SingleTxtG"/>
        <w:rPr>
          <w:iCs/>
          <w:kern w:val="2"/>
          <w:lang w:val="en-US" w:eastAsia="ja-JP"/>
        </w:rPr>
      </w:pPr>
    </w:p>
    <w:p w:rsidR="00DF015B" w:rsidRDefault="00645102" w:rsidP="000237FC">
      <w:pPr>
        <w:pStyle w:val="SingleTxtG"/>
        <w:spacing w:after="0"/>
        <w:ind w:left="2268" w:right="1133" w:hanging="1134"/>
        <w:rPr>
          <w:iCs/>
          <w:kern w:val="2"/>
          <w:lang w:eastAsia="ja-JP"/>
        </w:rPr>
      </w:pPr>
      <w:r w:rsidRPr="00645102">
        <w:rPr>
          <w:i/>
          <w:iCs/>
          <w:kern w:val="2"/>
          <w:lang w:eastAsia="ja-JP"/>
        </w:rPr>
        <w:t>Annex 13, Figure A13-II and description</w:t>
      </w:r>
      <w:r>
        <w:rPr>
          <w:iCs/>
          <w:kern w:val="2"/>
          <w:lang w:eastAsia="ja-JP"/>
        </w:rPr>
        <w:t>, amend as follows:</w:t>
      </w:r>
    </w:p>
    <w:p w:rsidR="00645102" w:rsidRDefault="00645102" w:rsidP="000237FC">
      <w:pPr>
        <w:pStyle w:val="SingleTxtG"/>
        <w:spacing w:after="0"/>
        <w:ind w:left="2268" w:right="1133" w:hanging="1134"/>
        <w:rPr>
          <w:iCs/>
          <w:kern w:val="2"/>
          <w:lang w:eastAsia="ja-JP"/>
        </w:rPr>
      </w:pPr>
    </w:p>
    <w:p w:rsidR="001B0A3C" w:rsidRDefault="001B0A3C" w:rsidP="000237FC">
      <w:pPr>
        <w:pStyle w:val="SingleTxtG"/>
        <w:spacing w:after="0"/>
        <w:ind w:left="2268" w:right="1133" w:hanging="1134"/>
        <w:rPr>
          <w:iCs/>
          <w:kern w:val="2"/>
          <w:lang w:eastAsia="ja-JP"/>
        </w:rPr>
      </w:pPr>
      <w:r>
        <w:rPr>
          <w:iCs/>
          <w:kern w:val="2"/>
          <w:lang w:eastAsia="ja-JP"/>
        </w:rPr>
        <w:t>"…</w:t>
      </w:r>
    </w:p>
    <w:tbl>
      <w:tblPr>
        <w:tblStyle w:val="TableGrid"/>
        <w:tblW w:w="0" w:type="auto"/>
        <w:tblInd w:w="1134" w:type="dxa"/>
        <w:tblLook w:val="04A0" w:firstRow="1" w:lastRow="0" w:firstColumn="1" w:lastColumn="0" w:noHBand="0" w:noVBand="1"/>
      </w:tblPr>
      <w:tblGrid>
        <w:gridCol w:w="3544"/>
        <w:gridCol w:w="4394"/>
      </w:tblGrid>
      <w:tr w:rsidR="00645102" w:rsidRPr="00645102" w:rsidTr="00AA6AA0">
        <w:trPr>
          <w:trHeight w:val="2648"/>
        </w:trPr>
        <w:tc>
          <w:tcPr>
            <w:tcW w:w="3544" w:type="dxa"/>
          </w:tcPr>
          <w:p w:rsidR="00645102" w:rsidRDefault="00645102" w:rsidP="00AA6AA0">
            <w:pPr>
              <w:adjustRightInd w:val="0"/>
              <w:snapToGrid w:val="0"/>
              <w:spacing w:before="120" w:after="120" w:line="240" w:lineRule="auto"/>
              <w:jc w:val="center"/>
              <w:rPr>
                <w:lang w:eastAsia="de-DE"/>
              </w:rPr>
            </w:pPr>
            <w:r w:rsidRPr="000B4AAB">
              <w:rPr>
                <w:szCs w:val="24"/>
              </w:rPr>
              <w:t>Figure A</w:t>
            </w:r>
            <w:r>
              <w:rPr>
                <w:szCs w:val="24"/>
              </w:rPr>
              <w:t>13</w:t>
            </w:r>
            <w:r w:rsidRPr="000B4AAB">
              <w:rPr>
                <w:szCs w:val="24"/>
              </w:rPr>
              <w:t>-I</w:t>
            </w:r>
            <w:r>
              <w:rPr>
                <w:szCs w:val="24"/>
              </w:rPr>
              <w:t>I - Marking example 2</w:t>
            </w:r>
          </w:p>
          <w:p w:rsidR="001B0A3C" w:rsidRPr="00B93372" w:rsidRDefault="001B0A3C" w:rsidP="00AA6AA0">
            <w:pPr>
              <w:adjustRightInd w:val="0"/>
              <w:snapToGrid w:val="0"/>
              <w:spacing w:before="120" w:after="120" w:line="240" w:lineRule="auto"/>
              <w:jc w:val="center"/>
              <w:rPr>
                <w:lang w:eastAsia="de-DE"/>
              </w:rPr>
            </w:pPr>
            <w:r>
              <w:rPr>
                <w:noProof/>
              </w:rPr>
              <w:drawing>
                <wp:inline distT="0" distB="0" distL="0" distR="0" wp14:anchorId="1FCF880A">
                  <wp:extent cx="1669994" cy="1692998"/>
                  <wp:effectExtent l="0" t="0" r="0" b="254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959" cy="1698032"/>
                          </a:xfrm>
                          <a:prstGeom prst="rect">
                            <a:avLst/>
                          </a:prstGeom>
                          <a:noFill/>
                        </pic:spPr>
                      </pic:pic>
                    </a:graphicData>
                  </a:graphic>
                </wp:inline>
              </w:drawing>
            </w:r>
          </w:p>
        </w:tc>
        <w:tc>
          <w:tcPr>
            <w:tcW w:w="4394" w:type="dxa"/>
          </w:tcPr>
          <w:p w:rsidR="00645102" w:rsidRPr="004E2AF7" w:rsidRDefault="00645102" w:rsidP="00AA6AA0">
            <w:pPr>
              <w:spacing w:before="120" w:after="120" w:line="240" w:lineRule="auto"/>
              <w:ind w:left="56" w:right="101"/>
              <w:jc w:val="both"/>
            </w:pPr>
            <w:r w:rsidRPr="00BD507E">
              <w:rPr>
                <w:szCs w:val="24"/>
              </w:rPr>
              <w:t xml:space="preserve">The lamp bearing the approval mark shown on the left is a gas-discharge </w:t>
            </w:r>
            <w:r w:rsidRPr="00645102">
              <w:rPr>
                <w:b/>
                <w:szCs w:val="24"/>
                <w:highlight w:val="yellow"/>
              </w:rPr>
              <w:t>passing beam</w:t>
            </w:r>
            <w:r>
              <w:rPr>
                <w:szCs w:val="24"/>
              </w:rPr>
              <w:t xml:space="preserve"> </w:t>
            </w:r>
            <w:r w:rsidRPr="00BD507E">
              <w:rPr>
                <w:szCs w:val="24"/>
              </w:rPr>
              <w:t>headlamp (DC) for left-hand traffic only (arrow) using a plastic lens (PL) approved in France (E2) pursuant to this Regulation ([RID</w:t>
            </w:r>
            <w:proofErr w:type="gramStart"/>
            <w:r w:rsidRPr="00BD507E">
              <w:rPr>
                <w:szCs w:val="24"/>
              </w:rPr>
              <w:t>]R</w:t>
            </w:r>
            <w:proofErr w:type="gramEnd"/>
            <w:r w:rsidRPr="00BD507E">
              <w:rPr>
                <w:szCs w:val="24"/>
              </w:rPr>
              <w:t xml:space="preserve">) as set in the original series of amendments (00) combined with a front position lamp (A) as set in the original series of amendments (00) of the Regulation on Light </w:t>
            </w:r>
            <w:proofErr w:type="spellStart"/>
            <w:r w:rsidRPr="00BD507E">
              <w:rPr>
                <w:szCs w:val="24"/>
              </w:rPr>
              <w:t>Signalling</w:t>
            </w:r>
            <w:proofErr w:type="spellEnd"/>
            <w:r w:rsidRPr="00BD507E">
              <w:rPr>
                <w:szCs w:val="24"/>
              </w:rPr>
              <w:t xml:space="preserve"> Devices ([LSD]R). Both lamps (functions) are approved under approval number 3223.</w:t>
            </w:r>
          </w:p>
        </w:tc>
      </w:tr>
    </w:tbl>
    <w:p w:rsidR="00645102" w:rsidRPr="00645102" w:rsidRDefault="001B0A3C" w:rsidP="000237FC">
      <w:pPr>
        <w:pStyle w:val="SingleTxtG"/>
        <w:spacing w:after="0"/>
        <w:ind w:left="2268" w:right="1133" w:hanging="1134"/>
        <w:rPr>
          <w:iCs/>
          <w:kern w:val="2"/>
          <w:lang w:eastAsia="ja-JP"/>
        </w:rPr>
      </w:pPr>
      <w:r>
        <w:rPr>
          <w:iCs/>
          <w:kern w:val="2"/>
          <w:lang w:eastAsia="ja-JP"/>
        </w:rPr>
        <w:t>…"</w:t>
      </w:r>
    </w:p>
    <w:p w:rsidR="00661CFB" w:rsidRDefault="00661CFB" w:rsidP="000237FC">
      <w:pPr>
        <w:pStyle w:val="SingleTxtG"/>
        <w:spacing w:before="120"/>
        <w:rPr>
          <w:b/>
          <w:sz w:val="28"/>
          <w:szCs w:val="28"/>
        </w:rPr>
      </w:pPr>
    </w:p>
    <w:p w:rsidR="00E0045E" w:rsidRPr="00BE7CCE" w:rsidRDefault="00661CFB" w:rsidP="00215D2F">
      <w:pPr>
        <w:tabs>
          <w:tab w:val="left" w:pos="8505"/>
        </w:tabs>
        <w:spacing w:after="120" w:line="300" w:lineRule="exact"/>
        <w:ind w:left="1134" w:right="991" w:hanging="708"/>
        <w:rPr>
          <w:rFonts w:ascii="Times New Roman" w:hAnsi="Times New Roman"/>
          <w:b/>
          <w:sz w:val="28"/>
          <w:szCs w:val="28"/>
          <w:lang w:val="en-GB"/>
        </w:rPr>
      </w:pPr>
      <w:r>
        <w:rPr>
          <w:rFonts w:ascii="Times New Roman" w:hAnsi="Times New Roman"/>
          <w:b/>
          <w:sz w:val="28"/>
          <w:szCs w:val="28"/>
          <w:lang w:val="en-GB"/>
        </w:rPr>
        <w:lastRenderedPageBreak/>
        <w:t>I</w:t>
      </w:r>
      <w:r w:rsidR="00215D2F">
        <w:rPr>
          <w:rFonts w:ascii="Times New Roman" w:hAnsi="Times New Roman"/>
          <w:b/>
          <w:sz w:val="28"/>
          <w:szCs w:val="28"/>
          <w:lang w:val="en-GB"/>
        </w:rPr>
        <w:t>I</w:t>
      </w:r>
      <w:r w:rsidR="0025052F">
        <w:rPr>
          <w:rFonts w:ascii="Times New Roman" w:hAnsi="Times New Roman"/>
          <w:b/>
          <w:sz w:val="28"/>
          <w:szCs w:val="28"/>
          <w:lang w:val="en-GB"/>
        </w:rPr>
        <w:t>.</w:t>
      </w:r>
      <w:r w:rsidR="00E0045E" w:rsidRPr="00BE7CCE">
        <w:rPr>
          <w:rFonts w:ascii="Times New Roman" w:hAnsi="Times New Roman"/>
          <w:b/>
          <w:sz w:val="28"/>
          <w:szCs w:val="28"/>
          <w:lang w:val="en-GB"/>
        </w:rPr>
        <w:tab/>
      </w:r>
      <w:r w:rsidR="00E0045E" w:rsidRPr="00E0045E">
        <w:rPr>
          <w:rFonts w:ascii="Times New Roman" w:hAnsi="Times New Roman"/>
          <w:b/>
          <w:sz w:val="28"/>
          <w:szCs w:val="28"/>
          <w:lang w:val="en-GB"/>
        </w:rPr>
        <w:t>Proposal</w:t>
      </w:r>
      <w:r w:rsidR="00215D2F">
        <w:rPr>
          <w:rFonts w:ascii="Times New Roman" w:hAnsi="Times New Roman"/>
          <w:b/>
          <w:sz w:val="28"/>
          <w:szCs w:val="28"/>
          <w:lang w:val="en-GB"/>
        </w:rPr>
        <w:t xml:space="preserve"> to </w:t>
      </w:r>
      <w:r w:rsidR="00215D2F" w:rsidRPr="00215D2F">
        <w:rPr>
          <w:rFonts w:ascii="Times New Roman" w:hAnsi="Times New Roman"/>
          <w:b/>
          <w:sz w:val="28"/>
          <w:szCs w:val="28"/>
          <w:lang w:val="en-US"/>
        </w:rPr>
        <w:t>amend the Annex 1</w:t>
      </w:r>
      <w:r>
        <w:rPr>
          <w:rFonts w:ascii="Times New Roman" w:hAnsi="Times New Roman"/>
          <w:b/>
          <w:sz w:val="28"/>
          <w:szCs w:val="28"/>
          <w:lang w:val="en-US"/>
        </w:rPr>
        <w:t xml:space="preserve"> (C</w:t>
      </w:r>
      <w:r w:rsidRPr="00215D2F">
        <w:rPr>
          <w:rFonts w:ascii="Times New Roman" w:hAnsi="Times New Roman"/>
          <w:b/>
          <w:sz w:val="28"/>
          <w:szCs w:val="28"/>
          <w:lang w:val="en-US"/>
        </w:rPr>
        <w:t>ommunication</w:t>
      </w:r>
      <w:r>
        <w:rPr>
          <w:rFonts w:ascii="Times New Roman" w:hAnsi="Times New Roman"/>
          <w:b/>
          <w:sz w:val="28"/>
          <w:szCs w:val="28"/>
          <w:lang w:val="en-US"/>
        </w:rPr>
        <w:t>)</w:t>
      </w:r>
      <w:r w:rsidR="00215D2F" w:rsidRPr="00215D2F">
        <w:rPr>
          <w:rFonts w:ascii="Times New Roman" w:hAnsi="Times New Roman"/>
          <w:b/>
          <w:sz w:val="28"/>
          <w:szCs w:val="28"/>
          <w:lang w:val="en-US"/>
        </w:rPr>
        <w:t xml:space="preserve"> of LSD, RID and RRD draft UN Regulations</w:t>
      </w:r>
    </w:p>
    <w:p w:rsidR="00E93275" w:rsidRDefault="00215D2F" w:rsidP="00E0045E">
      <w:pPr>
        <w:pStyle w:val="SingleTxtG"/>
        <w:spacing w:after="0" w:line="240" w:lineRule="auto"/>
        <w:ind w:left="2268" w:right="1133" w:hanging="1134"/>
        <w:rPr>
          <w:iCs/>
          <w:kern w:val="2"/>
          <w:lang w:val="en-US" w:eastAsia="ja-JP"/>
        </w:rPr>
      </w:pPr>
      <w:r>
        <w:rPr>
          <w:i/>
          <w:iCs/>
          <w:kern w:val="2"/>
          <w:lang w:val="en-US" w:eastAsia="ja-JP"/>
        </w:rPr>
        <w:t xml:space="preserve">Document GRE/2018/02, Annex 1, </w:t>
      </w:r>
      <w:proofErr w:type="gramStart"/>
      <w:r>
        <w:rPr>
          <w:i/>
          <w:iCs/>
          <w:kern w:val="2"/>
          <w:lang w:val="en-US" w:eastAsia="ja-JP"/>
        </w:rPr>
        <w:t>Table</w:t>
      </w:r>
      <w:proofErr w:type="gramEnd"/>
      <w:r w:rsidR="001433A2">
        <w:rPr>
          <w:i/>
          <w:iCs/>
          <w:kern w:val="2"/>
          <w:lang w:val="en-US" w:eastAsia="ja-JP"/>
        </w:rPr>
        <w:t xml:space="preserve">, </w:t>
      </w:r>
      <w:r w:rsidR="001433A2">
        <w:rPr>
          <w:iCs/>
          <w:kern w:val="2"/>
          <w:lang w:val="en-US" w:eastAsia="ja-JP"/>
        </w:rPr>
        <w:t xml:space="preserve">amend to </w:t>
      </w:r>
      <w:r w:rsidR="001433A2" w:rsidRPr="001433A2">
        <w:t>read</w:t>
      </w:r>
      <w:r w:rsidR="001433A2">
        <w:rPr>
          <w:iCs/>
          <w:kern w:val="2"/>
          <w:lang w:val="en-US" w:eastAsia="ja-JP"/>
        </w:rPr>
        <w:t>:</w:t>
      </w:r>
    </w:p>
    <w:p w:rsidR="00C16987" w:rsidRDefault="00C16987" w:rsidP="00E0045E">
      <w:pPr>
        <w:pStyle w:val="SingleTxtG"/>
        <w:spacing w:after="0" w:line="240" w:lineRule="auto"/>
        <w:ind w:left="2268" w:right="1133" w:hanging="1134"/>
        <w:rPr>
          <w:iCs/>
          <w:kern w:val="2"/>
          <w:lang w:val="en-US" w:eastAsia="ja-JP"/>
        </w:rPr>
      </w:pPr>
    </w:p>
    <w:p w:rsidR="00661CFB" w:rsidRDefault="00661CFB" w:rsidP="00E0045E">
      <w:pPr>
        <w:pStyle w:val="SingleTxtG"/>
        <w:spacing w:after="0" w:line="240" w:lineRule="auto"/>
        <w:ind w:left="2268" w:right="1133" w:hanging="1134"/>
        <w:rPr>
          <w:iCs/>
          <w:kern w:val="2"/>
          <w:lang w:val="en-US" w:eastAsia="ja-JP"/>
        </w:rPr>
      </w:pPr>
      <w:r>
        <w:rPr>
          <w:iCs/>
          <w:kern w:val="2"/>
          <w:lang w:val="en-US" w:eastAsia="ja-JP"/>
        </w:rPr>
        <w:t>"…</w:t>
      </w:r>
    </w:p>
    <w:tbl>
      <w:tblPr>
        <w:tblStyle w:val="TableGrid"/>
        <w:tblW w:w="0" w:type="auto"/>
        <w:tblInd w:w="1139" w:type="dxa"/>
        <w:tblLook w:val="04A0" w:firstRow="1" w:lastRow="0" w:firstColumn="1" w:lastColumn="0" w:noHBand="0" w:noVBand="1"/>
      </w:tblPr>
      <w:tblGrid>
        <w:gridCol w:w="2409"/>
        <w:gridCol w:w="1560"/>
        <w:gridCol w:w="1843"/>
        <w:gridCol w:w="1559"/>
      </w:tblGrid>
      <w:tr w:rsidR="00215D2F" w:rsidRPr="00215D2F" w:rsidTr="00AF3863">
        <w:trPr>
          <w:trHeight w:val="20"/>
        </w:trPr>
        <w:tc>
          <w:tcPr>
            <w:tcW w:w="2409" w:type="dxa"/>
            <w:vAlign w:val="center"/>
          </w:tcPr>
          <w:p w:rsidR="00215D2F" w:rsidRPr="00215D2F" w:rsidRDefault="00215D2F" w:rsidP="00215D2F">
            <w:pPr>
              <w:tabs>
                <w:tab w:val="left" w:pos="-720"/>
                <w:tab w:val="left" w:pos="-142"/>
              </w:tabs>
              <w:spacing w:after="120"/>
              <w:ind w:right="142"/>
              <w:jc w:val="right"/>
              <w:rPr>
                <w:lang w:val="en-GB" w:eastAsia="fr-FR"/>
              </w:rPr>
            </w:pPr>
            <w:r w:rsidRPr="00215D2F">
              <w:rPr>
                <w:lang w:val="en-GB" w:eastAsia="fr-FR"/>
              </w:rPr>
              <w:t>Category of the lamp:</w:t>
            </w:r>
          </w:p>
        </w:tc>
        <w:tc>
          <w:tcPr>
            <w:tcW w:w="1560" w:type="dxa"/>
            <w:vAlign w:val="center"/>
          </w:tcPr>
          <w:p w:rsidR="00215D2F" w:rsidRPr="00215D2F" w:rsidRDefault="00215D2F" w:rsidP="00215D2F">
            <w:pPr>
              <w:tabs>
                <w:tab w:val="left" w:pos="-720"/>
                <w:tab w:val="left" w:pos="-142"/>
              </w:tabs>
              <w:spacing w:after="120"/>
              <w:ind w:right="142"/>
              <w:jc w:val="center"/>
              <w:rPr>
                <w:lang w:val="en-GB" w:eastAsia="fr-FR"/>
              </w:rPr>
            </w:pPr>
          </w:p>
        </w:tc>
        <w:tc>
          <w:tcPr>
            <w:tcW w:w="1843" w:type="dxa"/>
            <w:vAlign w:val="center"/>
          </w:tcPr>
          <w:p w:rsidR="00215D2F" w:rsidRPr="00215D2F" w:rsidRDefault="00215D2F" w:rsidP="00215D2F">
            <w:pPr>
              <w:tabs>
                <w:tab w:val="left" w:pos="-720"/>
                <w:tab w:val="left" w:pos="-142"/>
              </w:tabs>
              <w:spacing w:after="120"/>
              <w:ind w:right="142"/>
              <w:jc w:val="right"/>
              <w:rPr>
                <w:lang w:val="en-GB" w:eastAsia="fr-FR"/>
              </w:rPr>
            </w:pPr>
            <w:r w:rsidRPr="00215D2F">
              <w:rPr>
                <w:strike/>
                <w:highlight w:val="yellow"/>
                <w:lang w:val="en-GB" w:eastAsia="fr-FR"/>
              </w:rPr>
              <w:t>[</w:t>
            </w:r>
            <w:r w:rsidRPr="00215D2F">
              <w:rPr>
                <w:lang w:val="en-GB" w:eastAsia="fr-FR"/>
              </w:rPr>
              <w:t>Change index:</w:t>
            </w:r>
            <w:r w:rsidRPr="00215D2F">
              <w:rPr>
                <w:strike/>
                <w:highlight w:val="yellow"/>
                <w:lang w:val="en-GB" w:eastAsia="fr-FR"/>
              </w:rPr>
              <w:t>]</w:t>
            </w:r>
          </w:p>
        </w:tc>
        <w:tc>
          <w:tcPr>
            <w:tcW w:w="1559" w:type="dxa"/>
            <w:vAlign w:val="center"/>
          </w:tcPr>
          <w:p w:rsidR="00215D2F" w:rsidRPr="00215D2F" w:rsidRDefault="00215D2F" w:rsidP="00215D2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val="en-GB" w:eastAsia="fr-FR"/>
              </w:rPr>
            </w:pPr>
          </w:p>
        </w:tc>
      </w:tr>
      <w:tr w:rsidR="00215D2F" w:rsidRPr="00215D2F" w:rsidTr="00AF3863">
        <w:trPr>
          <w:trHeight w:val="20"/>
        </w:trPr>
        <w:tc>
          <w:tcPr>
            <w:tcW w:w="2409" w:type="dxa"/>
            <w:vAlign w:val="center"/>
          </w:tcPr>
          <w:p w:rsidR="00215D2F" w:rsidRPr="00215D2F" w:rsidRDefault="00215D2F" w:rsidP="00215D2F">
            <w:pPr>
              <w:tabs>
                <w:tab w:val="left" w:pos="-720"/>
                <w:tab w:val="left" w:pos="-79"/>
              </w:tabs>
              <w:spacing w:after="120"/>
              <w:ind w:left="287" w:right="141"/>
              <w:jc w:val="right"/>
              <w:rPr>
                <w:lang w:val="en-GB" w:eastAsia="fr-FR"/>
              </w:rPr>
            </w:pPr>
            <w:r w:rsidRPr="00215D2F">
              <w:rPr>
                <w:lang w:val="en-GB" w:eastAsia="fr-FR"/>
              </w:rPr>
              <w:t>Approval No:</w:t>
            </w:r>
          </w:p>
        </w:tc>
        <w:tc>
          <w:tcPr>
            <w:tcW w:w="1560" w:type="dxa"/>
            <w:vAlign w:val="center"/>
          </w:tcPr>
          <w:p w:rsidR="00215D2F" w:rsidRPr="00215D2F" w:rsidRDefault="00215D2F" w:rsidP="00215D2F">
            <w:pPr>
              <w:tabs>
                <w:tab w:val="left" w:pos="-720"/>
                <w:tab w:val="left" w:pos="-79"/>
              </w:tabs>
              <w:spacing w:after="120"/>
              <w:jc w:val="center"/>
              <w:rPr>
                <w:lang w:val="en-GB" w:eastAsia="fr-FR"/>
              </w:rPr>
            </w:pPr>
          </w:p>
        </w:tc>
        <w:tc>
          <w:tcPr>
            <w:tcW w:w="1843" w:type="dxa"/>
            <w:vAlign w:val="center"/>
          </w:tcPr>
          <w:p w:rsidR="00215D2F" w:rsidRPr="00215D2F" w:rsidRDefault="00215D2F" w:rsidP="00215D2F">
            <w:pPr>
              <w:tabs>
                <w:tab w:val="left" w:pos="-720"/>
                <w:tab w:val="left" w:pos="-142"/>
              </w:tabs>
              <w:spacing w:after="120"/>
              <w:ind w:right="142"/>
              <w:jc w:val="right"/>
              <w:rPr>
                <w:strike/>
                <w:lang w:val="en-GB" w:eastAsia="fr-FR"/>
              </w:rPr>
            </w:pPr>
            <w:r w:rsidRPr="00215D2F">
              <w:rPr>
                <w:strike/>
                <w:highlight w:val="yellow"/>
                <w:lang w:val="en-GB" w:eastAsia="fr-FR"/>
              </w:rPr>
              <w:t>Extension No:</w:t>
            </w:r>
          </w:p>
        </w:tc>
        <w:tc>
          <w:tcPr>
            <w:tcW w:w="1559" w:type="dxa"/>
            <w:vAlign w:val="center"/>
          </w:tcPr>
          <w:p w:rsidR="00215D2F" w:rsidRPr="00215D2F" w:rsidRDefault="00215D2F" w:rsidP="00215D2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val="en-GB" w:eastAsia="fr-FR"/>
              </w:rPr>
            </w:pPr>
          </w:p>
        </w:tc>
      </w:tr>
      <w:tr w:rsidR="00215D2F" w:rsidRPr="00DF015B" w:rsidTr="00AF3863">
        <w:trPr>
          <w:trHeight w:val="20"/>
        </w:trPr>
        <w:tc>
          <w:tcPr>
            <w:tcW w:w="5812" w:type="dxa"/>
            <w:gridSpan w:val="3"/>
            <w:vAlign w:val="center"/>
          </w:tcPr>
          <w:p w:rsidR="00215D2F" w:rsidRPr="00215D2F" w:rsidRDefault="00215D2F" w:rsidP="00215D2F">
            <w:pPr>
              <w:tabs>
                <w:tab w:val="left" w:pos="-720"/>
                <w:tab w:val="left" w:pos="-79"/>
                <w:tab w:val="left" w:pos="5529"/>
              </w:tabs>
              <w:spacing w:after="120"/>
              <w:ind w:right="283"/>
              <w:jc w:val="right"/>
              <w:rPr>
                <w:lang w:val="fr-FR" w:eastAsia="fr-FR"/>
              </w:rPr>
            </w:pPr>
            <w:r w:rsidRPr="00215D2F">
              <w:rPr>
                <w:lang w:val="fr-FR" w:eastAsia="fr-FR"/>
              </w:rPr>
              <w:t xml:space="preserve">Unique Identifier (UI) (If applicable) </w:t>
            </w:r>
          </w:p>
        </w:tc>
        <w:tc>
          <w:tcPr>
            <w:tcW w:w="1559" w:type="dxa"/>
            <w:vAlign w:val="center"/>
          </w:tcPr>
          <w:p w:rsidR="00215D2F" w:rsidRPr="00215D2F" w:rsidRDefault="00215D2F" w:rsidP="00215D2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val="fr-FR" w:eastAsia="fr-FR"/>
              </w:rPr>
            </w:pPr>
          </w:p>
        </w:tc>
      </w:tr>
    </w:tbl>
    <w:p w:rsidR="001433A2" w:rsidRPr="00DF015B" w:rsidRDefault="00661CFB" w:rsidP="00E0045E">
      <w:pPr>
        <w:pStyle w:val="SingleTxtG"/>
        <w:spacing w:after="0" w:line="240" w:lineRule="auto"/>
        <w:ind w:left="2268" w:right="1133" w:hanging="1134"/>
        <w:rPr>
          <w:iCs/>
          <w:kern w:val="2"/>
          <w:lang w:eastAsia="ja-JP"/>
        </w:rPr>
      </w:pPr>
      <w:r w:rsidRPr="00DF015B">
        <w:rPr>
          <w:iCs/>
          <w:kern w:val="2"/>
          <w:lang w:eastAsia="ja-JP"/>
        </w:rPr>
        <w:t>"</w:t>
      </w:r>
    </w:p>
    <w:p w:rsidR="00C16987" w:rsidRPr="00DF015B" w:rsidRDefault="00C16987" w:rsidP="00E0045E">
      <w:pPr>
        <w:pStyle w:val="SingleTxtG"/>
        <w:spacing w:after="0" w:line="240" w:lineRule="auto"/>
        <w:ind w:left="2268" w:right="1133" w:hanging="1134"/>
        <w:rPr>
          <w:iCs/>
          <w:kern w:val="2"/>
          <w:lang w:eastAsia="ja-JP"/>
        </w:rPr>
      </w:pPr>
    </w:p>
    <w:p w:rsidR="00661CFB" w:rsidRPr="00DF015B" w:rsidRDefault="00661CFB" w:rsidP="00E0045E">
      <w:pPr>
        <w:pStyle w:val="SingleTxtG"/>
        <w:spacing w:after="0" w:line="240" w:lineRule="auto"/>
        <w:ind w:left="2268" w:right="1133" w:hanging="1134"/>
        <w:rPr>
          <w:iCs/>
          <w:kern w:val="2"/>
          <w:lang w:eastAsia="ja-JP"/>
        </w:rPr>
      </w:pPr>
    </w:p>
    <w:p w:rsidR="00661CFB" w:rsidRDefault="00661CFB" w:rsidP="00661CFB">
      <w:pPr>
        <w:pStyle w:val="SingleTxtG"/>
        <w:spacing w:after="0" w:line="240" w:lineRule="auto"/>
        <w:ind w:left="2268" w:right="1133" w:hanging="1134"/>
        <w:rPr>
          <w:iCs/>
          <w:kern w:val="2"/>
          <w:lang w:val="en-US" w:eastAsia="ja-JP"/>
        </w:rPr>
      </w:pPr>
      <w:r>
        <w:rPr>
          <w:i/>
          <w:iCs/>
          <w:kern w:val="2"/>
          <w:lang w:val="en-US" w:eastAsia="ja-JP"/>
        </w:rPr>
        <w:t xml:space="preserve">Document GRE/2018/03, Annex 1, </w:t>
      </w:r>
      <w:r>
        <w:rPr>
          <w:iCs/>
          <w:kern w:val="2"/>
          <w:lang w:val="en-US" w:eastAsia="ja-JP"/>
        </w:rPr>
        <w:t xml:space="preserve">amend to </w:t>
      </w:r>
      <w:r w:rsidRPr="001433A2">
        <w:t>read</w:t>
      </w:r>
      <w:r>
        <w:rPr>
          <w:iCs/>
          <w:kern w:val="2"/>
          <w:lang w:val="en-US" w:eastAsia="ja-JP"/>
        </w:rPr>
        <w:t>:</w:t>
      </w:r>
    </w:p>
    <w:p w:rsidR="00661CFB" w:rsidRDefault="00661CFB" w:rsidP="00661CFB">
      <w:pPr>
        <w:pStyle w:val="SingleTxtG"/>
        <w:spacing w:after="0" w:line="240" w:lineRule="auto"/>
        <w:ind w:left="2268" w:right="1133" w:hanging="1134"/>
        <w:rPr>
          <w:iCs/>
          <w:kern w:val="2"/>
          <w:lang w:val="en-US" w:eastAsia="ja-JP"/>
        </w:rPr>
      </w:pPr>
    </w:p>
    <w:p w:rsidR="00661CFB" w:rsidRDefault="00661CFB" w:rsidP="00661CFB">
      <w:pPr>
        <w:pStyle w:val="SingleTxtG"/>
        <w:spacing w:after="0" w:line="240" w:lineRule="auto"/>
        <w:ind w:left="2268" w:right="1133" w:hanging="1134"/>
        <w:rPr>
          <w:iCs/>
          <w:kern w:val="2"/>
          <w:lang w:val="en-US" w:eastAsia="ja-JP"/>
        </w:rPr>
      </w:pPr>
      <w:r>
        <w:rPr>
          <w:iCs/>
          <w:kern w:val="2"/>
          <w:lang w:val="en-US" w:eastAsia="ja-JP"/>
        </w:rPr>
        <w:t>" …</w:t>
      </w:r>
    </w:p>
    <w:p w:rsidR="00661CFB" w:rsidRPr="00661CFB" w:rsidRDefault="00661CFB" w:rsidP="00661CFB">
      <w:pPr>
        <w:suppressAutoHyphens/>
        <w:spacing w:before="120" w:after="120" w:line="240" w:lineRule="atLeast"/>
        <w:ind w:left="2268" w:right="851" w:hanging="1134"/>
        <w:jc w:val="both"/>
        <w:rPr>
          <w:rFonts w:ascii="Times New Roman" w:eastAsia="Times New Roman" w:hAnsi="Times New Roman" w:cs="Times New Roman"/>
          <w:sz w:val="20"/>
          <w:szCs w:val="20"/>
          <w:lang w:val="en-GB"/>
        </w:rPr>
      </w:pPr>
      <w:r w:rsidRPr="00661CFB">
        <w:rPr>
          <w:rFonts w:ascii="Times New Roman" w:eastAsia="Times New Roman" w:hAnsi="Times New Roman" w:cs="Times New Roman"/>
          <w:sz w:val="20"/>
          <w:szCs w:val="20"/>
          <w:lang w:val="en-GB"/>
        </w:rPr>
        <w:t>Class</w:t>
      </w:r>
      <w:r w:rsidRPr="00661CFB">
        <w:rPr>
          <w:rFonts w:ascii="Times New Roman" w:eastAsia="Times New Roman" w:hAnsi="Times New Roman" w:cs="Times New Roman"/>
          <w:sz w:val="20"/>
          <w:szCs w:val="20"/>
          <w:lang w:val="en-US"/>
        </w:rPr>
        <w:t xml:space="preserve"> of the device: ………</w:t>
      </w:r>
      <w:r w:rsidRPr="00661CFB">
        <w:rPr>
          <w:rFonts w:ascii="Times New Roman" w:eastAsia="Times New Roman" w:hAnsi="Times New Roman" w:cs="Times New Roman"/>
          <w:sz w:val="20"/>
          <w:szCs w:val="20"/>
          <w:lang w:val="en-US"/>
        </w:rPr>
        <w:tab/>
      </w:r>
      <w:r w:rsidRPr="00661CFB">
        <w:rPr>
          <w:rFonts w:ascii="Times New Roman" w:eastAsia="Times New Roman" w:hAnsi="Times New Roman" w:cs="Times New Roman"/>
          <w:sz w:val="20"/>
          <w:szCs w:val="20"/>
          <w:lang w:val="en-US"/>
        </w:rPr>
        <w:tab/>
      </w:r>
      <w:r w:rsidRPr="00661CFB">
        <w:rPr>
          <w:rFonts w:ascii="Times New Roman" w:eastAsia="Times New Roman" w:hAnsi="Times New Roman" w:cs="Times New Roman"/>
          <w:sz w:val="20"/>
          <w:szCs w:val="20"/>
          <w:lang w:val="en-US"/>
        </w:rPr>
        <w:tab/>
      </w:r>
      <w:r w:rsidRPr="00661CFB">
        <w:rPr>
          <w:rFonts w:ascii="Times New Roman" w:eastAsia="Times New Roman" w:hAnsi="Times New Roman" w:cs="Times New Roman"/>
          <w:strike/>
          <w:sz w:val="20"/>
          <w:szCs w:val="20"/>
          <w:highlight w:val="yellow"/>
          <w:lang w:val="en-US"/>
        </w:rPr>
        <w:t>[</w:t>
      </w:r>
      <w:r w:rsidRPr="00661CFB">
        <w:rPr>
          <w:rFonts w:ascii="Times New Roman" w:eastAsia="Times New Roman" w:hAnsi="Times New Roman" w:cs="Times New Roman"/>
          <w:sz w:val="20"/>
          <w:szCs w:val="20"/>
          <w:lang w:val="en-US"/>
        </w:rPr>
        <w:t>Change index: ……</w:t>
      </w:r>
      <w:r w:rsidRPr="00661CFB">
        <w:rPr>
          <w:rFonts w:ascii="Times New Roman" w:eastAsia="Times New Roman" w:hAnsi="Times New Roman" w:cs="Times New Roman"/>
          <w:strike/>
          <w:sz w:val="20"/>
          <w:szCs w:val="20"/>
          <w:highlight w:val="yellow"/>
          <w:lang w:val="en-US"/>
        </w:rPr>
        <w:t>]</w:t>
      </w:r>
    </w:p>
    <w:p w:rsidR="00661CFB" w:rsidRPr="00661CFB" w:rsidRDefault="00661CFB" w:rsidP="00661CFB">
      <w:pPr>
        <w:suppressAutoHyphens/>
        <w:spacing w:after="120" w:line="240" w:lineRule="atLeast"/>
        <w:ind w:left="2268" w:right="850" w:hanging="1134"/>
        <w:jc w:val="both"/>
        <w:rPr>
          <w:rFonts w:ascii="Times New Roman" w:eastAsia="Times New Roman" w:hAnsi="Times New Roman" w:cs="Times New Roman"/>
          <w:sz w:val="20"/>
          <w:szCs w:val="20"/>
          <w:lang w:val="en-GB"/>
        </w:rPr>
      </w:pPr>
      <w:proofErr w:type="gramStart"/>
      <w:r w:rsidRPr="00661CFB">
        <w:rPr>
          <w:rFonts w:ascii="Times New Roman" w:eastAsia="Times New Roman" w:hAnsi="Times New Roman" w:cs="Times New Roman"/>
          <w:sz w:val="20"/>
          <w:szCs w:val="20"/>
          <w:lang w:val="en-GB"/>
        </w:rPr>
        <w:t>Approval No.</w:t>
      </w:r>
      <w:proofErr w:type="gramEnd"/>
      <w:r w:rsidRPr="00661CFB">
        <w:rPr>
          <w:rFonts w:ascii="Times New Roman" w:eastAsia="Times New Roman" w:hAnsi="Times New Roman" w:cs="Times New Roman"/>
          <w:sz w:val="20"/>
          <w:szCs w:val="20"/>
          <w:lang w:val="en-GB"/>
        </w:rPr>
        <w:tab/>
        <w:t>…………………………….</w:t>
      </w:r>
      <w:r w:rsidRPr="00661CFB">
        <w:rPr>
          <w:rFonts w:ascii="Times New Roman" w:eastAsia="Times New Roman" w:hAnsi="Times New Roman" w:cs="Times New Roman"/>
          <w:sz w:val="20"/>
          <w:szCs w:val="20"/>
          <w:lang w:val="en-GB"/>
        </w:rPr>
        <w:tab/>
      </w:r>
      <w:proofErr w:type="gramStart"/>
      <w:r w:rsidRPr="00661CFB">
        <w:rPr>
          <w:rFonts w:ascii="Times New Roman" w:eastAsia="Times New Roman" w:hAnsi="Times New Roman" w:cs="Times New Roman"/>
          <w:strike/>
          <w:sz w:val="20"/>
          <w:szCs w:val="20"/>
          <w:highlight w:val="yellow"/>
          <w:lang w:val="en-GB"/>
        </w:rPr>
        <w:t>Extension No.</w:t>
      </w:r>
      <w:proofErr w:type="gramEnd"/>
      <w:r w:rsidRPr="00661CFB">
        <w:rPr>
          <w:rFonts w:ascii="Times New Roman" w:eastAsia="Times New Roman" w:hAnsi="Times New Roman" w:cs="Times New Roman"/>
          <w:strike/>
          <w:sz w:val="20"/>
          <w:szCs w:val="20"/>
          <w:highlight w:val="yellow"/>
          <w:lang w:val="en-GB"/>
        </w:rPr>
        <w:t xml:space="preserve"> …………….</w:t>
      </w:r>
    </w:p>
    <w:p w:rsidR="00661CFB" w:rsidRPr="00DF015B" w:rsidRDefault="00661CFB" w:rsidP="00661CFB">
      <w:pPr>
        <w:suppressAutoHyphens/>
        <w:spacing w:after="120" w:line="240" w:lineRule="atLeast"/>
        <w:ind w:left="2268" w:right="850" w:hanging="1134"/>
        <w:jc w:val="both"/>
        <w:rPr>
          <w:rFonts w:ascii="Times New Roman" w:eastAsia="Times New Roman" w:hAnsi="Times New Roman" w:cs="Times New Roman"/>
          <w:sz w:val="20"/>
          <w:szCs w:val="20"/>
          <w:lang w:val="en-GB"/>
        </w:rPr>
      </w:pPr>
      <w:r w:rsidRPr="00DF015B">
        <w:rPr>
          <w:rFonts w:ascii="Times New Roman" w:eastAsia="Times New Roman" w:hAnsi="Times New Roman" w:cs="Times New Roman"/>
          <w:sz w:val="20"/>
          <w:szCs w:val="20"/>
          <w:lang w:val="en-GB"/>
        </w:rPr>
        <w:t>Unique Identifier (UI) (If applicable): … …</w:t>
      </w:r>
    </w:p>
    <w:p w:rsidR="00661CFB" w:rsidRPr="00DF015B" w:rsidRDefault="00661CFB" w:rsidP="00661CFB">
      <w:pPr>
        <w:pStyle w:val="SingleTxtG"/>
        <w:spacing w:after="0" w:line="240" w:lineRule="auto"/>
        <w:ind w:left="2268" w:right="1133" w:hanging="1134"/>
        <w:rPr>
          <w:iCs/>
          <w:kern w:val="2"/>
          <w:lang w:eastAsia="ja-JP"/>
        </w:rPr>
      </w:pPr>
      <w:r w:rsidRPr="00DF015B">
        <w:rPr>
          <w:iCs/>
          <w:kern w:val="2"/>
          <w:lang w:eastAsia="ja-JP"/>
        </w:rPr>
        <w:t>…"</w:t>
      </w:r>
    </w:p>
    <w:p w:rsidR="00661CFB" w:rsidRPr="00DF015B" w:rsidRDefault="00661CFB" w:rsidP="00661CFB">
      <w:pPr>
        <w:pStyle w:val="SingleTxtG"/>
        <w:spacing w:after="0" w:line="240" w:lineRule="auto"/>
        <w:ind w:left="2268" w:right="1133" w:hanging="1134"/>
        <w:rPr>
          <w:iCs/>
          <w:kern w:val="2"/>
          <w:lang w:eastAsia="ja-JP"/>
        </w:rPr>
      </w:pPr>
    </w:p>
    <w:p w:rsidR="00661CFB" w:rsidRPr="00DF015B" w:rsidRDefault="00661CFB" w:rsidP="00661CFB">
      <w:pPr>
        <w:pStyle w:val="SingleTxtG"/>
        <w:spacing w:after="0" w:line="240" w:lineRule="auto"/>
        <w:ind w:left="2268" w:right="1133" w:hanging="1134"/>
        <w:rPr>
          <w:iCs/>
          <w:kern w:val="2"/>
          <w:lang w:eastAsia="ja-JP"/>
        </w:rPr>
      </w:pPr>
    </w:p>
    <w:p w:rsidR="00661CFB" w:rsidRDefault="00661CFB" w:rsidP="00661CFB">
      <w:pPr>
        <w:pStyle w:val="SingleTxtG"/>
        <w:spacing w:after="0" w:line="240" w:lineRule="auto"/>
        <w:ind w:left="2268" w:right="1133" w:hanging="1134"/>
        <w:rPr>
          <w:iCs/>
          <w:kern w:val="2"/>
          <w:lang w:val="en-US" w:eastAsia="ja-JP"/>
        </w:rPr>
      </w:pPr>
      <w:r>
        <w:rPr>
          <w:i/>
          <w:iCs/>
          <w:kern w:val="2"/>
          <w:lang w:val="en-US" w:eastAsia="ja-JP"/>
        </w:rPr>
        <w:t xml:space="preserve">Document GRE/2018/04, Annex 1, </w:t>
      </w:r>
      <w:r>
        <w:rPr>
          <w:iCs/>
          <w:kern w:val="2"/>
          <w:lang w:val="en-US" w:eastAsia="ja-JP"/>
        </w:rPr>
        <w:t xml:space="preserve">amend to </w:t>
      </w:r>
      <w:r w:rsidRPr="001433A2">
        <w:t>read</w:t>
      </w:r>
      <w:r>
        <w:rPr>
          <w:iCs/>
          <w:kern w:val="2"/>
          <w:lang w:val="en-US" w:eastAsia="ja-JP"/>
        </w:rPr>
        <w:t>:</w:t>
      </w:r>
    </w:p>
    <w:p w:rsidR="00661CFB" w:rsidRDefault="00661CFB" w:rsidP="00661CFB">
      <w:pPr>
        <w:pStyle w:val="SingleTxtG"/>
        <w:spacing w:after="0" w:line="240" w:lineRule="auto"/>
        <w:ind w:left="2268" w:right="1133" w:hanging="1134"/>
        <w:rPr>
          <w:iCs/>
          <w:kern w:val="2"/>
          <w:lang w:val="en-US" w:eastAsia="ja-JP"/>
        </w:rPr>
      </w:pPr>
    </w:p>
    <w:p w:rsidR="00661CFB" w:rsidRDefault="00661CFB" w:rsidP="00661CFB">
      <w:pPr>
        <w:pStyle w:val="SingleTxtG"/>
        <w:spacing w:after="0" w:line="240" w:lineRule="auto"/>
        <w:ind w:left="2268" w:right="1133" w:hanging="1134"/>
        <w:rPr>
          <w:iCs/>
          <w:kern w:val="2"/>
          <w:lang w:val="en-US" w:eastAsia="ja-JP"/>
        </w:rPr>
      </w:pPr>
      <w:r>
        <w:rPr>
          <w:iCs/>
          <w:kern w:val="2"/>
          <w:lang w:val="en-US" w:eastAsia="ja-JP"/>
        </w:rPr>
        <w:t>" …</w:t>
      </w:r>
    </w:p>
    <w:p w:rsidR="00661CFB" w:rsidRPr="00661CFB" w:rsidRDefault="00661CFB" w:rsidP="00661CFB">
      <w:pPr>
        <w:tabs>
          <w:tab w:val="left" w:pos="-867"/>
          <w:tab w:val="left" w:pos="-147"/>
        </w:tabs>
        <w:suppressAutoHyphens/>
        <w:spacing w:before="120" w:after="120" w:line="240" w:lineRule="atLeast"/>
        <w:ind w:left="1134" w:right="851"/>
        <w:rPr>
          <w:rFonts w:ascii="Times New Roman" w:eastAsia="Times New Roman" w:hAnsi="Times New Roman" w:cs="Times New Roman"/>
          <w:sz w:val="20"/>
          <w:szCs w:val="20"/>
          <w:lang w:val="en-GB"/>
        </w:rPr>
      </w:pPr>
      <w:r w:rsidRPr="00661CFB">
        <w:rPr>
          <w:rFonts w:ascii="Times New Roman" w:eastAsia="Times New Roman" w:hAnsi="Times New Roman" w:cs="Times New Roman"/>
          <w:sz w:val="20"/>
          <w:szCs w:val="20"/>
          <w:lang w:val="en-GB"/>
        </w:rPr>
        <w:t>Class of the device: ………</w:t>
      </w:r>
      <w:r w:rsidRPr="00661CFB">
        <w:rPr>
          <w:rFonts w:ascii="Times New Roman" w:eastAsia="Times New Roman" w:hAnsi="Times New Roman" w:cs="Times New Roman"/>
          <w:sz w:val="20"/>
          <w:szCs w:val="20"/>
          <w:lang w:val="en-GB"/>
        </w:rPr>
        <w:tab/>
      </w:r>
      <w:r w:rsidRPr="00661CFB">
        <w:rPr>
          <w:rFonts w:ascii="Times New Roman" w:eastAsia="Times New Roman" w:hAnsi="Times New Roman" w:cs="Times New Roman"/>
          <w:sz w:val="20"/>
          <w:szCs w:val="20"/>
          <w:lang w:val="en-GB"/>
        </w:rPr>
        <w:tab/>
      </w:r>
      <w:r w:rsidRPr="00661CFB">
        <w:rPr>
          <w:rFonts w:ascii="Times New Roman" w:eastAsia="Times New Roman" w:hAnsi="Times New Roman" w:cs="Times New Roman"/>
          <w:sz w:val="20"/>
          <w:szCs w:val="20"/>
          <w:lang w:val="en-GB"/>
        </w:rPr>
        <w:tab/>
      </w:r>
      <w:r w:rsidRPr="00661CFB">
        <w:rPr>
          <w:rFonts w:ascii="Times New Roman" w:eastAsia="Times New Roman" w:hAnsi="Times New Roman" w:cs="Times New Roman"/>
          <w:strike/>
          <w:sz w:val="20"/>
          <w:szCs w:val="20"/>
          <w:highlight w:val="yellow"/>
          <w:lang w:val="en-GB"/>
        </w:rPr>
        <w:t>[</w:t>
      </w:r>
      <w:r w:rsidRPr="00661CFB">
        <w:rPr>
          <w:rFonts w:ascii="Times New Roman" w:eastAsia="Times New Roman" w:hAnsi="Times New Roman" w:cs="Times New Roman"/>
          <w:sz w:val="20"/>
          <w:szCs w:val="20"/>
          <w:lang w:val="en-GB"/>
        </w:rPr>
        <w:t>Change index: ……</w:t>
      </w:r>
      <w:r w:rsidRPr="00661CFB">
        <w:rPr>
          <w:rFonts w:ascii="Times New Roman" w:eastAsia="Times New Roman" w:hAnsi="Times New Roman" w:cs="Times New Roman"/>
          <w:strike/>
          <w:sz w:val="20"/>
          <w:szCs w:val="20"/>
          <w:highlight w:val="yellow"/>
          <w:lang w:val="en-GB"/>
        </w:rPr>
        <w:t>]</w:t>
      </w:r>
    </w:p>
    <w:p w:rsidR="00661CFB" w:rsidRPr="00661CFB" w:rsidRDefault="00661CFB" w:rsidP="00661CFB">
      <w:pPr>
        <w:tabs>
          <w:tab w:val="left" w:pos="-867"/>
          <w:tab w:val="left" w:pos="-147"/>
        </w:tabs>
        <w:suppressAutoHyphens/>
        <w:spacing w:after="120" w:line="240" w:lineRule="atLeast"/>
        <w:ind w:left="1134" w:right="849"/>
        <w:rPr>
          <w:rFonts w:ascii="Times New Roman" w:eastAsia="Times New Roman" w:hAnsi="Times New Roman" w:cs="Times New Roman"/>
          <w:sz w:val="20"/>
          <w:szCs w:val="20"/>
          <w:lang w:val="en-GB"/>
        </w:rPr>
      </w:pPr>
      <w:r w:rsidRPr="00661CFB">
        <w:rPr>
          <w:rFonts w:ascii="Times New Roman" w:eastAsia="Times New Roman" w:hAnsi="Times New Roman" w:cs="Times New Roman"/>
          <w:sz w:val="20"/>
          <w:szCs w:val="20"/>
          <w:lang w:val="en-GB"/>
        </w:rPr>
        <w:t>Approval No: ......</w:t>
      </w:r>
      <w:r w:rsidRPr="00661CFB">
        <w:rPr>
          <w:rFonts w:ascii="Times New Roman" w:eastAsia="Times New Roman" w:hAnsi="Times New Roman" w:cs="Times New Roman"/>
          <w:sz w:val="20"/>
          <w:szCs w:val="20"/>
          <w:lang w:val="en-GB"/>
        </w:rPr>
        <w:tab/>
      </w:r>
      <w:r w:rsidRPr="00661CFB">
        <w:rPr>
          <w:rFonts w:ascii="Times New Roman" w:eastAsia="Times New Roman" w:hAnsi="Times New Roman" w:cs="Times New Roman"/>
          <w:sz w:val="20"/>
          <w:szCs w:val="20"/>
          <w:lang w:val="en-GB"/>
        </w:rPr>
        <w:tab/>
      </w:r>
      <w:r w:rsidRPr="00661CFB">
        <w:rPr>
          <w:rFonts w:ascii="Times New Roman" w:eastAsia="Times New Roman" w:hAnsi="Times New Roman" w:cs="Times New Roman"/>
          <w:sz w:val="20"/>
          <w:szCs w:val="20"/>
          <w:lang w:val="en-GB"/>
        </w:rPr>
        <w:tab/>
      </w:r>
      <w:r w:rsidRPr="00661CFB">
        <w:rPr>
          <w:rFonts w:ascii="Times New Roman" w:eastAsia="Times New Roman" w:hAnsi="Times New Roman" w:cs="Times New Roman"/>
          <w:sz w:val="20"/>
          <w:szCs w:val="20"/>
          <w:lang w:val="en-GB"/>
        </w:rPr>
        <w:tab/>
      </w:r>
      <w:r w:rsidRPr="00661CFB">
        <w:rPr>
          <w:rFonts w:ascii="Times New Roman" w:eastAsia="Times New Roman" w:hAnsi="Times New Roman" w:cs="Times New Roman"/>
          <w:strike/>
          <w:sz w:val="20"/>
          <w:szCs w:val="20"/>
          <w:highlight w:val="yellow"/>
          <w:lang w:val="en-GB"/>
        </w:rPr>
        <w:t>Extension No: ......</w:t>
      </w:r>
    </w:p>
    <w:p w:rsidR="00661CFB" w:rsidRPr="00DF015B" w:rsidRDefault="00661CFB" w:rsidP="00661CFB">
      <w:pPr>
        <w:tabs>
          <w:tab w:val="left" w:pos="-867"/>
          <w:tab w:val="left" w:pos="-147"/>
        </w:tabs>
        <w:suppressAutoHyphens/>
        <w:spacing w:after="120" w:line="240" w:lineRule="atLeast"/>
        <w:ind w:left="1134" w:right="849"/>
        <w:rPr>
          <w:rFonts w:ascii="Times New Roman" w:eastAsia="Times New Roman" w:hAnsi="Times New Roman" w:cs="Times New Roman"/>
          <w:sz w:val="20"/>
          <w:szCs w:val="20"/>
          <w:lang w:val="en-GB"/>
        </w:rPr>
      </w:pPr>
      <w:r w:rsidRPr="00DF015B">
        <w:rPr>
          <w:rFonts w:ascii="Times New Roman" w:eastAsia="Times New Roman" w:hAnsi="Times New Roman" w:cs="Times New Roman"/>
          <w:sz w:val="20"/>
          <w:szCs w:val="20"/>
          <w:lang w:val="en-GB"/>
        </w:rPr>
        <w:t>Unique Identifier (UI) (If applicable): … …</w:t>
      </w:r>
    </w:p>
    <w:p w:rsidR="00661CFB" w:rsidRPr="00DF015B" w:rsidRDefault="00661CFB" w:rsidP="00661CFB">
      <w:pPr>
        <w:pStyle w:val="SingleTxtG"/>
        <w:spacing w:after="0" w:line="240" w:lineRule="auto"/>
        <w:ind w:left="2268" w:right="1133" w:hanging="1134"/>
        <w:rPr>
          <w:iCs/>
          <w:kern w:val="2"/>
          <w:lang w:eastAsia="ja-JP"/>
        </w:rPr>
      </w:pPr>
      <w:r w:rsidRPr="00DF015B">
        <w:rPr>
          <w:iCs/>
          <w:kern w:val="2"/>
          <w:lang w:eastAsia="ja-JP"/>
        </w:rPr>
        <w:t>…"</w:t>
      </w:r>
    </w:p>
    <w:p w:rsidR="00661CFB" w:rsidRPr="00AF3863" w:rsidRDefault="00661CFB" w:rsidP="00AF3863">
      <w:pPr>
        <w:pStyle w:val="SingleTxtG"/>
        <w:spacing w:before="120"/>
        <w:rPr>
          <w:b/>
          <w:sz w:val="28"/>
          <w:szCs w:val="28"/>
        </w:rPr>
      </w:pPr>
    </w:p>
    <w:p w:rsidR="00A02ABA" w:rsidRPr="00E93275" w:rsidRDefault="00A02ABA" w:rsidP="00A02ABA">
      <w:pPr>
        <w:widowControl w:val="0"/>
        <w:spacing w:after="120" w:line="240" w:lineRule="auto"/>
        <w:ind w:left="1134" w:rightChars="562" w:right="1236" w:hanging="714"/>
        <w:jc w:val="both"/>
        <w:rPr>
          <w:rFonts w:ascii="Times New Roman" w:eastAsia="MS Mincho" w:hAnsi="Times New Roman" w:cs="Times New Roman"/>
          <w:b/>
          <w:kern w:val="2"/>
          <w:sz w:val="28"/>
          <w:lang w:val="en-US" w:eastAsia="ja-JP"/>
        </w:rPr>
      </w:pPr>
      <w:r w:rsidRPr="00024032">
        <w:rPr>
          <w:rFonts w:ascii="Times New Roman" w:eastAsia="MS Mincho" w:hAnsi="Times New Roman" w:cs="Times New Roman"/>
          <w:b/>
          <w:kern w:val="2"/>
          <w:sz w:val="28"/>
          <w:lang w:val="en-US" w:eastAsia="ja-JP"/>
        </w:rPr>
        <w:t>I</w:t>
      </w:r>
      <w:r w:rsidR="00AF3863" w:rsidRPr="00024032">
        <w:rPr>
          <w:rFonts w:ascii="Times New Roman" w:eastAsia="MS Mincho" w:hAnsi="Times New Roman" w:cs="Times New Roman"/>
          <w:b/>
          <w:kern w:val="2"/>
          <w:sz w:val="28"/>
          <w:lang w:val="en-US" w:eastAsia="ja-JP"/>
        </w:rPr>
        <w:t>I</w:t>
      </w:r>
      <w:r w:rsidRPr="00024032">
        <w:rPr>
          <w:rFonts w:ascii="Times New Roman" w:eastAsia="MS Mincho" w:hAnsi="Times New Roman" w:cs="Times New Roman"/>
          <w:b/>
          <w:kern w:val="2"/>
          <w:sz w:val="28"/>
          <w:lang w:val="en-US" w:eastAsia="ja-JP"/>
        </w:rPr>
        <w:t>I.</w:t>
      </w:r>
      <w:r w:rsidRPr="00024032">
        <w:rPr>
          <w:rFonts w:ascii="Times New Roman" w:eastAsia="MS Mincho" w:hAnsi="Times New Roman" w:cs="Times New Roman"/>
          <w:b/>
          <w:kern w:val="2"/>
          <w:sz w:val="28"/>
          <w:lang w:val="en-US" w:eastAsia="ja-JP"/>
        </w:rPr>
        <w:tab/>
      </w:r>
      <w:r w:rsidR="00AF3863" w:rsidRPr="00024032">
        <w:rPr>
          <w:rFonts w:ascii="Times New Roman" w:hAnsi="Times New Roman"/>
          <w:b/>
          <w:sz w:val="28"/>
          <w:szCs w:val="28"/>
          <w:lang w:val="en-GB"/>
        </w:rPr>
        <w:t xml:space="preserve">Proposal to </w:t>
      </w:r>
      <w:r w:rsidR="00AF3863" w:rsidRPr="00024032">
        <w:rPr>
          <w:rFonts w:ascii="Times New Roman" w:hAnsi="Times New Roman"/>
          <w:b/>
          <w:sz w:val="28"/>
          <w:szCs w:val="28"/>
          <w:lang w:val="en-US"/>
        </w:rPr>
        <w:t>correct</w:t>
      </w:r>
      <w:r w:rsidRPr="00024032">
        <w:rPr>
          <w:rFonts w:ascii="Times New Roman" w:eastAsia="MS Mincho" w:hAnsi="Times New Roman" w:cs="Times New Roman"/>
          <w:b/>
          <w:kern w:val="2"/>
          <w:sz w:val="28"/>
          <w:lang w:val="en-US" w:eastAsia="ja-JP"/>
        </w:rPr>
        <w:t xml:space="preserve"> wrong references in GRE/2018/</w:t>
      </w:r>
      <w:r w:rsidR="00AF3863" w:rsidRPr="00024032">
        <w:rPr>
          <w:rFonts w:ascii="Times New Roman" w:eastAsia="MS Mincho" w:hAnsi="Times New Roman" w:cs="Times New Roman"/>
          <w:b/>
          <w:kern w:val="2"/>
          <w:sz w:val="28"/>
          <w:lang w:val="en-US" w:eastAsia="ja-JP"/>
        </w:rPr>
        <w:t>04</w:t>
      </w:r>
      <w:r w:rsidRPr="00024032">
        <w:rPr>
          <w:rFonts w:ascii="Times New Roman" w:eastAsia="MS Mincho" w:hAnsi="Times New Roman" w:cs="Times New Roman"/>
          <w:b/>
          <w:kern w:val="2"/>
          <w:sz w:val="28"/>
          <w:lang w:val="en-US" w:eastAsia="ja-JP"/>
        </w:rPr>
        <w:t xml:space="preserve"> (</w:t>
      </w:r>
      <w:r w:rsidR="00AF3863" w:rsidRPr="00024032">
        <w:rPr>
          <w:rFonts w:ascii="Times New Roman" w:eastAsia="MS Mincho" w:hAnsi="Times New Roman" w:cs="Times New Roman"/>
          <w:b/>
          <w:kern w:val="2"/>
          <w:sz w:val="28"/>
          <w:lang w:val="en-US" w:eastAsia="ja-JP"/>
        </w:rPr>
        <w:t>RRD</w:t>
      </w:r>
      <w:r w:rsidRPr="00024032">
        <w:rPr>
          <w:rFonts w:ascii="Times New Roman" w:eastAsia="MS Mincho" w:hAnsi="Times New Roman" w:cs="Times New Roman"/>
          <w:b/>
          <w:kern w:val="2"/>
          <w:sz w:val="28"/>
          <w:lang w:val="en-US" w:eastAsia="ja-JP"/>
        </w:rPr>
        <w:t>)</w:t>
      </w:r>
    </w:p>
    <w:p w:rsidR="00A02ABA" w:rsidRDefault="00024032" w:rsidP="00A02ABA">
      <w:pPr>
        <w:pStyle w:val="SingleTxtG"/>
        <w:spacing w:after="0" w:line="240" w:lineRule="auto"/>
        <w:ind w:left="2268" w:right="1133" w:hanging="1134"/>
        <w:rPr>
          <w:iCs/>
          <w:kern w:val="2"/>
          <w:lang w:val="en-US" w:eastAsia="ja-JP"/>
        </w:rPr>
      </w:pPr>
      <w:r>
        <w:rPr>
          <w:i/>
          <w:iCs/>
          <w:kern w:val="2"/>
          <w:lang w:val="en-US" w:eastAsia="ja-JP"/>
        </w:rPr>
        <w:t>Text below Table A22-3</w:t>
      </w:r>
      <w:r w:rsidR="00A02ABA">
        <w:rPr>
          <w:i/>
          <w:iCs/>
          <w:kern w:val="2"/>
          <w:lang w:val="en-US" w:eastAsia="ja-JP"/>
        </w:rPr>
        <w:t xml:space="preserve">, </w:t>
      </w:r>
      <w:r w:rsidR="00A02ABA">
        <w:rPr>
          <w:iCs/>
          <w:kern w:val="2"/>
          <w:lang w:val="en-US" w:eastAsia="ja-JP"/>
        </w:rPr>
        <w:t xml:space="preserve">amend to </w:t>
      </w:r>
      <w:r w:rsidR="00A02ABA" w:rsidRPr="001433A2">
        <w:t>read</w:t>
      </w:r>
      <w:r w:rsidR="00A02ABA">
        <w:rPr>
          <w:iCs/>
          <w:kern w:val="2"/>
          <w:lang w:val="en-US" w:eastAsia="ja-JP"/>
        </w:rPr>
        <w:t>:</w:t>
      </w:r>
    </w:p>
    <w:p w:rsidR="00A02ABA" w:rsidRDefault="00A02ABA" w:rsidP="00A02ABA">
      <w:pPr>
        <w:pStyle w:val="SingleTxtG"/>
        <w:spacing w:after="0" w:line="240" w:lineRule="auto"/>
        <w:ind w:left="2268" w:right="1133" w:hanging="1134"/>
        <w:rPr>
          <w:iCs/>
          <w:kern w:val="2"/>
          <w:lang w:val="en-US" w:eastAsia="ja-JP"/>
        </w:rPr>
      </w:pPr>
    </w:p>
    <w:p w:rsidR="00024032" w:rsidRDefault="00A02ABA" w:rsidP="00024032">
      <w:pPr>
        <w:pStyle w:val="SingleTxtG"/>
        <w:ind w:right="1133"/>
        <w:rPr>
          <w:iCs/>
          <w:kern w:val="2"/>
          <w:lang w:val="en-US" w:eastAsia="ja-JP"/>
        </w:rPr>
      </w:pPr>
      <w:r w:rsidRPr="001F0E07">
        <w:rPr>
          <w:iCs/>
          <w:kern w:val="2"/>
          <w:lang w:val="en-US" w:eastAsia="ja-JP"/>
        </w:rPr>
        <w:t>“</w:t>
      </w:r>
      <w:r w:rsidR="00024032">
        <w:rPr>
          <w:iCs/>
          <w:kern w:val="2"/>
          <w:lang w:val="en-US" w:eastAsia="ja-JP"/>
        </w:rPr>
        <w:t>…</w:t>
      </w:r>
    </w:p>
    <w:p w:rsidR="00024032" w:rsidRDefault="00024032" w:rsidP="00024032">
      <w:pPr>
        <w:pStyle w:val="SingleTxtG"/>
        <w:ind w:right="1133"/>
        <w:rPr>
          <w:iCs/>
          <w:kern w:val="2"/>
          <w:lang w:val="en-US" w:eastAsia="ja-JP"/>
        </w:rPr>
      </w:pPr>
      <w:r w:rsidRPr="00024032">
        <w:rPr>
          <w:i/>
          <w:iCs/>
          <w:kern w:val="2"/>
          <w:vertAlign w:val="superscript"/>
          <w:lang w:val="en-US" w:eastAsia="ja-JP"/>
        </w:rPr>
        <w:t>d</w:t>
      </w:r>
      <w:r w:rsidRPr="00024032">
        <w:rPr>
          <w:iCs/>
          <w:kern w:val="2"/>
          <w:lang w:val="en-US" w:eastAsia="ja-JP"/>
        </w:rPr>
        <w:t xml:space="preserve"> </w:t>
      </w:r>
      <w:r>
        <w:rPr>
          <w:iCs/>
          <w:kern w:val="2"/>
          <w:lang w:val="en-US" w:eastAsia="ja-JP"/>
        </w:rPr>
        <w:tab/>
      </w:r>
      <w:r w:rsidRPr="00024032">
        <w:rPr>
          <w:iCs/>
          <w:kern w:val="2"/>
          <w:lang w:val="en-US" w:eastAsia="ja-JP"/>
        </w:rPr>
        <w:t xml:space="preserve">The data from Table 4 in CIE No. 85 </w:t>
      </w:r>
      <w:r w:rsidRPr="00024032">
        <w:rPr>
          <w:iCs/>
          <w:strike/>
          <w:kern w:val="2"/>
          <w:highlight w:val="yellow"/>
          <w:lang w:val="en-US" w:eastAsia="ja-JP"/>
        </w:rPr>
        <w:t>[1]</w:t>
      </w:r>
      <w:r w:rsidRPr="00024032">
        <w:rPr>
          <w:iCs/>
          <w:kern w:val="2"/>
          <w:lang w:val="en-US" w:eastAsia="ja-JP"/>
        </w:rPr>
        <w:t xml:space="preserve"> plus window glass was determined by multiplying the CIE No. 85, Table 4 data by the spectral transmittance of 3 mm thick window glass (see ISO 11341 </w:t>
      </w:r>
      <w:r w:rsidRPr="00024032">
        <w:rPr>
          <w:iCs/>
          <w:strike/>
          <w:kern w:val="2"/>
          <w:highlight w:val="yellow"/>
          <w:lang w:val="en-US" w:eastAsia="ja-JP"/>
        </w:rPr>
        <w:t>[2]</w:t>
      </w:r>
      <w:r w:rsidRPr="00024032">
        <w:rPr>
          <w:iCs/>
          <w:kern w:val="2"/>
          <w:lang w:val="en-US" w:eastAsia="ja-JP"/>
        </w:rPr>
        <w:t>). These data are target values for xenon-arc with window glass filters.</w:t>
      </w:r>
    </w:p>
    <w:p w:rsidR="00A02ABA" w:rsidRPr="001F0E07" w:rsidRDefault="00024032" w:rsidP="00024032">
      <w:pPr>
        <w:pStyle w:val="SingleTxtG"/>
        <w:ind w:right="1133"/>
        <w:rPr>
          <w:iCs/>
          <w:kern w:val="2"/>
          <w:lang w:val="en-US" w:eastAsia="ja-JP"/>
        </w:rPr>
      </w:pPr>
      <w:r>
        <w:rPr>
          <w:iCs/>
          <w:kern w:val="2"/>
          <w:lang w:val="en-US" w:eastAsia="ja-JP"/>
        </w:rPr>
        <w:t>…</w:t>
      </w:r>
      <w:r w:rsidR="00A02ABA" w:rsidRPr="001F0E07">
        <w:rPr>
          <w:iCs/>
          <w:kern w:val="2"/>
          <w:lang w:val="en-US" w:eastAsia="ja-JP"/>
        </w:rPr>
        <w:t>”</w:t>
      </w:r>
    </w:p>
    <w:p w:rsidR="00C224A3" w:rsidRDefault="00C224A3" w:rsidP="00CF515A">
      <w:pPr>
        <w:pStyle w:val="SingleTxtG"/>
        <w:spacing w:after="0" w:line="240" w:lineRule="auto"/>
        <w:ind w:left="2268" w:right="1133" w:hanging="1134"/>
        <w:rPr>
          <w:iCs/>
          <w:kern w:val="2"/>
          <w:lang w:val="en-US" w:eastAsia="ja-JP"/>
        </w:rPr>
      </w:pPr>
    </w:p>
    <w:p w:rsidR="00FE60AD" w:rsidRDefault="00FE60AD" w:rsidP="00CF515A">
      <w:pPr>
        <w:pStyle w:val="SingleTxtG"/>
        <w:spacing w:after="0" w:line="240" w:lineRule="auto"/>
        <w:ind w:left="2268" w:right="1133" w:hanging="1134"/>
        <w:rPr>
          <w:iCs/>
          <w:kern w:val="2"/>
          <w:lang w:val="en-US" w:eastAsia="ja-JP"/>
        </w:rPr>
      </w:pPr>
    </w:p>
    <w:p w:rsidR="00484FDF" w:rsidRDefault="00484FDF" w:rsidP="00484FDF">
      <w:pPr>
        <w:pStyle w:val="SingleTxtG"/>
        <w:spacing w:after="0" w:line="240" w:lineRule="auto"/>
        <w:ind w:left="2268" w:right="1133" w:hanging="1134"/>
        <w:rPr>
          <w:iCs/>
          <w:kern w:val="2"/>
          <w:lang w:val="en-US" w:eastAsia="ja-JP"/>
        </w:rPr>
      </w:pPr>
      <w:r>
        <w:rPr>
          <w:i/>
          <w:iCs/>
          <w:kern w:val="2"/>
          <w:lang w:val="en-US" w:eastAsia="ja-JP"/>
        </w:rPr>
        <w:t xml:space="preserve">Insert a new Annex 25 </w:t>
      </w:r>
      <w:r>
        <w:rPr>
          <w:iCs/>
          <w:kern w:val="2"/>
          <w:lang w:val="en-US" w:eastAsia="ja-JP"/>
        </w:rPr>
        <w:t xml:space="preserve">to </w:t>
      </w:r>
      <w:r w:rsidRPr="001433A2">
        <w:t>read</w:t>
      </w:r>
      <w:r>
        <w:rPr>
          <w:iCs/>
          <w:kern w:val="2"/>
          <w:lang w:val="en-US" w:eastAsia="ja-JP"/>
        </w:rPr>
        <w:t>:</w:t>
      </w:r>
    </w:p>
    <w:p w:rsidR="00484FDF" w:rsidRDefault="00484FDF" w:rsidP="00CF515A">
      <w:pPr>
        <w:pStyle w:val="SingleTxtG"/>
        <w:spacing w:after="0" w:line="240" w:lineRule="auto"/>
        <w:ind w:left="2268" w:right="1133" w:hanging="1134"/>
        <w:rPr>
          <w:iCs/>
          <w:kern w:val="2"/>
          <w:lang w:val="en-US" w:eastAsia="ja-JP"/>
        </w:rPr>
      </w:pPr>
    </w:p>
    <w:p w:rsidR="00484FDF" w:rsidRPr="00326A68" w:rsidRDefault="00484FDF" w:rsidP="00F86774">
      <w:pPr>
        <w:pStyle w:val="HChG"/>
        <w:spacing w:before="0"/>
        <w:rPr>
          <w:szCs w:val="28"/>
          <w:highlight w:val="yellow"/>
        </w:rPr>
      </w:pPr>
      <w:r>
        <w:rPr>
          <w:szCs w:val="28"/>
        </w:rPr>
        <w:tab/>
      </w:r>
      <w:r>
        <w:rPr>
          <w:szCs w:val="28"/>
        </w:rPr>
        <w:tab/>
      </w:r>
      <w:r w:rsidRPr="00326A68">
        <w:rPr>
          <w:szCs w:val="28"/>
          <w:highlight w:val="yellow"/>
        </w:rPr>
        <w:t>"Annex 2</w:t>
      </w:r>
      <w:r w:rsidR="00F86774" w:rsidRPr="00326A68">
        <w:rPr>
          <w:szCs w:val="28"/>
          <w:highlight w:val="yellow"/>
        </w:rPr>
        <w:t>5</w:t>
      </w:r>
    </w:p>
    <w:p w:rsidR="00484FDF" w:rsidRPr="00326A68" w:rsidRDefault="00484FDF" w:rsidP="00326A68">
      <w:pPr>
        <w:pStyle w:val="HChG"/>
        <w:spacing w:before="0"/>
        <w:ind w:firstLine="0"/>
        <w:rPr>
          <w:szCs w:val="28"/>
          <w:highlight w:val="yellow"/>
        </w:rPr>
      </w:pPr>
      <w:r w:rsidRPr="00326A68">
        <w:rPr>
          <w:iCs/>
          <w:szCs w:val="28"/>
          <w:highlight w:val="yellow"/>
        </w:rPr>
        <w:t>Guidelines for installation of rear marking plates on slow-moving vehicles (by construction) and their trailers</w:t>
      </w:r>
    </w:p>
    <w:p w:rsidR="00F86774" w:rsidRPr="00326A68" w:rsidRDefault="00484FDF" w:rsidP="00F86774">
      <w:pPr>
        <w:pStyle w:val="SingleTxtG"/>
        <w:spacing w:after="0"/>
        <w:ind w:left="2268" w:hanging="1134"/>
        <w:rPr>
          <w:b/>
          <w:iCs/>
          <w:kern w:val="2"/>
          <w:highlight w:val="yellow"/>
          <w:lang w:eastAsia="ja-JP"/>
        </w:rPr>
      </w:pPr>
      <w:r w:rsidRPr="00326A68">
        <w:rPr>
          <w:b/>
          <w:iCs/>
          <w:kern w:val="2"/>
          <w:highlight w:val="yellow"/>
          <w:lang w:eastAsia="ja-JP"/>
        </w:rPr>
        <w:t>1.</w:t>
      </w:r>
      <w:r w:rsidRPr="00326A68">
        <w:rPr>
          <w:b/>
          <w:iCs/>
          <w:kern w:val="2"/>
          <w:highlight w:val="yellow"/>
          <w:lang w:eastAsia="ja-JP"/>
        </w:rPr>
        <w:tab/>
        <w:t>It is recommended to the Governments to require on slow</w:t>
      </w:r>
      <w:r w:rsidRPr="00326A68">
        <w:rPr>
          <w:b/>
          <w:iCs/>
          <w:kern w:val="2"/>
          <w:highlight w:val="yellow"/>
          <w:lang w:eastAsia="ja-JP"/>
        </w:rPr>
        <w:noBreakHyphen/>
        <w:t>moving vehicles which, by construction, cannot travel faster than 30 km/h, "Rear marking plates for slow</w:t>
      </w:r>
      <w:r w:rsidRPr="00326A68">
        <w:rPr>
          <w:b/>
          <w:iCs/>
          <w:kern w:val="2"/>
          <w:highlight w:val="yellow"/>
          <w:lang w:eastAsia="ja-JP"/>
        </w:rPr>
        <w:noBreakHyphen/>
        <w:t xml:space="preserve">moving vehicles and their trailers" conforming </w:t>
      </w:r>
      <w:r w:rsidRPr="00326A68">
        <w:rPr>
          <w:b/>
          <w:iCs/>
          <w:kern w:val="2"/>
          <w:highlight w:val="yellow"/>
          <w:lang w:eastAsia="ja-JP"/>
        </w:rPr>
        <w:lastRenderedPageBreak/>
        <w:t>to this Regulation and the specific requirements relating to its scope in accordance with the guidelines given in this annex.</w:t>
      </w:r>
    </w:p>
    <w:p w:rsidR="00F86774" w:rsidRPr="00326A68" w:rsidRDefault="00F86774" w:rsidP="00F86774">
      <w:pPr>
        <w:pStyle w:val="SingleTxtG"/>
        <w:spacing w:after="0"/>
        <w:ind w:left="2268" w:hanging="1134"/>
        <w:rPr>
          <w:b/>
          <w:iCs/>
          <w:kern w:val="2"/>
          <w:highlight w:val="yellow"/>
          <w:lang w:eastAsia="ja-JP"/>
        </w:rPr>
      </w:pPr>
    </w:p>
    <w:p w:rsidR="00484FDF" w:rsidRPr="00326A68" w:rsidRDefault="00484FDF" w:rsidP="00484FDF">
      <w:pPr>
        <w:pStyle w:val="SingleTxtG"/>
        <w:ind w:left="2268" w:right="1133" w:hanging="1134"/>
        <w:rPr>
          <w:b/>
          <w:iCs/>
          <w:kern w:val="2"/>
          <w:highlight w:val="yellow"/>
          <w:u w:val="single"/>
          <w:lang w:eastAsia="ja-JP"/>
        </w:rPr>
      </w:pPr>
      <w:r w:rsidRPr="00326A68">
        <w:rPr>
          <w:b/>
          <w:iCs/>
          <w:kern w:val="2"/>
          <w:highlight w:val="yellow"/>
          <w:lang w:eastAsia="ja-JP"/>
        </w:rPr>
        <w:t>2.</w:t>
      </w:r>
      <w:r w:rsidRPr="00326A68">
        <w:rPr>
          <w:b/>
          <w:iCs/>
          <w:kern w:val="2"/>
          <w:highlight w:val="yellow"/>
          <w:lang w:eastAsia="ja-JP"/>
        </w:rPr>
        <w:tab/>
      </w:r>
      <w:r w:rsidRPr="00326A68">
        <w:rPr>
          <w:b/>
          <w:iCs/>
          <w:kern w:val="2"/>
          <w:highlight w:val="yellow"/>
          <w:u w:val="single"/>
          <w:lang w:eastAsia="ja-JP"/>
        </w:rPr>
        <w:t>Scope</w:t>
      </w:r>
    </w:p>
    <w:p w:rsidR="00484FDF" w:rsidRPr="00326A68" w:rsidRDefault="00484FDF" w:rsidP="00F86774">
      <w:pPr>
        <w:pStyle w:val="SingleTxtG"/>
        <w:spacing w:after="0"/>
        <w:ind w:left="2268"/>
        <w:rPr>
          <w:b/>
          <w:iCs/>
          <w:kern w:val="2"/>
          <w:highlight w:val="yellow"/>
          <w:lang w:eastAsia="ja-JP"/>
        </w:rPr>
      </w:pPr>
      <w:r w:rsidRPr="00326A68">
        <w:rPr>
          <w:b/>
          <w:iCs/>
          <w:kern w:val="2"/>
          <w:highlight w:val="yellow"/>
          <w:lang w:eastAsia="ja-JP"/>
        </w:rPr>
        <w:t>The main purpose of these guidelines is to establish requirements for installation, arrangement, position and geometric visibility of rear marking plates on slow</w:t>
      </w:r>
      <w:r w:rsidRPr="00326A68">
        <w:rPr>
          <w:b/>
          <w:iCs/>
          <w:kern w:val="2"/>
          <w:highlight w:val="yellow"/>
          <w:lang w:eastAsia="ja-JP"/>
        </w:rPr>
        <w:noBreakHyphen/>
        <w:t>moving vehicles and their trailers which, by construction, cannot travel faster than 30 km/h.  It increases the visibility and permits an easy identification of these vehicles.</w:t>
      </w:r>
    </w:p>
    <w:p w:rsidR="00484FDF" w:rsidRPr="00326A68" w:rsidRDefault="00484FDF" w:rsidP="00F86774">
      <w:pPr>
        <w:pStyle w:val="SingleTxtG"/>
        <w:spacing w:after="0"/>
        <w:ind w:left="2268" w:hanging="1134"/>
        <w:rPr>
          <w:b/>
          <w:iCs/>
          <w:kern w:val="2"/>
          <w:highlight w:val="yellow"/>
          <w:lang w:eastAsia="ja-JP"/>
        </w:rPr>
      </w:pPr>
    </w:p>
    <w:p w:rsidR="00484FDF" w:rsidRPr="00326A68" w:rsidRDefault="00484FDF" w:rsidP="00484FDF">
      <w:pPr>
        <w:pStyle w:val="SingleTxtG"/>
        <w:ind w:left="2268" w:right="1133" w:hanging="1134"/>
        <w:rPr>
          <w:b/>
          <w:iCs/>
          <w:kern w:val="2"/>
          <w:highlight w:val="yellow"/>
          <w:lang w:eastAsia="ja-JP"/>
        </w:rPr>
      </w:pPr>
      <w:r w:rsidRPr="00326A68">
        <w:rPr>
          <w:b/>
          <w:iCs/>
          <w:kern w:val="2"/>
          <w:highlight w:val="yellow"/>
          <w:lang w:eastAsia="ja-JP"/>
        </w:rPr>
        <w:t>3.</w:t>
      </w:r>
      <w:r w:rsidRPr="00326A68">
        <w:rPr>
          <w:b/>
          <w:iCs/>
          <w:kern w:val="2"/>
          <w:highlight w:val="yellow"/>
          <w:lang w:eastAsia="ja-JP"/>
        </w:rPr>
        <w:tab/>
      </w:r>
      <w:r w:rsidRPr="00326A68">
        <w:rPr>
          <w:b/>
          <w:iCs/>
          <w:kern w:val="2"/>
          <w:highlight w:val="yellow"/>
          <w:u w:val="single"/>
          <w:lang w:eastAsia="ja-JP"/>
        </w:rPr>
        <w:t>Number</w:t>
      </w:r>
    </w:p>
    <w:p w:rsidR="00484FDF" w:rsidRPr="00326A68" w:rsidRDefault="00484FDF" w:rsidP="00F86774">
      <w:pPr>
        <w:pStyle w:val="SingleTxtG"/>
        <w:spacing w:after="0"/>
        <w:ind w:left="2268"/>
        <w:rPr>
          <w:b/>
          <w:iCs/>
          <w:kern w:val="2"/>
          <w:highlight w:val="yellow"/>
          <w:lang w:eastAsia="ja-JP"/>
        </w:rPr>
      </w:pPr>
      <w:proofErr w:type="gramStart"/>
      <w:r w:rsidRPr="00326A68">
        <w:rPr>
          <w:b/>
          <w:iCs/>
          <w:kern w:val="2"/>
          <w:highlight w:val="yellow"/>
          <w:lang w:eastAsia="ja-JP"/>
        </w:rPr>
        <w:t>At least one.</w:t>
      </w:r>
      <w:proofErr w:type="gramEnd"/>
    </w:p>
    <w:p w:rsidR="00484FDF" w:rsidRPr="00326A68" w:rsidRDefault="00484FDF" w:rsidP="00F86774">
      <w:pPr>
        <w:pStyle w:val="SingleTxtG"/>
        <w:spacing w:after="0"/>
        <w:ind w:left="2268" w:hanging="1134"/>
        <w:rPr>
          <w:b/>
          <w:iCs/>
          <w:kern w:val="2"/>
          <w:highlight w:val="yellow"/>
          <w:lang w:eastAsia="ja-JP"/>
        </w:rPr>
      </w:pPr>
    </w:p>
    <w:p w:rsidR="00484FDF" w:rsidRPr="00326A68" w:rsidRDefault="00484FDF" w:rsidP="00484FDF">
      <w:pPr>
        <w:pStyle w:val="SingleTxtG"/>
        <w:ind w:left="2268" w:right="1133" w:hanging="1134"/>
        <w:rPr>
          <w:b/>
          <w:iCs/>
          <w:kern w:val="2"/>
          <w:highlight w:val="yellow"/>
          <w:lang w:eastAsia="ja-JP"/>
        </w:rPr>
      </w:pPr>
      <w:r w:rsidRPr="00326A68">
        <w:rPr>
          <w:b/>
          <w:iCs/>
          <w:kern w:val="2"/>
          <w:highlight w:val="yellow"/>
          <w:lang w:eastAsia="ja-JP"/>
        </w:rPr>
        <w:t>4.</w:t>
      </w:r>
      <w:r w:rsidRPr="00326A68">
        <w:rPr>
          <w:b/>
          <w:iCs/>
          <w:kern w:val="2"/>
          <w:highlight w:val="yellow"/>
          <w:lang w:eastAsia="ja-JP"/>
        </w:rPr>
        <w:tab/>
      </w:r>
      <w:r w:rsidRPr="00326A68">
        <w:rPr>
          <w:b/>
          <w:iCs/>
          <w:kern w:val="2"/>
          <w:highlight w:val="yellow"/>
          <w:u w:val="single"/>
          <w:lang w:eastAsia="ja-JP"/>
        </w:rPr>
        <w:t>Arrangement</w:t>
      </w:r>
    </w:p>
    <w:p w:rsidR="00484FDF" w:rsidRPr="00326A68" w:rsidRDefault="00484FDF" w:rsidP="00F86774">
      <w:pPr>
        <w:pStyle w:val="SingleTxtG"/>
        <w:ind w:left="2268" w:right="1133"/>
        <w:rPr>
          <w:b/>
          <w:iCs/>
          <w:kern w:val="2"/>
          <w:highlight w:val="yellow"/>
          <w:lang w:eastAsia="ja-JP"/>
        </w:rPr>
      </w:pPr>
      <w:r w:rsidRPr="00326A68">
        <w:rPr>
          <w:b/>
          <w:iCs/>
          <w:kern w:val="2"/>
          <w:highlight w:val="yellow"/>
          <w:lang w:eastAsia="ja-JP"/>
        </w:rPr>
        <w:t xml:space="preserve">The rear marking plate(s) shall be type approved and meet the requirements of this </w:t>
      </w:r>
      <w:r w:rsidR="00326A68" w:rsidRPr="00326A68">
        <w:rPr>
          <w:b/>
          <w:iCs/>
          <w:kern w:val="2"/>
          <w:highlight w:val="yellow"/>
          <w:lang w:eastAsia="ja-JP"/>
        </w:rPr>
        <w:t xml:space="preserve">UN </w:t>
      </w:r>
      <w:r w:rsidRPr="00326A68">
        <w:rPr>
          <w:b/>
          <w:iCs/>
          <w:kern w:val="2"/>
          <w:highlight w:val="yellow"/>
          <w:lang w:eastAsia="ja-JP"/>
        </w:rPr>
        <w:t>Regulation.</w:t>
      </w:r>
    </w:p>
    <w:p w:rsidR="00484FDF" w:rsidRPr="00326A68" w:rsidRDefault="00484FDF" w:rsidP="00F86774">
      <w:pPr>
        <w:pStyle w:val="SingleTxtG"/>
        <w:ind w:left="2268" w:right="1133"/>
        <w:rPr>
          <w:b/>
          <w:iCs/>
          <w:kern w:val="2"/>
          <w:highlight w:val="yellow"/>
          <w:lang w:eastAsia="ja-JP"/>
        </w:rPr>
      </w:pPr>
      <w:r w:rsidRPr="00326A68">
        <w:rPr>
          <w:b/>
          <w:iCs/>
          <w:kern w:val="2"/>
          <w:highlight w:val="yellow"/>
          <w:lang w:eastAsia="ja-JP"/>
        </w:rPr>
        <w:t>The apex of a rear marking plate shall be directed upwards.</w:t>
      </w:r>
    </w:p>
    <w:p w:rsidR="00484FDF" w:rsidRPr="00326A68" w:rsidRDefault="00484FDF" w:rsidP="00F86774">
      <w:pPr>
        <w:pStyle w:val="SingleTxtG"/>
        <w:ind w:left="2268" w:right="1133"/>
        <w:rPr>
          <w:b/>
          <w:iCs/>
          <w:kern w:val="2"/>
          <w:highlight w:val="yellow"/>
          <w:lang w:eastAsia="ja-JP"/>
        </w:rPr>
      </w:pPr>
      <w:r w:rsidRPr="00326A68">
        <w:rPr>
          <w:b/>
          <w:iCs/>
          <w:kern w:val="2"/>
          <w:highlight w:val="yellow"/>
          <w:lang w:eastAsia="ja-JP"/>
        </w:rPr>
        <w:t>Every part of a rear marking plate shall lie within 5</w:t>
      </w:r>
      <w:r w:rsidRPr="00326A68">
        <w:rPr>
          <w:b/>
          <w:iCs/>
          <w:kern w:val="2"/>
          <w:highlight w:val="yellow"/>
          <w:lang w:eastAsia="ja-JP"/>
        </w:rPr>
        <w:sym w:font="Symbol" w:char="F0B0"/>
      </w:r>
      <w:r w:rsidRPr="00326A68">
        <w:rPr>
          <w:b/>
          <w:iCs/>
          <w:kern w:val="2"/>
          <w:highlight w:val="yellow"/>
          <w:lang w:eastAsia="ja-JP"/>
        </w:rPr>
        <w:t xml:space="preserve"> of a transverse vertical plane at right angles to the longitudinal axis of the vehicle and shall face to the rear.</w:t>
      </w:r>
    </w:p>
    <w:p w:rsidR="00484FDF" w:rsidRPr="00326A68" w:rsidRDefault="00484FDF" w:rsidP="00F86774">
      <w:pPr>
        <w:pStyle w:val="SingleTxtG"/>
        <w:spacing w:after="0"/>
        <w:ind w:left="2268" w:hanging="1134"/>
        <w:rPr>
          <w:b/>
          <w:iCs/>
          <w:kern w:val="2"/>
          <w:highlight w:val="yellow"/>
          <w:lang w:eastAsia="ja-JP"/>
        </w:rPr>
      </w:pPr>
    </w:p>
    <w:p w:rsidR="00484FDF" w:rsidRPr="00326A68" w:rsidRDefault="00484FDF" w:rsidP="00484FDF">
      <w:pPr>
        <w:pStyle w:val="SingleTxtG"/>
        <w:ind w:left="2268" w:right="1133" w:hanging="1134"/>
        <w:rPr>
          <w:b/>
          <w:iCs/>
          <w:kern w:val="2"/>
          <w:highlight w:val="yellow"/>
          <w:lang w:eastAsia="ja-JP"/>
        </w:rPr>
      </w:pPr>
      <w:r w:rsidRPr="00326A68">
        <w:rPr>
          <w:b/>
          <w:iCs/>
          <w:kern w:val="2"/>
          <w:highlight w:val="yellow"/>
          <w:lang w:eastAsia="ja-JP"/>
        </w:rPr>
        <w:t>5.</w:t>
      </w:r>
      <w:r w:rsidRPr="00326A68">
        <w:rPr>
          <w:b/>
          <w:iCs/>
          <w:kern w:val="2"/>
          <w:highlight w:val="yellow"/>
          <w:lang w:eastAsia="ja-JP"/>
        </w:rPr>
        <w:tab/>
      </w:r>
      <w:r w:rsidRPr="00326A68">
        <w:rPr>
          <w:b/>
          <w:iCs/>
          <w:kern w:val="2"/>
          <w:highlight w:val="yellow"/>
          <w:u w:val="single"/>
          <w:lang w:eastAsia="ja-JP"/>
        </w:rPr>
        <w:t>Position</w:t>
      </w:r>
    </w:p>
    <w:p w:rsidR="00484FDF" w:rsidRPr="00326A68" w:rsidRDefault="00484FDF" w:rsidP="00326A68">
      <w:pPr>
        <w:pStyle w:val="SingleTxtG"/>
        <w:ind w:left="3544" w:right="1133" w:hanging="1276"/>
        <w:rPr>
          <w:b/>
          <w:iCs/>
          <w:kern w:val="2"/>
          <w:highlight w:val="yellow"/>
          <w:lang w:eastAsia="ja-JP"/>
        </w:rPr>
      </w:pPr>
      <w:r w:rsidRPr="00326A68">
        <w:rPr>
          <w:b/>
          <w:iCs/>
          <w:kern w:val="2"/>
          <w:highlight w:val="yellow"/>
          <w:lang w:eastAsia="ja-JP"/>
        </w:rPr>
        <w:t>In width:</w:t>
      </w:r>
      <w:r w:rsidRPr="00326A68">
        <w:rPr>
          <w:b/>
          <w:iCs/>
          <w:kern w:val="2"/>
          <w:highlight w:val="yellow"/>
          <w:lang w:eastAsia="ja-JP"/>
        </w:rPr>
        <w:tab/>
        <w:t>If there is only one rear marking plate, it must be on the opposite side of the median longitudinal plane of the vehicle to the direction of traffic prescribed in the country of registration.</w:t>
      </w:r>
    </w:p>
    <w:p w:rsidR="00484FDF" w:rsidRPr="00326A68" w:rsidRDefault="00484FDF" w:rsidP="00326A68">
      <w:pPr>
        <w:pStyle w:val="SingleTxtG"/>
        <w:ind w:left="3544" w:right="1133" w:hanging="1276"/>
        <w:rPr>
          <w:b/>
          <w:iCs/>
          <w:kern w:val="2"/>
          <w:highlight w:val="yellow"/>
          <w:lang w:eastAsia="ja-JP"/>
        </w:rPr>
      </w:pPr>
      <w:r w:rsidRPr="00326A68">
        <w:rPr>
          <w:b/>
          <w:iCs/>
          <w:kern w:val="2"/>
          <w:highlight w:val="yellow"/>
          <w:lang w:eastAsia="ja-JP"/>
        </w:rPr>
        <w:t>In height:</w:t>
      </w:r>
      <w:r w:rsidRPr="00326A68">
        <w:rPr>
          <w:b/>
          <w:iCs/>
          <w:kern w:val="2"/>
          <w:highlight w:val="yellow"/>
          <w:lang w:eastAsia="ja-JP"/>
        </w:rPr>
        <w:tab/>
        <w:t>Above the ground, not less than 250 mm (lower edge), not more than</w:t>
      </w:r>
      <w:r w:rsidR="00F86774" w:rsidRPr="00326A68">
        <w:rPr>
          <w:b/>
          <w:iCs/>
          <w:kern w:val="2"/>
          <w:highlight w:val="yellow"/>
          <w:lang w:eastAsia="ja-JP"/>
        </w:rPr>
        <w:t xml:space="preserve"> </w:t>
      </w:r>
      <w:r w:rsidRPr="00326A68">
        <w:rPr>
          <w:b/>
          <w:iCs/>
          <w:kern w:val="2"/>
          <w:highlight w:val="yellow"/>
          <w:lang w:eastAsia="ja-JP"/>
        </w:rPr>
        <w:t>1,500 mm (upper edge).</w:t>
      </w:r>
    </w:p>
    <w:p w:rsidR="00484FDF" w:rsidRPr="00326A68" w:rsidRDefault="00484FDF" w:rsidP="00326A68">
      <w:pPr>
        <w:pStyle w:val="SingleTxtG"/>
        <w:ind w:left="3544" w:right="1133" w:hanging="1276"/>
        <w:rPr>
          <w:b/>
          <w:iCs/>
          <w:kern w:val="2"/>
          <w:highlight w:val="yellow"/>
          <w:lang w:eastAsia="ja-JP"/>
        </w:rPr>
      </w:pPr>
      <w:r w:rsidRPr="00326A68">
        <w:rPr>
          <w:b/>
          <w:iCs/>
          <w:kern w:val="2"/>
          <w:highlight w:val="yellow"/>
          <w:lang w:eastAsia="ja-JP"/>
        </w:rPr>
        <w:t>In length:</w:t>
      </w:r>
      <w:r w:rsidRPr="00326A68">
        <w:rPr>
          <w:b/>
          <w:iCs/>
          <w:kern w:val="2"/>
          <w:highlight w:val="yellow"/>
          <w:lang w:eastAsia="ja-JP"/>
        </w:rPr>
        <w:tab/>
        <w:t>At the rear of the vehicle.</w:t>
      </w:r>
    </w:p>
    <w:p w:rsidR="00484FDF" w:rsidRPr="00326A68" w:rsidRDefault="00484FDF" w:rsidP="00F86774">
      <w:pPr>
        <w:pStyle w:val="SingleTxtG"/>
        <w:spacing w:after="0"/>
        <w:ind w:left="2268" w:hanging="1134"/>
        <w:rPr>
          <w:b/>
          <w:iCs/>
          <w:kern w:val="2"/>
          <w:highlight w:val="yellow"/>
          <w:lang w:eastAsia="ja-JP"/>
        </w:rPr>
      </w:pPr>
    </w:p>
    <w:p w:rsidR="00484FDF" w:rsidRPr="00326A68" w:rsidRDefault="00484FDF" w:rsidP="00484FDF">
      <w:pPr>
        <w:pStyle w:val="SingleTxtG"/>
        <w:ind w:left="2268" w:right="1133" w:hanging="1134"/>
        <w:rPr>
          <w:b/>
          <w:iCs/>
          <w:kern w:val="2"/>
          <w:highlight w:val="yellow"/>
          <w:lang w:eastAsia="ja-JP"/>
        </w:rPr>
      </w:pPr>
      <w:r w:rsidRPr="00326A68">
        <w:rPr>
          <w:b/>
          <w:iCs/>
          <w:kern w:val="2"/>
          <w:highlight w:val="yellow"/>
          <w:lang w:eastAsia="ja-JP"/>
        </w:rPr>
        <w:t>6.</w:t>
      </w:r>
      <w:r w:rsidRPr="00326A68">
        <w:rPr>
          <w:b/>
          <w:iCs/>
          <w:kern w:val="2"/>
          <w:highlight w:val="yellow"/>
          <w:lang w:eastAsia="ja-JP"/>
        </w:rPr>
        <w:tab/>
      </w:r>
      <w:r w:rsidRPr="00326A68">
        <w:rPr>
          <w:b/>
          <w:iCs/>
          <w:kern w:val="2"/>
          <w:highlight w:val="yellow"/>
          <w:u w:val="single"/>
          <w:lang w:eastAsia="ja-JP"/>
        </w:rPr>
        <w:t>Geometric visibility</w:t>
      </w:r>
    </w:p>
    <w:p w:rsidR="00484FDF" w:rsidRPr="00326A68" w:rsidRDefault="00484FDF" w:rsidP="00326A68">
      <w:pPr>
        <w:pStyle w:val="SingleTxtG"/>
        <w:ind w:left="4253" w:right="1133" w:hanging="1985"/>
        <w:rPr>
          <w:b/>
          <w:iCs/>
          <w:kern w:val="2"/>
          <w:highlight w:val="yellow"/>
          <w:lang w:eastAsia="ja-JP"/>
        </w:rPr>
      </w:pPr>
      <w:r w:rsidRPr="00326A68">
        <w:rPr>
          <w:b/>
          <w:iCs/>
          <w:kern w:val="2"/>
          <w:highlight w:val="yellow"/>
          <w:lang w:eastAsia="ja-JP"/>
        </w:rPr>
        <w:t>Horizontal angle:</w:t>
      </w:r>
      <w:r w:rsidRPr="00326A68">
        <w:rPr>
          <w:b/>
          <w:iCs/>
          <w:kern w:val="2"/>
          <w:highlight w:val="yellow"/>
          <w:lang w:eastAsia="ja-JP"/>
        </w:rPr>
        <w:tab/>
        <w:t>30</w:t>
      </w:r>
      <w:r w:rsidRPr="00326A68">
        <w:rPr>
          <w:b/>
          <w:iCs/>
          <w:kern w:val="2"/>
          <w:highlight w:val="yellow"/>
          <w:lang w:eastAsia="ja-JP"/>
        </w:rPr>
        <w:sym w:font="Symbol" w:char="F0B0"/>
      </w:r>
      <w:r w:rsidRPr="00326A68">
        <w:rPr>
          <w:b/>
          <w:iCs/>
          <w:kern w:val="2"/>
          <w:highlight w:val="yellow"/>
          <w:lang w:eastAsia="ja-JP"/>
        </w:rPr>
        <w:t xml:space="preserve"> inwards and outwards, covering by indispensable constructional parts of the vehicle up to 10 per cent of the rear marking plate surface is permitted;</w:t>
      </w:r>
    </w:p>
    <w:p w:rsidR="00484FDF" w:rsidRPr="00326A68" w:rsidRDefault="00484FDF" w:rsidP="00326A68">
      <w:pPr>
        <w:pStyle w:val="SingleTxtG"/>
        <w:ind w:left="3544" w:right="1133" w:hanging="1276"/>
        <w:rPr>
          <w:b/>
          <w:iCs/>
          <w:kern w:val="2"/>
          <w:highlight w:val="yellow"/>
          <w:lang w:eastAsia="ja-JP"/>
        </w:rPr>
      </w:pPr>
      <w:r w:rsidRPr="00326A68">
        <w:rPr>
          <w:b/>
          <w:iCs/>
          <w:kern w:val="2"/>
          <w:highlight w:val="yellow"/>
          <w:lang w:eastAsia="ja-JP"/>
        </w:rPr>
        <w:t>Vertical angle:</w:t>
      </w:r>
      <w:r w:rsidRPr="00326A68">
        <w:rPr>
          <w:b/>
          <w:iCs/>
          <w:kern w:val="2"/>
          <w:highlight w:val="yellow"/>
          <w:lang w:eastAsia="ja-JP"/>
        </w:rPr>
        <w:tab/>
      </w:r>
      <w:r w:rsidR="00326A68" w:rsidRPr="00326A68">
        <w:rPr>
          <w:b/>
          <w:iCs/>
          <w:kern w:val="2"/>
          <w:highlight w:val="yellow"/>
          <w:lang w:eastAsia="ja-JP"/>
        </w:rPr>
        <w:tab/>
      </w:r>
      <w:r w:rsidRPr="00326A68">
        <w:rPr>
          <w:b/>
          <w:iCs/>
          <w:kern w:val="2"/>
          <w:highlight w:val="yellow"/>
          <w:lang w:eastAsia="ja-JP"/>
        </w:rPr>
        <w:t>15</w:t>
      </w:r>
      <w:r w:rsidRPr="00326A68">
        <w:rPr>
          <w:b/>
          <w:iCs/>
          <w:kern w:val="2"/>
          <w:highlight w:val="yellow"/>
          <w:lang w:eastAsia="ja-JP"/>
        </w:rPr>
        <w:sym w:font="Symbol" w:char="F0B0"/>
      </w:r>
      <w:r w:rsidRPr="00326A68">
        <w:rPr>
          <w:b/>
          <w:iCs/>
          <w:kern w:val="2"/>
          <w:highlight w:val="yellow"/>
          <w:lang w:eastAsia="ja-JP"/>
        </w:rPr>
        <w:t xml:space="preserve"> above and below the horizontal;</w:t>
      </w:r>
    </w:p>
    <w:p w:rsidR="00484FDF" w:rsidRPr="00326A68" w:rsidRDefault="00484FDF" w:rsidP="00326A68">
      <w:pPr>
        <w:pStyle w:val="SingleTxtG"/>
        <w:ind w:left="3544" w:right="1133" w:hanging="1276"/>
        <w:rPr>
          <w:b/>
          <w:iCs/>
          <w:kern w:val="2"/>
          <w:lang w:eastAsia="ja-JP"/>
        </w:rPr>
      </w:pPr>
      <w:r w:rsidRPr="00326A68">
        <w:rPr>
          <w:b/>
          <w:iCs/>
          <w:kern w:val="2"/>
          <w:highlight w:val="yellow"/>
          <w:lang w:eastAsia="ja-JP"/>
        </w:rPr>
        <w:t>Orientation:</w:t>
      </w:r>
      <w:r w:rsidR="00326A68" w:rsidRPr="00326A68">
        <w:rPr>
          <w:b/>
          <w:iCs/>
          <w:kern w:val="2"/>
          <w:highlight w:val="yellow"/>
          <w:lang w:eastAsia="ja-JP"/>
        </w:rPr>
        <w:tab/>
      </w:r>
      <w:r w:rsidRPr="00326A68">
        <w:rPr>
          <w:b/>
          <w:iCs/>
          <w:kern w:val="2"/>
          <w:highlight w:val="yellow"/>
          <w:lang w:eastAsia="ja-JP"/>
        </w:rPr>
        <w:tab/>
        <w:t>rearwards.</w:t>
      </w:r>
    </w:p>
    <w:p w:rsidR="00484FDF" w:rsidRPr="00326A68" w:rsidRDefault="00484FDF" w:rsidP="00CF515A">
      <w:pPr>
        <w:pStyle w:val="SingleTxtG"/>
        <w:spacing w:after="0" w:line="240" w:lineRule="auto"/>
        <w:ind w:left="2268" w:right="1133" w:hanging="1134"/>
        <w:rPr>
          <w:b/>
          <w:iCs/>
          <w:kern w:val="2"/>
          <w:lang w:val="en-US" w:eastAsia="ja-JP"/>
        </w:rPr>
      </w:pPr>
    </w:p>
    <w:p w:rsidR="00112F88" w:rsidRDefault="00112F88" w:rsidP="00112F88">
      <w:pPr>
        <w:pStyle w:val="SingleTxtG"/>
        <w:spacing w:after="0" w:line="240" w:lineRule="auto"/>
        <w:ind w:left="2268" w:right="1133" w:hanging="1134"/>
        <w:rPr>
          <w:iCs/>
          <w:kern w:val="2"/>
          <w:lang w:val="en-US" w:eastAsia="ja-JP"/>
        </w:rPr>
      </w:pPr>
    </w:p>
    <w:p w:rsidR="00112F88" w:rsidRDefault="00112F88" w:rsidP="00112F88">
      <w:pPr>
        <w:pStyle w:val="SingleTxtG"/>
        <w:spacing w:after="0" w:line="240" w:lineRule="auto"/>
        <w:ind w:left="2268" w:right="1133" w:hanging="1134"/>
        <w:rPr>
          <w:iCs/>
          <w:kern w:val="2"/>
          <w:lang w:val="en-US" w:eastAsia="ja-JP"/>
        </w:rPr>
      </w:pPr>
      <w:r>
        <w:rPr>
          <w:i/>
          <w:iCs/>
          <w:kern w:val="2"/>
          <w:lang w:val="en-US" w:eastAsia="ja-JP"/>
        </w:rPr>
        <w:t xml:space="preserve">Update "Contents" </w:t>
      </w:r>
      <w:r>
        <w:rPr>
          <w:iCs/>
          <w:kern w:val="2"/>
          <w:lang w:val="en-US" w:eastAsia="ja-JP"/>
        </w:rPr>
        <w:t xml:space="preserve">to </w:t>
      </w:r>
      <w:r w:rsidRPr="001433A2">
        <w:t>read</w:t>
      </w:r>
      <w:r>
        <w:rPr>
          <w:iCs/>
          <w:kern w:val="2"/>
          <w:lang w:val="en-US" w:eastAsia="ja-JP"/>
        </w:rPr>
        <w:t>:</w:t>
      </w:r>
    </w:p>
    <w:p w:rsidR="00112F88" w:rsidRDefault="00112F88" w:rsidP="00112F88">
      <w:pPr>
        <w:pStyle w:val="SingleTxtG"/>
        <w:spacing w:after="0" w:line="240" w:lineRule="auto"/>
        <w:ind w:left="2268" w:right="1133" w:hanging="1134"/>
        <w:rPr>
          <w:iCs/>
          <w:kern w:val="2"/>
          <w:lang w:val="en-US" w:eastAsia="ja-JP"/>
        </w:rPr>
      </w:pPr>
    </w:p>
    <w:p w:rsidR="00834762" w:rsidRDefault="00834762" w:rsidP="00CF515A">
      <w:pPr>
        <w:pStyle w:val="SingleTxtG"/>
        <w:spacing w:after="0" w:line="240" w:lineRule="auto"/>
        <w:ind w:left="2268" w:right="1133" w:hanging="1134"/>
        <w:rPr>
          <w:iCs/>
          <w:kern w:val="2"/>
          <w:lang w:eastAsia="ja-JP"/>
        </w:rPr>
      </w:pPr>
      <w:r>
        <w:rPr>
          <w:iCs/>
          <w:kern w:val="2"/>
          <w:lang w:eastAsia="ja-JP"/>
        </w:rPr>
        <w:t>"…</w:t>
      </w:r>
    </w:p>
    <w:p w:rsidR="00484FDF" w:rsidRDefault="00834762" w:rsidP="00CF515A">
      <w:pPr>
        <w:pStyle w:val="SingleTxtG"/>
        <w:spacing w:after="0" w:line="240" w:lineRule="auto"/>
        <w:ind w:left="2268" w:right="1133" w:hanging="1134"/>
        <w:rPr>
          <w:iCs/>
          <w:kern w:val="2"/>
          <w:lang w:eastAsia="ja-JP"/>
        </w:rPr>
      </w:pPr>
      <w:r w:rsidRPr="00834762">
        <w:rPr>
          <w:iCs/>
          <w:kern w:val="2"/>
          <w:lang w:eastAsia="ja-JP"/>
        </w:rPr>
        <w:t xml:space="preserve">24 </w:t>
      </w:r>
      <w:r w:rsidRPr="00834762">
        <w:rPr>
          <w:iCs/>
          <w:kern w:val="2"/>
          <w:lang w:eastAsia="ja-JP"/>
        </w:rPr>
        <w:tab/>
        <w:t>Examples of arrangement of approval marks</w:t>
      </w:r>
      <w:r w:rsidRPr="00834762">
        <w:rPr>
          <w:iCs/>
          <w:kern w:val="2"/>
          <w:lang w:eastAsia="ja-JP"/>
        </w:rPr>
        <w:tab/>
      </w:r>
      <w:r w:rsidRPr="00834762">
        <w:rPr>
          <w:iCs/>
          <w:kern w:val="2"/>
          <w:lang w:eastAsia="ja-JP"/>
        </w:rPr>
        <w:tab/>
      </w:r>
      <w:r>
        <w:rPr>
          <w:iCs/>
          <w:kern w:val="2"/>
          <w:lang w:eastAsia="ja-JP"/>
        </w:rPr>
        <w:tab/>
      </w:r>
      <w:r w:rsidRPr="00834762">
        <w:rPr>
          <w:iCs/>
          <w:kern w:val="2"/>
          <w:lang w:eastAsia="ja-JP"/>
        </w:rPr>
        <w:t>91</w:t>
      </w:r>
    </w:p>
    <w:p w:rsidR="00834762" w:rsidRPr="00834762" w:rsidRDefault="00834762" w:rsidP="00834762">
      <w:pPr>
        <w:pStyle w:val="SingleTxtG"/>
        <w:spacing w:after="0" w:line="240" w:lineRule="auto"/>
        <w:ind w:left="2268" w:right="1133" w:hanging="1134"/>
        <w:rPr>
          <w:b/>
          <w:iCs/>
          <w:kern w:val="2"/>
          <w:highlight w:val="yellow"/>
          <w:lang w:eastAsia="ja-JP"/>
        </w:rPr>
      </w:pPr>
      <w:r w:rsidRPr="00834762">
        <w:rPr>
          <w:b/>
          <w:iCs/>
          <w:kern w:val="2"/>
          <w:highlight w:val="yellow"/>
          <w:lang w:eastAsia="ja-JP"/>
        </w:rPr>
        <w:t>25</w:t>
      </w:r>
      <w:r w:rsidRPr="00834762">
        <w:rPr>
          <w:b/>
          <w:iCs/>
          <w:kern w:val="2"/>
          <w:highlight w:val="yellow"/>
          <w:lang w:eastAsia="ja-JP"/>
        </w:rPr>
        <w:tab/>
        <w:t xml:space="preserve">Guidelines for installation of rear marking plates on </w:t>
      </w:r>
    </w:p>
    <w:p w:rsidR="00834762" w:rsidRDefault="00834762" w:rsidP="00834762">
      <w:pPr>
        <w:pStyle w:val="SingleTxtG"/>
        <w:spacing w:after="0" w:line="240" w:lineRule="auto"/>
        <w:ind w:left="2268" w:right="1133"/>
        <w:rPr>
          <w:iCs/>
          <w:kern w:val="2"/>
          <w:lang w:eastAsia="ja-JP"/>
        </w:rPr>
      </w:pPr>
      <w:proofErr w:type="gramStart"/>
      <w:r w:rsidRPr="00834762">
        <w:rPr>
          <w:b/>
          <w:iCs/>
          <w:kern w:val="2"/>
          <w:highlight w:val="yellow"/>
          <w:lang w:eastAsia="ja-JP"/>
        </w:rPr>
        <w:t>slow-moving</w:t>
      </w:r>
      <w:proofErr w:type="gramEnd"/>
      <w:r w:rsidRPr="00834762">
        <w:rPr>
          <w:b/>
          <w:iCs/>
          <w:kern w:val="2"/>
          <w:highlight w:val="yellow"/>
          <w:lang w:eastAsia="ja-JP"/>
        </w:rPr>
        <w:t xml:space="preserve"> vehicles (by construction) and their trailers</w:t>
      </w:r>
      <w:r w:rsidRPr="00834762">
        <w:rPr>
          <w:b/>
          <w:iCs/>
          <w:kern w:val="2"/>
          <w:highlight w:val="yellow"/>
          <w:lang w:eastAsia="ja-JP"/>
        </w:rPr>
        <w:tab/>
      </w:r>
      <w:r w:rsidRPr="00834762">
        <w:rPr>
          <w:b/>
          <w:iCs/>
          <w:kern w:val="2"/>
          <w:highlight w:val="yellow"/>
          <w:lang w:eastAsia="ja-JP"/>
        </w:rPr>
        <w:tab/>
        <w:t>94</w:t>
      </w:r>
      <w:r>
        <w:rPr>
          <w:iCs/>
          <w:kern w:val="2"/>
          <w:lang w:eastAsia="ja-JP"/>
        </w:rPr>
        <w:t>"</w:t>
      </w:r>
    </w:p>
    <w:p w:rsidR="00834762" w:rsidRDefault="00834762" w:rsidP="00834762">
      <w:pPr>
        <w:pStyle w:val="SingleTxtG"/>
        <w:spacing w:after="0" w:line="240" w:lineRule="auto"/>
        <w:ind w:left="2268" w:right="1133"/>
        <w:rPr>
          <w:lang w:eastAsia="ja-JP"/>
        </w:rPr>
      </w:pPr>
    </w:p>
    <w:p w:rsidR="00834762" w:rsidRPr="00834762" w:rsidRDefault="00834762" w:rsidP="00834762">
      <w:pPr>
        <w:pStyle w:val="SingleTxtG"/>
        <w:spacing w:after="0" w:line="240" w:lineRule="auto"/>
        <w:ind w:right="1133"/>
        <w:rPr>
          <w:iCs/>
          <w:kern w:val="2"/>
          <w:lang w:eastAsia="ja-JP"/>
        </w:rPr>
      </w:pPr>
    </w:p>
    <w:sectPr w:rsidR="00834762" w:rsidRPr="00834762" w:rsidSect="00E0045E">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892" w:rsidRDefault="00507892" w:rsidP="00507892">
      <w:pPr>
        <w:spacing w:after="0" w:line="240" w:lineRule="auto"/>
      </w:pPr>
      <w:r>
        <w:separator/>
      </w:r>
    </w:p>
  </w:endnote>
  <w:endnote w:type="continuationSeparator" w:id="0">
    <w:p w:rsidR="00507892" w:rsidRDefault="00507892" w:rsidP="0050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7A" w:rsidRDefault="00EF0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7A" w:rsidRDefault="00EF03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7A" w:rsidRDefault="00EF0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892" w:rsidRDefault="00507892" w:rsidP="00507892">
      <w:pPr>
        <w:spacing w:after="0" w:line="240" w:lineRule="auto"/>
      </w:pPr>
      <w:r>
        <w:separator/>
      </w:r>
    </w:p>
  </w:footnote>
  <w:footnote w:type="continuationSeparator" w:id="0">
    <w:p w:rsidR="00507892" w:rsidRDefault="00507892" w:rsidP="00507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7A" w:rsidRDefault="00EF0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7A" w:rsidRDefault="00EF03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000" w:firstRow="0" w:lastRow="0" w:firstColumn="0" w:lastColumn="0" w:noHBand="0" w:noVBand="0"/>
    </w:tblPr>
    <w:tblGrid>
      <w:gridCol w:w="4536"/>
      <w:gridCol w:w="5103"/>
    </w:tblGrid>
    <w:tr w:rsidR="00E0045E" w:rsidRPr="00B62BE2" w:rsidTr="00512D8F">
      <w:tc>
        <w:tcPr>
          <w:tcW w:w="4536" w:type="dxa"/>
          <w:vAlign w:val="center"/>
        </w:tcPr>
        <w:p w:rsidR="00E0045E" w:rsidRPr="00507892" w:rsidRDefault="00E0045E" w:rsidP="00512D8F">
          <w:pPr>
            <w:tabs>
              <w:tab w:val="center" w:pos="4677"/>
              <w:tab w:val="right" w:pos="9355"/>
            </w:tabs>
            <w:spacing w:after="0" w:line="240" w:lineRule="auto"/>
            <w:ind w:left="-108"/>
            <w:rPr>
              <w:rFonts w:ascii="Times New Roman" w:hAnsi="Times New Roman"/>
              <w:lang w:val="en-GB" w:eastAsia="ar-SA"/>
            </w:rPr>
          </w:pPr>
          <w:r w:rsidRPr="00507892">
            <w:rPr>
              <w:rFonts w:ascii="Times New Roman" w:hAnsi="Times New Roman"/>
              <w:lang w:val="en-GB" w:eastAsia="ar-SA"/>
            </w:rPr>
            <w:t>Submitted by the expert from GRE-IWG SLR</w:t>
          </w:r>
        </w:p>
      </w:tc>
      <w:tc>
        <w:tcPr>
          <w:tcW w:w="5103" w:type="dxa"/>
        </w:tcPr>
        <w:p w:rsidR="00E0045E" w:rsidRPr="00B62BE2" w:rsidRDefault="00E0045E" w:rsidP="00512D8F">
          <w:pPr>
            <w:spacing w:after="0" w:line="240" w:lineRule="auto"/>
            <w:ind w:left="1156"/>
            <w:rPr>
              <w:rFonts w:ascii="Times New Roman" w:hAnsi="Times New Roman"/>
              <w:b/>
              <w:bCs/>
              <w:lang w:val="en-TT"/>
            </w:rPr>
          </w:pPr>
          <w:r w:rsidRPr="00B62BE2">
            <w:rPr>
              <w:rFonts w:ascii="Times New Roman" w:hAnsi="Times New Roman"/>
              <w:u w:val="single"/>
              <w:lang w:val="en-TT" w:eastAsia="ar-SA"/>
            </w:rPr>
            <w:t>Informal document No</w:t>
          </w:r>
          <w:r w:rsidRPr="00B62BE2">
            <w:rPr>
              <w:rFonts w:ascii="Times New Roman" w:hAnsi="Times New Roman"/>
              <w:lang w:val="en-TT" w:eastAsia="ar-SA"/>
            </w:rPr>
            <w:t xml:space="preserve">. </w:t>
          </w:r>
          <w:r w:rsidRPr="00B62BE2">
            <w:rPr>
              <w:rFonts w:ascii="Times New Roman" w:hAnsi="Times New Roman"/>
              <w:b/>
              <w:bCs/>
              <w:lang w:val="en-TT" w:eastAsia="ar-SA"/>
            </w:rPr>
            <w:t>GRE-</w:t>
          </w:r>
          <w:r w:rsidRPr="00B62BE2">
            <w:rPr>
              <w:rFonts w:ascii="Times New Roman" w:hAnsi="Times New Roman" w:hint="eastAsia"/>
              <w:b/>
              <w:bCs/>
              <w:lang w:val="en-TT"/>
            </w:rPr>
            <w:t>7</w:t>
          </w:r>
          <w:r>
            <w:rPr>
              <w:rFonts w:ascii="Times New Roman" w:hAnsi="Times New Roman"/>
              <w:b/>
              <w:bCs/>
              <w:lang w:val="en-TT"/>
            </w:rPr>
            <w:t>9-</w:t>
          </w:r>
          <w:r w:rsidR="00EF037A">
            <w:rPr>
              <w:rFonts w:ascii="Times New Roman" w:hAnsi="Times New Roman"/>
              <w:b/>
              <w:bCs/>
              <w:lang w:val="en-TT"/>
            </w:rPr>
            <w:t>14</w:t>
          </w:r>
        </w:p>
        <w:p w:rsidR="00E0045E" w:rsidRPr="00B62BE2" w:rsidRDefault="00E0045E" w:rsidP="00512D8F">
          <w:pPr>
            <w:tabs>
              <w:tab w:val="center" w:pos="4677"/>
              <w:tab w:val="right" w:pos="9355"/>
            </w:tabs>
            <w:spacing w:after="0" w:line="240" w:lineRule="auto"/>
            <w:ind w:left="1156"/>
            <w:rPr>
              <w:rFonts w:ascii="Times New Roman" w:hAnsi="Times New Roman"/>
              <w:lang w:val="en-TT"/>
            </w:rPr>
          </w:pPr>
          <w:r w:rsidRPr="00B62BE2">
            <w:rPr>
              <w:rFonts w:ascii="Times New Roman" w:hAnsi="Times New Roman"/>
              <w:lang w:val="en-TT" w:eastAsia="ar-SA"/>
            </w:rPr>
            <w:t>(</w:t>
          </w:r>
          <w:r w:rsidRPr="00B62BE2">
            <w:rPr>
              <w:rFonts w:ascii="Times New Roman" w:hAnsi="Times New Roman" w:hint="eastAsia"/>
              <w:lang w:val="en-TT"/>
            </w:rPr>
            <w:t>7</w:t>
          </w:r>
          <w:r>
            <w:rPr>
              <w:rFonts w:ascii="Times New Roman" w:hAnsi="Times New Roman"/>
              <w:lang w:val="en-TT"/>
            </w:rPr>
            <w:t>9</w:t>
          </w:r>
          <w:r w:rsidRPr="00B62BE2">
            <w:rPr>
              <w:rFonts w:ascii="Times New Roman" w:hAnsi="Times New Roman"/>
              <w:lang w:val="en-TT" w:eastAsia="ar-SA"/>
            </w:rPr>
            <w:t xml:space="preserve">th GRE, </w:t>
          </w:r>
          <w:r w:rsidR="00EF037A">
            <w:rPr>
              <w:rFonts w:ascii="Times New Roman" w:hAnsi="Times New Roman"/>
              <w:lang w:val="en-TT" w:eastAsia="ar-SA"/>
            </w:rPr>
            <w:t xml:space="preserve">24-27 </w:t>
          </w:r>
          <w:r>
            <w:rPr>
              <w:rFonts w:ascii="Times New Roman" w:hAnsi="Times New Roman"/>
              <w:lang w:val="en-TT"/>
            </w:rPr>
            <w:t xml:space="preserve">April </w:t>
          </w:r>
          <w:r>
            <w:rPr>
              <w:rFonts w:ascii="Times New Roman" w:hAnsi="Times New Roman"/>
              <w:lang w:val="en-TT"/>
            </w:rPr>
            <w:t>201</w:t>
          </w:r>
          <w:r w:rsidR="00EF037A">
            <w:rPr>
              <w:rFonts w:ascii="Times New Roman" w:hAnsi="Times New Roman"/>
              <w:lang w:val="en-TT"/>
            </w:rPr>
            <w:t>8,</w:t>
          </w:r>
          <w:bookmarkStart w:id="0" w:name="_GoBack"/>
          <w:bookmarkEnd w:id="0"/>
        </w:p>
        <w:p w:rsidR="00E0045E" w:rsidRPr="00B62BE2" w:rsidRDefault="00E0045E" w:rsidP="00512D8F">
          <w:pPr>
            <w:tabs>
              <w:tab w:val="center" w:pos="4677"/>
              <w:tab w:val="right" w:pos="9355"/>
            </w:tabs>
            <w:spacing w:after="0" w:line="240" w:lineRule="auto"/>
            <w:ind w:left="1156"/>
            <w:rPr>
              <w:rFonts w:ascii="Times New Roman" w:hAnsi="Times New Roman"/>
              <w:lang w:val="en-TT"/>
            </w:rPr>
          </w:pPr>
          <w:r w:rsidRPr="00B62BE2">
            <w:rPr>
              <w:rFonts w:ascii="Times New Roman" w:hAnsi="Times New Roman"/>
              <w:lang w:val="en-TT"/>
            </w:rPr>
            <w:t xml:space="preserve">agenda item </w:t>
          </w:r>
          <w:r>
            <w:rPr>
              <w:rFonts w:ascii="Times New Roman" w:hAnsi="Times New Roman"/>
              <w:lang w:val="en-TT"/>
            </w:rPr>
            <w:t>4</w:t>
          </w:r>
          <w:r w:rsidRPr="00B62BE2">
            <w:rPr>
              <w:rFonts w:ascii="Times New Roman" w:hAnsi="Times New Roman" w:hint="eastAsia"/>
              <w:lang w:val="en-TT"/>
            </w:rPr>
            <w:t>)</w:t>
          </w:r>
        </w:p>
      </w:tc>
    </w:tr>
  </w:tbl>
  <w:p w:rsidR="00E0045E" w:rsidRDefault="00E00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670EF"/>
    <w:multiLevelType w:val="hybridMultilevel"/>
    <w:tmpl w:val="95681D2E"/>
    <w:lvl w:ilvl="0" w:tplc="D0C847CA">
      <w:start w:val="1"/>
      <w:numFmt w:val="decimal"/>
      <w:lvlText w:val="%1."/>
      <w:lvlJc w:val="left"/>
      <w:pPr>
        <w:ind w:left="1832"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79BF6E87"/>
    <w:multiLevelType w:val="hybridMultilevel"/>
    <w:tmpl w:val="2698F07C"/>
    <w:lvl w:ilvl="0" w:tplc="0410000B">
      <w:start w:val="1"/>
      <w:numFmt w:val="bullet"/>
      <w:lvlText w:val=""/>
      <w:lvlJc w:val="left"/>
      <w:pPr>
        <w:ind w:left="1853" w:hanging="360"/>
      </w:pPr>
      <w:rPr>
        <w:rFonts w:ascii="Wingdings" w:hAnsi="Wingdings" w:hint="default"/>
      </w:rPr>
    </w:lvl>
    <w:lvl w:ilvl="1" w:tplc="04100003" w:tentative="1">
      <w:start w:val="1"/>
      <w:numFmt w:val="bullet"/>
      <w:lvlText w:val="o"/>
      <w:lvlJc w:val="left"/>
      <w:pPr>
        <w:ind w:left="2573" w:hanging="360"/>
      </w:pPr>
      <w:rPr>
        <w:rFonts w:ascii="Courier New" w:hAnsi="Courier New" w:cs="Courier New" w:hint="default"/>
      </w:rPr>
    </w:lvl>
    <w:lvl w:ilvl="2" w:tplc="04100005" w:tentative="1">
      <w:start w:val="1"/>
      <w:numFmt w:val="bullet"/>
      <w:lvlText w:val=""/>
      <w:lvlJc w:val="left"/>
      <w:pPr>
        <w:ind w:left="3293" w:hanging="360"/>
      </w:pPr>
      <w:rPr>
        <w:rFonts w:ascii="Wingdings" w:hAnsi="Wingdings" w:hint="default"/>
      </w:rPr>
    </w:lvl>
    <w:lvl w:ilvl="3" w:tplc="04100001" w:tentative="1">
      <w:start w:val="1"/>
      <w:numFmt w:val="bullet"/>
      <w:lvlText w:val=""/>
      <w:lvlJc w:val="left"/>
      <w:pPr>
        <w:ind w:left="4013" w:hanging="360"/>
      </w:pPr>
      <w:rPr>
        <w:rFonts w:ascii="Symbol" w:hAnsi="Symbol" w:hint="default"/>
      </w:rPr>
    </w:lvl>
    <w:lvl w:ilvl="4" w:tplc="04100003" w:tentative="1">
      <w:start w:val="1"/>
      <w:numFmt w:val="bullet"/>
      <w:lvlText w:val="o"/>
      <w:lvlJc w:val="left"/>
      <w:pPr>
        <w:ind w:left="4733" w:hanging="360"/>
      </w:pPr>
      <w:rPr>
        <w:rFonts w:ascii="Courier New" w:hAnsi="Courier New" w:cs="Courier New" w:hint="default"/>
      </w:rPr>
    </w:lvl>
    <w:lvl w:ilvl="5" w:tplc="04100005" w:tentative="1">
      <w:start w:val="1"/>
      <w:numFmt w:val="bullet"/>
      <w:lvlText w:val=""/>
      <w:lvlJc w:val="left"/>
      <w:pPr>
        <w:ind w:left="5453" w:hanging="360"/>
      </w:pPr>
      <w:rPr>
        <w:rFonts w:ascii="Wingdings" w:hAnsi="Wingdings" w:hint="default"/>
      </w:rPr>
    </w:lvl>
    <w:lvl w:ilvl="6" w:tplc="04100001" w:tentative="1">
      <w:start w:val="1"/>
      <w:numFmt w:val="bullet"/>
      <w:lvlText w:val=""/>
      <w:lvlJc w:val="left"/>
      <w:pPr>
        <w:ind w:left="6173" w:hanging="360"/>
      </w:pPr>
      <w:rPr>
        <w:rFonts w:ascii="Symbol" w:hAnsi="Symbol" w:hint="default"/>
      </w:rPr>
    </w:lvl>
    <w:lvl w:ilvl="7" w:tplc="04100003" w:tentative="1">
      <w:start w:val="1"/>
      <w:numFmt w:val="bullet"/>
      <w:lvlText w:val="o"/>
      <w:lvlJc w:val="left"/>
      <w:pPr>
        <w:ind w:left="6893" w:hanging="360"/>
      </w:pPr>
      <w:rPr>
        <w:rFonts w:ascii="Courier New" w:hAnsi="Courier New" w:cs="Courier New" w:hint="default"/>
      </w:rPr>
    </w:lvl>
    <w:lvl w:ilvl="8" w:tplc="04100005" w:tentative="1">
      <w:start w:val="1"/>
      <w:numFmt w:val="bullet"/>
      <w:lvlText w:val=""/>
      <w:lvlJc w:val="left"/>
      <w:pPr>
        <w:ind w:left="76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B1"/>
    <w:rsid w:val="000032E4"/>
    <w:rsid w:val="000237FC"/>
    <w:rsid w:val="00024032"/>
    <w:rsid w:val="00033DEB"/>
    <w:rsid w:val="00084271"/>
    <w:rsid w:val="000C12CC"/>
    <w:rsid w:val="000C4CB7"/>
    <w:rsid w:val="00112F88"/>
    <w:rsid w:val="001433A2"/>
    <w:rsid w:val="00184859"/>
    <w:rsid w:val="001B0A3C"/>
    <w:rsid w:val="001F0E07"/>
    <w:rsid w:val="00215D2F"/>
    <w:rsid w:val="0025052F"/>
    <w:rsid w:val="002A071E"/>
    <w:rsid w:val="002B31B1"/>
    <w:rsid w:val="002C618D"/>
    <w:rsid w:val="00326A68"/>
    <w:rsid w:val="00371FD8"/>
    <w:rsid w:val="00372128"/>
    <w:rsid w:val="00396B77"/>
    <w:rsid w:val="003C3A7C"/>
    <w:rsid w:val="003E6A75"/>
    <w:rsid w:val="003F7388"/>
    <w:rsid w:val="00434162"/>
    <w:rsid w:val="00484FDF"/>
    <w:rsid w:val="00507892"/>
    <w:rsid w:val="00570EC4"/>
    <w:rsid w:val="00577E27"/>
    <w:rsid w:val="00586559"/>
    <w:rsid w:val="0059728D"/>
    <w:rsid w:val="0061639A"/>
    <w:rsid w:val="006269AC"/>
    <w:rsid w:val="00645102"/>
    <w:rsid w:val="00661CFB"/>
    <w:rsid w:val="00664B1E"/>
    <w:rsid w:val="006C5377"/>
    <w:rsid w:val="00700234"/>
    <w:rsid w:val="00717156"/>
    <w:rsid w:val="00782E81"/>
    <w:rsid w:val="007A441D"/>
    <w:rsid w:val="007B1DCD"/>
    <w:rsid w:val="007C06A1"/>
    <w:rsid w:val="00807235"/>
    <w:rsid w:val="00824D17"/>
    <w:rsid w:val="00834762"/>
    <w:rsid w:val="00903C53"/>
    <w:rsid w:val="00916D43"/>
    <w:rsid w:val="00931E8A"/>
    <w:rsid w:val="009911D9"/>
    <w:rsid w:val="00994B1F"/>
    <w:rsid w:val="00A02ABA"/>
    <w:rsid w:val="00A20410"/>
    <w:rsid w:val="00A225DF"/>
    <w:rsid w:val="00A32A52"/>
    <w:rsid w:val="00A8346F"/>
    <w:rsid w:val="00AD24CD"/>
    <w:rsid w:val="00AE326C"/>
    <w:rsid w:val="00AE5C3C"/>
    <w:rsid w:val="00AF3863"/>
    <w:rsid w:val="00B01897"/>
    <w:rsid w:val="00B25C22"/>
    <w:rsid w:val="00B82840"/>
    <w:rsid w:val="00BE7CCE"/>
    <w:rsid w:val="00BF7E62"/>
    <w:rsid w:val="00C16987"/>
    <w:rsid w:val="00C224A3"/>
    <w:rsid w:val="00C23D55"/>
    <w:rsid w:val="00CA611B"/>
    <w:rsid w:val="00CB6ECF"/>
    <w:rsid w:val="00CE7D0C"/>
    <w:rsid w:val="00CF515A"/>
    <w:rsid w:val="00DA4DB6"/>
    <w:rsid w:val="00DF015B"/>
    <w:rsid w:val="00DF0D20"/>
    <w:rsid w:val="00DF7DA9"/>
    <w:rsid w:val="00E0045E"/>
    <w:rsid w:val="00E16B72"/>
    <w:rsid w:val="00E90423"/>
    <w:rsid w:val="00E93275"/>
    <w:rsid w:val="00EA6F45"/>
    <w:rsid w:val="00EB43EE"/>
    <w:rsid w:val="00ED46B1"/>
    <w:rsid w:val="00EE12F5"/>
    <w:rsid w:val="00EF037A"/>
    <w:rsid w:val="00F23358"/>
    <w:rsid w:val="00F47634"/>
    <w:rsid w:val="00F77D9F"/>
    <w:rsid w:val="00F81BA5"/>
    <w:rsid w:val="00F86774"/>
    <w:rsid w:val="00FB1FE7"/>
    <w:rsid w:val="00FE60AD"/>
    <w:rsid w:val="00FF7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DA9"/>
    <w:rPr>
      <w:rFonts w:ascii="Tahoma" w:hAnsi="Tahoma" w:cs="Tahoma"/>
      <w:sz w:val="16"/>
      <w:szCs w:val="16"/>
    </w:rPr>
  </w:style>
  <w:style w:type="paragraph" w:customStyle="1" w:styleId="HChG">
    <w:name w:val="_ H _Ch_G"/>
    <w:basedOn w:val="Normal"/>
    <w:next w:val="Normal"/>
    <w:link w:val="HChGChar"/>
    <w:qFormat/>
    <w:rsid w:val="00824D17"/>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824D17"/>
    <w:rPr>
      <w:rFonts w:ascii="Times New Roman" w:eastAsia="Times New Roman" w:hAnsi="Times New Roman" w:cs="Times New Roman"/>
      <w:b/>
      <w:sz w:val="28"/>
      <w:szCs w:val="20"/>
      <w:lang w:val="en-GB"/>
    </w:rPr>
  </w:style>
  <w:style w:type="character" w:styleId="CommentReference">
    <w:name w:val="annotation reference"/>
    <w:basedOn w:val="DefaultParagraphFont"/>
    <w:uiPriority w:val="99"/>
    <w:semiHidden/>
    <w:unhideWhenUsed/>
    <w:rsid w:val="007C06A1"/>
    <w:rPr>
      <w:sz w:val="16"/>
      <w:szCs w:val="16"/>
    </w:rPr>
  </w:style>
  <w:style w:type="paragraph" w:styleId="CommentText">
    <w:name w:val="annotation text"/>
    <w:basedOn w:val="Normal"/>
    <w:link w:val="CommentTextChar"/>
    <w:uiPriority w:val="99"/>
    <w:semiHidden/>
    <w:unhideWhenUsed/>
    <w:rsid w:val="007C06A1"/>
    <w:pPr>
      <w:spacing w:line="240" w:lineRule="auto"/>
    </w:pPr>
    <w:rPr>
      <w:sz w:val="20"/>
      <w:szCs w:val="20"/>
    </w:rPr>
  </w:style>
  <w:style w:type="character" w:customStyle="1" w:styleId="CommentTextChar">
    <w:name w:val="Comment Text Char"/>
    <w:basedOn w:val="DefaultParagraphFont"/>
    <w:link w:val="CommentText"/>
    <w:uiPriority w:val="99"/>
    <w:semiHidden/>
    <w:rsid w:val="007C06A1"/>
    <w:rPr>
      <w:sz w:val="20"/>
      <w:szCs w:val="20"/>
    </w:rPr>
  </w:style>
  <w:style w:type="paragraph" w:styleId="CommentSubject">
    <w:name w:val="annotation subject"/>
    <w:basedOn w:val="CommentText"/>
    <w:next w:val="CommentText"/>
    <w:link w:val="CommentSubjectChar"/>
    <w:uiPriority w:val="99"/>
    <w:semiHidden/>
    <w:unhideWhenUsed/>
    <w:rsid w:val="007C06A1"/>
    <w:rPr>
      <w:b/>
      <w:bCs/>
    </w:rPr>
  </w:style>
  <w:style w:type="character" w:customStyle="1" w:styleId="CommentSubjectChar">
    <w:name w:val="Comment Subject Char"/>
    <w:basedOn w:val="CommentTextChar"/>
    <w:link w:val="CommentSubject"/>
    <w:uiPriority w:val="99"/>
    <w:semiHidden/>
    <w:rsid w:val="007C06A1"/>
    <w:rPr>
      <w:b/>
      <w:bCs/>
      <w:sz w:val="20"/>
      <w:szCs w:val="20"/>
    </w:rPr>
  </w:style>
  <w:style w:type="paragraph" w:styleId="Revision">
    <w:name w:val="Revision"/>
    <w:hidden/>
    <w:uiPriority w:val="99"/>
    <w:semiHidden/>
    <w:rsid w:val="007C06A1"/>
    <w:pPr>
      <w:spacing w:after="0" w:line="240" w:lineRule="auto"/>
    </w:pPr>
  </w:style>
  <w:style w:type="paragraph" w:styleId="Header">
    <w:name w:val="header"/>
    <w:basedOn w:val="Normal"/>
    <w:link w:val="HeaderChar"/>
    <w:uiPriority w:val="99"/>
    <w:unhideWhenUsed/>
    <w:rsid w:val="00507892"/>
    <w:pPr>
      <w:tabs>
        <w:tab w:val="center" w:pos="4819"/>
        <w:tab w:val="right" w:pos="9638"/>
      </w:tabs>
      <w:spacing w:after="0" w:line="240" w:lineRule="auto"/>
    </w:pPr>
  </w:style>
  <w:style w:type="character" w:customStyle="1" w:styleId="HeaderChar">
    <w:name w:val="Header Char"/>
    <w:basedOn w:val="DefaultParagraphFont"/>
    <w:link w:val="Header"/>
    <w:uiPriority w:val="99"/>
    <w:rsid w:val="00507892"/>
  </w:style>
  <w:style w:type="paragraph" w:styleId="Footer">
    <w:name w:val="footer"/>
    <w:basedOn w:val="Normal"/>
    <w:link w:val="FooterChar"/>
    <w:uiPriority w:val="99"/>
    <w:unhideWhenUsed/>
    <w:rsid w:val="00507892"/>
    <w:pPr>
      <w:tabs>
        <w:tab w:val="center" w:pos="4819"/>
        <w:tab w:val="right" w:pos="9638"/>
      </w:tabs>
      <w:spacing w:after="0" w:line="240" w:lineRule="auto"/>
    </w:pPr>
  </w:style>
  <w:style w:type="character" w:customStyle="1" w:styleId="FooterChar">
    <w:name w:val="Footer Char"/>
    <w:basedOn w:val="DefaultParagraphFont"/>
    <w:link w:val="Footer"/>
    <w:uiPriority w:val="99"/>
    <w:rsid w:val="00507892"/>
  </w:style>
  <w:style w:type="paragraph" w:customStyle="1" w:styleId="SingleTxtG">
    <w:name w:val="_ Single Txt_G"/>
    <w:basedOn w:val="Normal"/>
    <w:link w:val="SingleTxtGChar"/>
    <w:qFormat/>
    <w:rsid w:val="001433A2"/>
    <w:pPr>
      <w:suppressAutoHyphens/>
      <w:spacing w:after="120" w:line="240" w:lineRule="atLeast"/>
      <w:ind w:left="1134" w:right="1134"/>
      <w:jc w:val="both"/>
    </w:pPr>
    <w:rPr>
      <w:rFonts w:ascii="Times New Roman" w:eastAsia="MS Mincho" w:hAnsi="Times New Roman" w:cs="Times New Roman"/>
      <w:sz w:val="20"/>
      <w:szCs w:val="20"/>
      <w:lang w:val="en-GB"/>
    </w:rPr>
  </w:style>
  <w:style w:type="character" w:customStyle="1" w:styleId="SingleTxtGChar">
    <w:name w:val="_ Single Txt_G Char"/>
    <w:link w:val="SingleTxtG"/>
    <w:rsid w:val="001433A2"/>
    <w:rPr>
      <w:rFonts w:ascii="Times New Roman" w:eastAsia="MS Mincho" w:hAnsi="Times New Roman" w:cs="Times New Roman"/>
      <w:sz w:val="20"/>
      <w:szCs w:val="20"/>
      <w:lang w:val="en-GB"/>
    </w:rPr>
  </w:style>
  <w:style w:type="paragraph" w:customStyle="1" w:styleId="endnotetable">
    <w:name w:val="endnote table"/>
    <w:basedOn w:val="Normal"/>
    <w:link w:val="endnotetableChar"/>
    <w:rsid w:val="00E0045E"/>
    <w:pPr>
      <w:suppressAutoHyphens/>
      <w:spacing w:after="0" w:line="220" w:lineRule="exact"/>
      <w:ind w:left="1134" w:right="1134" w:firstLine="170"/>
    </w:pPr>
    <w:rPr>
      <w:rFonts w:ascii="Times New Roman" w:eastAsia="Times New Roman" w:hAnsi="Times New Roman" w:cs="Times New Roman"/>
      <w:sz w:val="18"/>
      <w:szCs w:val="18"/>
      <w:lang w:val="en-GB"/>
    </w:rPr>
  </w:style>
  <w:style w:type="character" w:customStyle="1" w:styleId="endnotetableChar">
    <w:name w:val="endnote table Char"/>
    <w:link w:val="endnotetable"/>
    <w:rsid w:val="00E0045E"/>
    <w:rPr>
      <w:rFonts w:ascii="Times New Roman" w:eastAsia="Times New Roman" w:hAnsi="Times New Roman" w:cs="Times New Roman"/>
      <w:sz w:val="18"/>
      <w:szCs w:val="18"/>
      <w:lang w:val="en-GB"/>
    </w:rPr>
  </w:style>
  <w:style w:type="paragraph" w:styleId="ListParagraph">
    <w:name w:val="List Paragraph"/>
    <w:basedOn w:val="Normal"/>
    <w:uiPriority w:val="34"/>
    <w:qFormat/>
    <w:rsid w:val="00DA4DB6"/>
    <w:pPr>
      <w:ind w:left="720"/>
      <w:contextualSpacing/>
    </w:pPr>
  </w:style>
  <w:style w:type="table" w:styleId="TableGrid">
    <w:name w:val="Table Grid"/>
    <w:basedOn w:val="TableNormal"/>
    <w:uiPriority w:val="39"/>
    <w:rsid w:val="00215D2F"/>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
    <w:name w:val="para"/>
    <w:basedOn w:val="SingleTxtG"/>
    <w:link w:val="paraChar"/>
    <w:qFormat/>
    <w:rsid w:val="00661CFB"/>
    <w:pPr>
      <w:ind w:left="2268" w:hanging="1134"/>
    </w:pPr>
    <w:rPr>
      <w:rFonts w:eastAsia="Times New Roman"/>
      <w:lang w:val="fr-CH"/>
    </w:rPr>
  </w:style>
  <w:style w:type="character" w:customStyle="1" w:styleId="paraChar">
    <w:name w:val="para Char"/>
    <w:link w:val="para"/>
    <w:rsid w:val="00661CFB"/>
    <w:rPr>
      <w:rFonts w:ascii="Times New Roman" w:eastAsia="Times New Roman" w:hAnsi="Times New Roman" w:cs="Times New Roman"/>
      <w:sz w:val="20"/>
      <w:szCs w:val="20"/>
      <w:lang w:val="fr-CH"/>
    </w:rPr>
  </w:style>
  <w:style w:type="paragraph" w:styleId="FootnoteText">
    <w:name w:val="footnote text"/>
    <w:basedOn w:val="Normal"/>
    <w:link w:val="FootnoteTextChar"/>
    <w:uiPriority w:val="99"/>
    <w:semiHidden/>
    <w:unhideWhenUsed/>
    <w:rsid w:val="00EA6F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F45"/>
    <w:rPr>
      <w:sz w:val="20"/>
      <w:szCs w:val="20"/>
    </w:rPr>
  </w:style>
  <w:style w:type="character" w:styleId="FootnoteReference">
    <w:name w:val="footnote reference"/>
    <w:aliases w:val="4_G,(Footnote Reference),-E Fußnotenzeichen,BVI fnr,Footnote symbol,Footnote,Footnote Reference Superscript,SUPERS, BVI fnr"/>
    <w:uiPriority w:val="99"/>
    <w:rsid w:val="00EA6F45"/>
    <w:rPr>
      <w:rFonts w:ascii="Times New Roman" w:hAnsi="Times New Roman"/>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DA9"/>
    <w:rPr>
      <w:rFonts w:ascii="Tahoma" w:hAnsi="Tahoma" w:cs="Tahoma"/>
      <w:sz w:val="16"/>
      <w:szCs w:val="16"/>
    </w:rPr>
  </w:style>
  <w:style w:type="paragraph" w:customStyle="1" w:styleId="HChG">
    <w:name w:val="_ H _Ch_G"/>
    <w:basedOn w:val="Normal"/>
    <w:next w:val="Normal"/>
    <w:link w:val="HChGChar"/>
    <w:qFormat/>
    <w:rsid w:val="00824D17"/>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824D17"/>
    <w:rPr>
      <w:rFonts w:ascii="Times New Roman" w:eastAsia="Times New Roman" w:hAnsi="Times New Roman" w:cs="Times New Roman"/>
      <w:b/>
      <w:sz w:val="28"/>
      <w:szCs w:val="20"/>
      <w:lang w:val="en-GB"/>
    </w:rPr>
  </w:style>
  <w:style w:type="character" w:styleId="CommentReference">
    <w:name w:val="annotation reference"/>
    <w:basedOn w:val="DefaultParagraphFont"/>
    <w:uiPriority w:val="99"/>
    <w:semiHidden/>
    <w:unhideWhenUsed/>
    <w:rsid w:val="007C06A1"/>
    <w:rPr>
      <w:sz w:val="16"/>
      <w:szCs w:val="16"/>
    </w:rPr>
  </w:style>
  <w:style w:type="paragraph" w:styleId="CommentText">
    <w:name w:val="annotation text"/>
    <w:basedOn w:val="Normal"/>
    <w:link w:val="CommentTextChar"/>
    <w:uiPriority w:val="99"/>
    <w:semiHidden/>
    <w:unhideWhenUsed/>
    <w:rsid w:val="007C06A1"/>
    <w:pPr>
      <w:spacing w:line="240" w:lineRule="auto"/>
    </w:pPr>
    <w:rPr>
      <w:sz w:val="20"/>
      <w:szCs w:val="20"/>
    </w:rPr>
  </w:style>
  <w:style w:type="character" w:customStyle="1" w:styleId="CommentTextChar">
    <w:name w:val="Comment Text Char"/>
    <w:basedOn w:val="DefaultParagraphFont"/>
    <w:link w:val="CommentText"/>
    <w:uiPriority w:val="99"/>
    <w:semiHidden/>
    <w:rsid w:val="007C06A1"/>
    <w:rPr>
      <w:sz w:val="20"/>
      <w:szCs w:val="20"/>
    </w:rPr>
  </w:style>
  <w:style w:type="paragraph" w:styleId="CommentSubject">
    <w:name w:val="annotation subject"/>
    <w:basedOn w:val="CommentText"/>
    <w:next w:val="CommentText"/>
    <w:link w:val="CommentSubjectChar"/>
    <w:uiPriority w:val="99"/>
    <w:semiHidden/>
    <w:unhideWhenUsed/>
    <w:rsid w:val="007C06A1"/>
    <w:rPr>
      <w:b/>
      <w:bCs/>
    </w:rPr>
  </w:style>
  <w:style w:type="character" w:customStyle="1" w:styleId="CommentSubjectChar">
    <w:name w:val="Comment Subject Char"/>
    <w:basedOn w:val="CommentTextChar"/>
    <w:link w:val="CommentSubject"/>
    <w:uiPriority w:val="99"/>
    <w:semiHidden/>
    <w:rsid w:val="007C06A1"/>
    <w:rPr>
      <w:b/>
      <w:bCs/>
      <w:sz w:val="20"/>
      <w:szCs w:val="20"/>
    </w:rPr>
  </w:style>
  <w:style w:type="paragraph" w:styleId="Revision">
    <w:name w:val="Revision"/>
    <w:hidden/>
    <w:uiPriority w:val="99"/>
    <w:semiHidden/>
    <w:rsid w:val="007C06A1"/>
    <w:pPr>
      <w:spacing w:after="0" w:line="240" w:lineRule="auto"/>
    </w:pPr>
  </w:style>
  <w:style w:type="paragraph" w:styleId="Header">
    <w:name w:val="header"/>
    <w:basedOn w:val="Normal"/>
    <w:link w:val="HeaderChar"/>
    <w:uiPriority w:val="99"/>
    <w:unhideWhenUsed/>
    <w:rsid w:val="00507892"/>
    <w:pPr>
      <w:tabs>
        <w:tab w:val="center" w:pos="4819"/>
        <w:tab w:val="right" w:pos="9638"/>
      </w:tabs>
      <w:spacing w:after="0" w:line="240" w:lineRule="auto"/>
    </w:pPr>
  </w:style>
  <w:style w:type="character" w:customStyle="1" w:styleId="HeaderChar">
    <w:name w:val="Header Char"/>
    <w:basedOn w:val="DefaultParagraphFont"/>
    <w:link w:val="Header"/>
    <w:uiPriority w:val="99"/>
    <w:rsid w:val="00507892"/>
  </w:style>
  <w:style w:type="paragraph" w:styleId="Footer">
    <w:name w:val="footer"/>
    <w:basedOn w:val="Normal"/>
    <w:link w:val="FooterChar"/>
    <w:uiPriority w:val="99"/>
    <w:unhideWhenUsed/>
    <w:rsid w:val="00507892"/>
    <w:pPr>
      <w:tabs>
        <w:tab w:val="center" w:pos="4819"/>
        <w:tab w:val="right" w:pos="9638"/>
      </w:tabs>
      <w:spacing w:after="0" w:line="240" w:lineRule="auto"/>
    </w:pPr>
  </w:style>
  <w:style w:type="character" w:customStyle="1" w:styleId="FooterChar">
    <w:name w:val="Footer Char"/>
    <w:basedOn w:val="DefaultParagraphFont"/>
    <w:link w:val="Footer"/>
    <w:uiPriority w:val="99"/>
    <w:rsid w:val="00507892"/>
  </w:style>
  <w:style w:type="paragraph" w:customStyle="1" w:styleId="SingleTxtG">
    <w:name w:val="_ Single Txt_G"/>
    <w:basedOn w:val="Normal"/>
    <w:link w:val="SingleTxtGChar"/>
    <w:qFormat/>
    <w:rsid w:val="001433A2"/>
    <w:pPr>
      <w:suppressAutoHyphens/>
      <w:spacing w:after="120" w:line="240" w:lineRule="atLeast"/>
      <w:ind w:left="1134" w:right="1134"/>
      <w:jc w:val="both"/>
    </w:pPr>
    <w:rPr>
      <w:rFonts w:ascii="Times New Roman" w:eastAsia="MS Mincho" w:hAnsi="Times New Roman" w:cs="Times New Roman"/>
      <w:sz w:val="20"/>
      <w:szCs w:val="20"/>
      <w:lang w:val="en-GB"/>
    </w:rPr>
  </w:style>
  <w:style w:type="character" w:customStyle="1" w:styleId="SingleTxtGChar">
    <w:name w:val="_ Single Txt_G Char"/>
    <w:link w:val="SingleTxtG"/>
    <w:rsid w:val="001433A2"/>
    <w:rPr>
      <w:rFonts w:ascii="Times New Roman" w:eastAsia="MS Mincho" w:hAnsi="Times New Roman" w:cs="Times New Roman"/>
      <w:sz w:val="20"/>
      <w:szCs w:val="20"/>
      <w:lang w:val="en-GB"/>
    </w:rPr>
  </w:style>
  <w:style w:type="paragraph" w:customStyle="1" w:styleId="endnotetable">
    <w:name w:val="endnote table"/>
    <w:basedOn w:val="Normal"/>
    <w:link w:val="endnotetableChar"/>
    <w:rsid w:val="00E0045E"/>
    <w:pPr>
      <w:suppressAutoHyphens/>
      <w:spacing w:after="0" w:line="220" w:lineRule="exact"/>
      <w:ind w:left="1134" w:right="1134" w:firstLine="170"/>
    </w:pPr>
    <w:rPr>
      <w:rFonts w:ascii="Times New Roman" w:eastAsia="Times New Roman" w:hAnsi="Times New Roman" w:cs="Times New Roman"/>
      <w:sz w:val="18"/>
      <w:szCs w:val="18"/>
      <w:lang w:val="en-GB"/>
    </w:rPr>
  </w:style>
  <w:style w:type="character" w:customStyle="1" w:styleId="endnotetableChar">
    <w:name w:val="endnote table Char"/>
    <w:link w:val="endnotetable"/>
    <w:rsid w:val="00E0045E"/>
    <w:rPr>
      <w:rFonts w:ascii="Times New Roman" w:eastAsia="Times New Roman" w:hAnsi="Times New Roman" w:cs="Times New Roman"/>
      <w:sz w:val="18"/>
      <w:szCs w:val="18"/>
      <w:lang w:val="en-GB"/>
    </w:rPr>
  </w:style>
  <w:style w:type="paragraph" w:styleId="ListParagraph">
    <w:name w:val="List Paragraph"/>
    <w:basedOn w:val="Normal"/>
    <w:uiPriority w:val="34"/>
    <w:qFormat/>
    <w:rsid w:val="00DA4DB6"/>
    <w:pPr>
      <w:ind w:left="720"/>
      <w:contextualSpacing/>
    </w:pPr>
  </w:style>
  <w:style w:type="table" w:styleId="TableGrid">
    <w:name w:val="Table Grid"/>
    <w:basedOn w:val="TableNormal"/>
    <w:uiPriority w:val="39"/>
    <w:rsid w:val="00215D2F"/>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
    <w:name w:val="para"/>
    <w:basedOn w:val="SingleTxtG"/>
    <w:link w:val="paraChar"/>
    <w:qFormat/>
    <w:rsid w:val="00661CFB"/>
    <w:pPr>
      <w:ind w:left="2268" w:hanging="1134"/>
    </w:pPr>
    <w:rPr>
      <w:rFonts w:eastAsia="Times New Roman"/>
      <w:lang w:val="fr-CH"/>
    </w:rPr>
  </w:style>
  <w:style w:type="character" w:customStyle="1" w:styleId="paraChar">
    <w:name w:val="para Char"/>
    <w:link w:val="para"/>
    <w:rsid w:val="00661CFB"/>
    <w:rPr>
      <w:rFonts w:ascii="Times New Roman" w:eastAsia="Times New Roman" w:hAnsi="Times New Roman" w:cs="Times New Roman"/>
      <w:sz w:val="20"/>
      <w:szCs w:val="20"/>
      <w:lang w:val="fr-CH"/>
    </w:rPr>
  </w:style>
  <w:style w:type="paragraph" w:styleId="FootnoteText">
    <w:name w:val="footnote text"/>
    <w:basedOn w:val="Normal"/>
    <w:link w:val="FootnoteTextChar"/>
    <w:uiPriority w:val="99"/>
    <w:semiHidden/>
    <w:unhideWhenUsed/>
    <w:rsid w:val="00EA6F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F45"/>
    <w:rPr>
      <w:sz w:val="20"/>
      <w:szCs w:val="20"/>
    </w:rPr>
  </w:style>
  <w:style w:type="character" w:styleId="FootnoteReference">
    <w:name w:val="footnote reference"/>
    <w:aliases w:val="4_G,(Footnote Reference),-E Fußnotenzeichen,BVI fnr,Footnote symbol,Footnote,Footnote Reference Superscript,SUPERS, BVI fnr"/>
    <w:uiPriority w:val="99"/>
    <w:rsid w:val="00EA6F45"/>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056623">
      <w:bodyDiv w:val="1"/>
      <w:marLeft w:val="0"/>
      <w:marRight w:val="0"/>
      <w:marTop w:val="0"/>
      <w:marBottom w:val="0"/>
      <w:divBdr>
        <w:top w:val="none" w:sz="0" w:space="0" w:color="auto"/>
        <w:left w:val="none" w:sz="0" w:space="0" w:color="auto"/>
        <w:bottom w:val="none" w:sz="0" w:space="0" w:color="auto"/>
        <w:right w:val="none" w:sz="0" w:space="0" w:color="auto"/>
      </w:divBdr>
    </w:div>
    <w:div w:id="19316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3</Pages>
  <Words>750</Words>
  <Characters>4107</Characters>
  <Application>Microsoft Office Word</Application>
  <DocSecurity>0</DocSecurity>
  <Lines>91</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Puglisi</dc:creator>
  <cp:lastModifiedBy>Konstantin Glukhenkiy</cp:lastModifiedBy>
  <cp:revision>60</cp:revision>
  <dcterms:created xsi:type="dcterms:W3CDTF">2018-04-04T15:25:00Z</dcterms:created>
  <dcterms:modified xsi:type="dcterms:W3CDTF">2018-04-18T08:51:00Z</dcterms:modified>
</cp:coreProperties>
</file>