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73E2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73E23" w:rsidP="00473E23">
            <w:pPr>
              <w:jc w:val="right"/>
            </w:pPr>
            <w:r w:rsidRPr="00473E23">
              <w:rPr>
                <w:sz w:val="40"/>
              </w:rPr>
              <w:t>ECE</w:t>
            </w:r>
            <w:r>
              <w:t>/TRANS/WP.29/GRE/2018/51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73E23" w:rsidP="00C97039">
            <w:pPr>
              <w:spacing w:before="240"/>
            </w:pPr>
            <w:r>
              <w:t>Distr. générale</w:t>
            </w:r>
          </w:p>
          <w:p w:rsidR="00473E23" w:rsidRDefault="00473E23" w:rsidP="00473E23">
            <w:pPr>
              <w:spacing w:line="240" w:lineRule="exact"/>
            </w:pPr>
            <w:r>
              <w:t>10 août 2018</w:t>
            </w:r>
          </w:p>
          <w:p w:rsidR="00473E23" w:rsidRDefault="00473E23" w:rsidP="00473E23">
            <w:pPr>
              <w:spacing w:line="240" w:lineRule="exact"/>
            </w:pPr>
            <w:r>
              <w:t>Français</w:t>
            </w:r>
          </w:p>
          <w:p w:rsidR="00473E23" w:rsidRPr="00DB58B5" w:rsidRDefault="00473E23" w:rsidP="00473E2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73E23" w:rsidRDefault="00473E23"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73E23" w:rsidRDefault="00473E23" w:rsidP="00257168">
      <w:pPr>
        <w:spacing w:before="120" w:after="120" w:line="240" w:lineRule="exact"/>
        <w:rPr>
          <w:b/>
        </w:rPr>
      </w:pPr>
      <w:r>
        <w:rPr>
          <w:b/>
        </w:rPr>
        <w:t>Groupe de travail de l’éclairage et de la signalisation lumineuse</w:t>
      </w:r>
    </w:p>
    <w:p w:rsidR="00473E23" w:rsidRDefault="00473E23" w:rsidP="00257168">
      <w:pPr>
        <w:spacing w:before="120" w:line="240" w:lineRule="exact"/>
        <w:rPr>
          <w:b/>
        </w:rPr>
      </w:pPr>
      <w:r>
        <w:rPr>
          <w:b/>
        </w:rPr>
        <w:t>Quatre-vingtième session</w:t>
      </w:r>
    </w:p>
    <w:p w:rsidR="00473E23" w:rsidRDefault="00473E23" w:rsidP="00257168">
      <w:pPr>
        <w:spacing w:line="240" w:lineRule="exact"/>
      </w:pPr>
      <w:r>
        <w:t>Genève, 23-26 octobre 2018</w:t>
      </w:r>
    </w:p>
    <w:p w:rsidR="00473E23" w:rsidRDefault="00473E23" w:rsidP="00257168">
      <w:pPr>
        <w:spacing w:line="240" w:lineRule="exact"/>
      </w:pPr>
      <w:r>
        <w:t>Point 6 a) de l’ordre du jour provisoire</w:t>
      </w:r>
    </w:p>
    <w:p w:rsidR="00473E23" w:rsidRDefault="00473E23" w:rsidP="00473E23">
      <w:pPr>
        <w:rPr>
          <w:b/>
          <w:bCs/>
        </w:rPr>
      </w:pPr>
      <w:r>
        <w:rPr>
          <w:b/>
          <w:bCs/>
          <w:lang w:val="fr-FR"/>
        </w:rPr>
        <w:t>Règlement ONU n</w:t>
      </w:r>
      <w:r w:rsidRPr="00473E23">
        <w:rPr>
          <w:b/>
          <w:bCs/>
          <w:vertAlign w:val="superscript"/>
          <w:lang w:val="fr-FR"/>
        </w:rPr>
        <w:t>o</w:t>
      </w:r>
      <w:r>
        <w:rPr>
          <w:b/>
          <w:bCs/>
          <w:lang w:val="fr-FR"/>
        </w:rPr>
        <w:t xml:space="preserve"> 48 (Installation des dispositifs d’éclairage </w:t>
      </w:r>
      <w:r>
        <w:rPr>
          <w:b/>
          <w:bCs/>
          <w:lang w:val="fr-FR"/>
        </w:rPr>
        <w:br/>
        <w:t xml:space="preserve">et de signalisation lumineuse) : </w:t>
      </w:r>
      <w:r w:rsidRPr="00196A15">
        <w:rPr>
          <w:b/>
          <w:lang w:val="fr-FR"/>
        </w:rPr>
        <w:t>Propositions d</w:t>
      </w:r>
      <w:r>
        <w:rPr>
          <w:b/>
          <w:lang w:val="fr-FR"/>
        </w:rPr>
        <w:t>’</w:t>
      </w:r>
      <w:r w:rsidRPr="00196A15">
        <w:rPr>
          <w:b/>
          <w:lang w:val="fr-FR"/>
        </w:rPr>
        <w:t xml:space="preserve">amendements </w:t>
      </w:r>
      <w:r>
        <w:rPr>
          <w:b/>
          <w:lang w:val="fr-FR"/>
        </w:rPr>
        <w:br/>
        <w:t>aux séries </w:t>
      </w:r>
      <w:r w:rsidRPr="00196A15">
        <w:rPr>
          <w:b/>
          <w:lang w:val="fr-FR"/>
        </w:rPr>
        <w:t>05 et 06 d</w:t>
      </w:r>
      <w:r>
        <w:rPr>
          <w:b/>
          <w:lang w:val="fr-FR"/>
        </w:rPr>
        <w:t>’amendements</w:t>
      </w:r>
    </w:p>
    <w:p w:rsidR="00473E23" w:rsidRPr="000539D8" w:rsidRDefault="00473E23" w:rsidP="00473E23">
      <w:pPr>
        <w:pStyle w:val="HChG"/>
        <w:rPr>
          <w:szCs w:val="28"/>
        </w:rPr>
      </w:pPr>
      <w:r>
        <w:rPr>
          <w:lang w:val="fr-FR"/>
        </w:rPr>
        <w:tab/>
      </w:r>
      <w:r>
        <w:rPr>
          <w:lang w:val="fr-FR"/>
        </w:rPr>
        <w:tab/>
        <w:t>Proposition de complément [10] à la série 05 d’amendements et de complément [8] à la série 06 d’amendements au Règlement ONU n</w:t>
      </w:r>
      <w:r>
        <w:rPr>
          <w:vertAlign w:val="superscript"/>
          <w:lang w:val="fr-FR"/>
        </w:rPr>
        <w:t>o</w:t>
      </w:r>
      <w:r>
        <w:rPr>
          <w:lang w:val="fr-FR"/>
        </w:rPr>
        <w:t xml:space="preserve"> 48 (Installation des dispositifs </w:t>
      </w:r>
      <w:r>
        <w:rPr>
          <w:lang w:val="fr-FR"/>
        </w:rPr>
        <w:br/>
        <w:t>d’éclairage et de signalisation lumineuse)</w:t>
      </w:r>
    </w:p>
    <w:p w:rsidR="00473E23" w:rsidRPr="00B56054" w:rsidRDefault="00473E23" w:rsidP="00473E23">
      <w:pPr>
        <w:pStyle w:val="H1G"/>
      </w:pPr>
      <w:r>
        <w:rPr>
          <w:lang w:val="fr-FR"/>
        </w:rPr>
        <w:tab/>
      </w:r>
      <w:r>
        <w:rPr>
          <w:lang w:val="fr-FR"/>
        </w:rPr>
        <w:tab/>
      </w:r>
      <w:r w:rsidRPr="00196A15">
        <w:rPr>
          <w:lang w:val="fr-FR"/>
        </w:rPr>
        <w:t>Communication de l</w:t>
      </w:r>
      <w:r>
        <w:rPr>
          <w:lang w:val="fr-FR"/>
        </w:rPr>
        <w:t>’</w:t>
      </w:r>
      <w:r w:rsidRPr="00196A15">
        <w:rPr>
          <w:lang w:val="fr-FR"/>
        </w:rPr>
        <w:t>expert du Groupe de travail «</w:t>
      </w:r>
      <w:r>
        <w:rPr>
          <w:lang w:val="fr-FR"/>
        </w:rPr>
        <w:t> Bruxelles 1952 </w:t>
      </w:r>
      <w:r w:rsidRPr="00196A15">
        <w:rPr>
          <w:lang w:val="fr-FR"/>
        </w:rPr>
        <w:t>» (GTB</w:t>
      </w:r>
      <w:r>
        <w:rPr>
          <w:lang w:val="fr-FR"/>
        </w:rPr>
        <w:t>)</w:t>
      </w:r>
      <w:r w:rsidRPr="00473E23">
        <w:rPr>
          <w:rStyle w:val="FootnoteReference"/>
          <w:b w:val="0"/>
          <w:sz w:val="20"/>
          <w:vertAlign w:val="baseline"/>
        </w:rPr>
        <w:footnoteReference w:customMarkFollows="1" w:id="2"/>
        <w:t>*</w:t>
      </w:r>
    </w:p>
    <w:p w:rsidR="00473E23" w:rsidRDefault="00473E23" w:rsidP="00DE0A6B">
      <w:pPr>
        <w:pStyle w:val="SingleTxtG"/>
        <w:ind w:firstLine="567"/>
        <w:rPr>
          <w:b/>
        </w:rPr>
      </w:pPr>
      <w:r>
        <w:rPr>
          <w:lang w:val="fr-FR"/>
        </w:rPr>
        <w:t>Le texte reproduit ci-après, établi par l’expert du GTB, vise à réduire la gêne que constitue l’éblouissement causé par les feux de sig</w:t>
      </w:r>
      <w:r w:rsidR="00DE0A6B">
        <w:rPr>
          <w:lang w:val="fr-FR"/>
        </w:rPr>
        <w:t>nalisation vus à proximité dans</w:t>
      </w:r>
      <w:r>
        <w:rPr>
          <w:lang w:val="fr-FR"/>
        </w:rPr>
        <w:t xml:space="preserve"> une circulation lente. Les modifications qu’il est proposé d’apporter au texte actuel du Règlement ONU figurent en caractères gras pour les ajouts et biffés pour les suppressions.</w:t>
      </w:r>
    </w:p>
    <w:p w:rsidR="00473E23" w:rsidRPr="00111ACD" w:rsidRDefault="00DE0A6B" w:rsidP="00DE0A6B">
      <w:pPr>
        <w:pStyle w:val="HChG"/>
      </w:pPr>
      <w:r>
        <w:br w:type="page"/>
      </w:r>
      <w:r>
        <w:lastRenderedPageBreak/>
        <w:tab/>
      </w:r>
      <w:r w:rsidR="00473E23">
        <w:rPr>
          <w:lang w:val="fr-FR"/>
        </w:rPr>
        <w:t>I.</w:t>
      </w:r>
      <w:r w:rsidR="00473E23">
        <w:rPr>
          <w:lang w:val="fr-FR"/>
        </w:rPr>
        <w:tab/>
        <w:t>Proposition</w:t>
      </w:r>
    </w:p>
    <w:p w:rsidR="00473E23" w:rsidRPr="00D233FA" w:rsidRDefault="00473E23" w:rsidP="00473E23">
      <w:pPr>
        <w:pStyle w:val="SingleTxtG"/>
        <w:rPr>
          <w:i/>
        </w:rPr>
      </w:pPr>
      <w:r>
        <w:rPr>
          <w:i/>
          <w:iCs/>
          <w:lang w:val="fr-FR"/>
        </w:rPr>
        <w:t>Paragraphe 5.26, modifier comme suit</w:t>
      </w:r>
      <w:r w:rsidR="00DE0A6B">
        <w:rPr>
          <w:i/>
          <w:iCs/>
          <w:lang w:val="fr-FR"/>
        </w:rPr>
        <w:t> </w:t>
      </w:r>
      <w:r w:rsidRPr="00DE0A6B">
        <w:rPr>
          <w:iCs/>
          <w:lang w:val="fr-FR"/>
        </w:rPr>
        <w:t>:</w:t>
      </w:r>
    </w:p>
    <w:p w:rsidR="00473E23" w:rsidRPr="00D233FA" w:rsidRDefault="00DE0A6B" w:rsidP="00DE0A6B">
      <w:pPr>
        <w:pStyle w:val="SingleTxtG"/>
        <w:ind w:left="2268" w:hanging="1134"/>
        <w:rPr>
          <w:bCs/>
        </w:rPr>
      </w:pPr>
      <w:r>
        <w:rPr>
          <w:lang w:val="fr-FR"/>
        </w:rPr>
        <w:t>« </w:t>
      </w:r>
      <w:r w:rsidR="00473E23">
        <w:rPr>
          <w:lang w:val="fr-FR"/>
        </w:rPr>
        <w:t>5.26</w:t>
      </w:r>
      <w:r w:rsidR="00473E23">
        <w:rPr>
          <w:lang w:val="fr-FR"/>
        </w:rPr>
        <w:tab/>
        <w:t xml:space="preserve">Les feux indicateurs de direction arrière </w:t>
      </w:r>
      <w:r>
        <w:rPr>
          <w:b/>
          <w:bCs/>
          <w:lang w:val="fr-FR"/>
        </w:rPr>
        <w:t>de la catégorie </w:t>
      </w:r>
      <w:r w:rsidR="00473E23">
        <w:rPr>
          <w:b/>
          <w:bCs/>
          <w:lang w:val="fr-FR"/>
        </w:rPr>
        <w:t>2b</w:t>
      </w:r>
      <w:r w:rsidR="00473E23">
        <w:rPr>
          <w:lang w:val="fr-FR"/>
        </w:rPr>
        <w:t xml:space="preserve">, les feux de position arrière </w:t>
      </w:r>
      <w:r>
        <w:rPr>
          <w:b/>
          <w:bCs/>
          <w:lang w:val="fr-FR"/>
        </w:rPr>
        <w:t>de la catégorie </w:t>
      </w:r>
      <w:r w:rsidR="00473E23">
        <w:rPr>
          <w:b/>
          <w:bCs/>
          <w:lang w:val="fr-FR"/>
        </w:rPr>
        <w:t>R2</w:t>
      </w:r>
      <w:r w:rsidR="00473E23">
        <w:rPr>
          <w:lang w:val="fr-FR"/>
        </w:rPr>
        <w:t xml:space="preserve">, les feux-stop </w:t>
      </w:r>
      <w:r>
        <w:rPr>
          <w:b/>
          <w:bCs/>
          <w:lang w:val="fr-FR"/>
        </w:rPr>
        <w:t>de la catégorie </w:t>
      </w:r>
      <w:r w:rsidR="00473E23">
        <w:rPr>
          <w:b/>
          <w:bCs/>
          <w:lang w:val="fr-FR"/>
        </w:rPr>
        <w:t xml:space="preserve">S2 </w:t>
      </w:r>
      <w:r>
        <w:rPr>
          <w:strike/>
          <w:lang w:val="fr-FR"/>
        </w:rPr>
        <w:t>(à </w:t>
      </w:r>
      <w:r w:rsidR="00473E23">
        <w:rPr>
          <w:strike/>
          <w:lang w:val="fr-FR"/>
        </w:rPr>
        <w:t xml:space="preserve">l’exception des feux-stop de la catégorie S4) </w:t>
      </w:r>
      <w:r w:rsidR="00473E23">
        <w:rPr>
          <w:lang w:val="fr-FR"/>
        </w:rPr>
        <w:t xml:space="preserve">et les feux de brouillard arrière </w:t>
      </w:r>
      <w:r w:rsidR="00473E23">
        <w:rPr>
          <w:b/>
          <w:bCs/>
          <w:lang w:val="fr-FR"/>
        </w:rPr>
        <w:t>de la catégorie</w:t>
      </w:r>
      <w:r>
        <w:rPr>
          <w:b/>
          <w:bCs/>
          <w:lang w:val="fr-FR"/>
        </w:rPr>
        <w:t> </w:t>
      </w:r>
      <w:r w:rsidR="00473E23">
        <w:rPr>
          <w:b/>
          <w:bCs/>
          <w:lang w:val="fr-FR"/>
        </w:rPr>
        <w:t>F2</w:t>
      </w:r>
      <w:r w:rsidR="00473E23">
        <w:rPr>
          <w:lang w:val="fr-FR"/>
        </w:rPr>
        <w:t xml:space="preserve"> à régulateur d’intensité, en réponse simultanée à </w:t>
      </w:r>
      <w:r w:rsidR="00473E23">
        <w:rPr>
          <w:strike/>
          <w:lang w:val="fr-FR"/>
        </w:rPr>
        <w:t>au moins l’</w:t>
      </w:r>
      <w:r w:rsidR="00473E23">
        <w:rPr>
          <w:lang w:val="fr-FR"/>
        </w:rPr>
        <w:t xml:space="preserve">un </w:t>
      </w:r>
      <w:r w:rsidR="00473E23" w:rsidRPr="001812CC">
        <w:rPr>
          <w:b/>
          <w:lang w:val="fr-FR"/>
        </w:rPr>
        <w:t>ou plusieurs</w:t>
      </w:r>
      <w:r w:rsidR="00473E23">
        <w:rPr>
          <w:lang w:val="fr-FR"/>
        </w:rPr>
        <w:t xml:space="preserve"> effets extérieurs </w:t>
      </w:r>
      <w:r w:rsidR="00473E23">
        <w:rPr>
          <w:strike/>
          <w:lang w:val="fr-FR"/>
        </w:rPr>
        <w:t>suivants</w:t>
      </w:r>
      <w:r w:rsidR="00553CFF">
        <w:rPr>
          <w:strike/>
          <w:lang w:val="fr-FR"/>
        </w:rPr>
        <w:t> </w:t>
      </w:r>
      <w:r w:rsidR="00473E23">
        <w:rPr>
          <w:strike/>
          <w:lang w:val="fr-FR"/>
        </w:rPr>
        <w:t>: éclairage ambiant, brouillard, chute de neige, pluie, bruine, nuages de poussières, proximité d’une surface émettant de la lumière</w:t>
      </w:r>
      <w:r w:rsidR="00473E23">
        <w:rPr>
          <w:lang w:val="fr-FR"/>
        </w:rPr>
        <w:t xml:space="preserve"> parmi ceux </w:t>
      </w:r>
      <w:r w:rsidR="00473E23">
        <w:rPr>
          <w:b/>
          <w:bCs/>
          <w:lang w:val="fr-FR"/>
        </w:rPr>
        <w:t>visés aux paragraphes 5.26.1 et 5.26.2, sont autorisés</w:t>
      </w:r>
      <w:r w:rsidR="00473E23">
        <w:rPr>
          <w:lang w:val="fr-FR"/>
        </w:rPr>
        <w:t xml:space="preserve">, à condition de conserver au cours des transitions la relation prescrite entre les intensités. </w:t>
      </w:r>
      <w:r w:rsidR="00473E23">
        <w:rPr>
          <w:strike/>
          <w:lang w:val="fr-FR"/>
        </w:rPr>
        <w:t>Les variations d’intensité au cours de ces transitions doivent se faire progressivement, sans à-coups.</w:t>
      </w:r>
      <w:r w:rsidR="00473E23">
        <w:rPr>
          <w:lang w:val="fr-FR"/>
        </w:rPr>
        <w:t xml:space="preserve"> </w:t>
      </w:r>
      <w:r w:rsidR="00473E23">
        <w:rPr>
          <w:strike/>
          <w:lang w:val="fr-FR"/>
        </w:rPr>
        <w:t>Les feux-stop de la catégorie S4 peuvent produire une lumière d’intensité variable indépendamment des autres feux.</w:t>
      </w:r>
      <w:r w:rsidR="00473E23">
        <w:rPr>
          <w:lang w:val="fr-FR"/>
        </w:rPr>
        <w:t xml:space="preserve"> </w:t>
      </w:r>
      <w:r w:rsidR="00473E23">
        <w:rPr>
          <w:strike/>
          <w:lang w:val="fr-FR"/>
        </w:rPr>
        <w:t xml:space="preserve">Le conducteur doit avoir la possibilité de mettre les feux en mode </w:t>
      </w:r>
      <w:r w:rsidR="00553CFF">
        <w:rPr>
          <w:strike/>
          <w:lang w:val="fr-FR"/>
        </w:rPr>
        <w:t>“</w:t>
      </w:r>
      <w:r w:rsidR="00473E23">
        <w:rPr>
          <w:strike/>
          <w:lang w:val="fr-FR"/>
        </w:rPr>
        <w:t>intensité constante</w:t>
      </w:r>
      <w:r w:rsidR="00553CFF">
        <w:rPr>
          <w:strike/>
          <w:lang w:val="fr-FR"/>
        </w:rPr>
        <w:t>” puis de revenir en mode “</w:t>
      </w:r>
      <w:r w:rsidR="00473E23">
        <w:rPr>
          <w:strike/>
          <w:lang w:val="fr-FR"/>
        </w:rPr>
        <w:t>intensité variable</w:t>
      </w:r>
      <w:r w:rsidR="00553CFF">
        <w:rPr>
          <w:strike/>
          <w:lang w:val="fr-FR"/>
        </w:rPr>
        <w:t>”</w:t>
      </w:r>
      <w:r w:rsidR="00473E23">
        <w:rPr>
          <w:strike/>
          <w:lang w:val="fr-FR"/>
        </w:rPr>
        <w:t>.</w:t>
      </w:r>
    </w:p>
    <w:p w:rsidR="00473E23" w:rsidRPr="00084DFB" w:rsidRDefault="00473E23" w:rsidP="00DE0A6B">
      <w:pPr>
        <w:pStyle w:val="SingleTxtG"/>
        <w:ind w:left="2268" w:hanging="1134"/>
        <w:rPr>
          <w:b/>
        </w:rPr>
      </w:pPr>
      <w:r w:rsidRPr="000D686C">
        <w:rPr>
          <w:b/>
          <w:lang w:val="fr-FR"/>
        </w:rPr>
        <w:t>5.26.1</w:t>
      </w:r>
      <w:r w:rsidRPr="00084DFB">
        <w:rPr>
          <w:b/>
          <w:lang w:val="fr-FR"/>
        </w:rPr>
        <w:tab/>
        <w:t xml:space="preserve">Conditions </w:t>
      </w:r>
      <w:r>
        <w:rPr>
          <w:b/>
          <w:lang w:val="fr-FR"/>
        </w:rPr>
        <w:t>ambiantes</w:t>
      </w:r>
    </w:p>
    <w:p w:rsidR="00473E23" w:rsidRPr="00084DFB" w:rsidRDefault="00473E23" w:rsidP="00DE0A6B">
      <w:pPr>
        <w:pStyle w:val="SingleTxtG"/>
        <w:ind w:left="2268"/>
        <w:rPr>
          <w:b/>
        </w:rPr>
      </w:pPr>
      <w:r w:rsidRPr="00084DFB">
        <w:rPr>
          <w:b/>
          <w:lang w:val="fr-FR"/>
        </w:rPr>
        <w:tab/>
        <w:t>Les variations d</w:t>
      </w:r>
      <w:r>
        <w:rPr>
          <w:b/>
          <w:lang w:val="fr-FR"/>
        </w:rPr>
        <w:t>’</w:t>
      </w:r>
      <w:r w:rsidRPr="00084DFB">
        <w:rPr>
          <w:b/>
          <w:lang w:val="fr-FR"/>
        </w:rPr>
        <w:t xml:space="preserve">intensité lumineuse, dans les limites prescrites </w:t>
      </w:r>
      <w:r>
        <w:rPr>
          <w:b/>
          <w:lang w:val="fr-FR"/>
        </w:rPr>
        <w:t xml:space="preserve">par </w:t>
      </w:r>
      <w:r w:rsidRPr="00084DFB">
        <w:rPr>
          <w:b/>
          <w:lang w:val="fr-FR"/>
        </w:rPr>
        <w:t xml:space="preserve">les </w:t>
      </w:r>
      <w:r>
        <w:rPr>
          <w:b/>
          <w:lang w:val="fr-FR"/>
        </w:rPr>
        <w:t>R</w:t>
      </w:r>
      <w:r w:rsidRPr="00084DFB">
        <w:rPr>
          <w:b/>
          <w:lang w:val="fr-FR"/>
        </w:rPr>
        <w:t>èglements ONU pertinents, sont autorisées dans les conditions suivantes</w:t>
      </w:r>
      <w:r w:rsidR="00DE0A6B">
        <w:rPr>
          <w:b/>
          <w:lang w:val="fr-FR"/>
        </w:rPr>
        <w:t> </w:t>
      </w:r>
      <w:r w:rsidRPr="00084DFB">
        <w:rPr>
          <w:b/>
          <w:lang w:val="fr-FR"/>
        </w:rPr>
        <w:t>:</w:t>
      </w:r>
    </w:p>
    <w:p w:rsidR="00DE0A6B" w:rsidRDefault="00DE0A6B" w:rsidP="00DE0A6B">
      <w:pPr>
        <w:pStyle w:val="SingleTxtG"/>
        <w:ind w:left="2268"/>
        <w:rPr>
          <w:b/>
          <w:lang w:val="fr-FR"/>
        </w:rPr>
      </w:pPr>
      <w:r>
        <w:rPr>
          <w:b/>
        </w:rPr>
        <w:t>a)</w:t>
      </w:r>
      <w:r>
        <w:rPr>
          <w:b/>
        </w:rPr>
        <w:tab/>
      </w:r>
      <w:r w:rsidR="00473E23">
        <w:rPr>
          <w:b/>
          <w:lang w:val="fr-FR"/>
        </w:rPr>
        <w:t>É</w:t>
      </w:r>
      <w:r w:rsidR="00473E23" w:rsidRPr="00084DFB">
        <w:rPr>
          <w:b/>
          <w:lang w:val="fr-FR"/>
        </w:rPr>
        <w:t>clairage ambiant</w:t>
      </w:r>
      <w:r w:rsidR="00473E23">
        <w:rPr>
          <w:b/>
          <w:lang w:val="fr-FR"/>
        </w:rPr>
        <w:t> ;</w:t>
      </w:r>
    </w:p>
    <w:p w:rsidR="00DE0A6B" w:rsidRDefault="00DE0A6B" w:rsidP="00DE0A6B">
      <w:pPr>
        <w:pStyle w:val="SingleTxtG"/>
        <w:ind w:left="2268"/>
        <w:rPr>
          <w:b/>
          <w:lang w:val="fr-FR"/>
        </w:rPr>
      </w:pPr>
      <w:r>
        <w:rPr>
          <w:b/>
          <w:lang w:val="fr-FR"/>
        </w:rPr>
        <w:t>b)</w:t>
      </w:r>
      <w:r>
        <w:rPr>
          <w:b/>
          <w:lang w:val="fr-FR"/>
        </w:rPr>
        <w:tab/>
      </w:r>
      <w:r w:rsidR="00473E23" w:rsidRPr="00084DFB">
        <w:rPr>
          <w:b/>
          <w:lang w:val="fr-FR"/>
        </w:rPr>
        <w:t>Brouillard</w:t>
      </w:r>
      <w:r>
        <w:rPr>
          <w:b/>
          <w:lang w:val="fr-FR"/>
        </w:rPr>
        <w:t> ;</w:t>
      </w:r>
    </w:p>
    <w:p w:rsidR="00DE0A6B" w:rsidRDefault="00DE0A6B" w:rsidP="00DE0A6B">
      <w:pPr>
        <w:pStyle w:val="SingleTxtG"/>
        <w:ind w:left="2268"/>
        <w:rPr>
          <w:b/>
          <w:lang w:val="fr-FR"/>
        </w:rPr>
      </w:pPr>
      <w:r>
        <w:rPr>
          <w:b/>
          <w:lang w:val="fr-FR"/>
        </w:rPr>
        <w:t>c)</w:t>
      </w:r>
      <w:r>
        <w:rPr>
          <w:b/>
          <w:lang w:val="fr-FR"/>
        </w:rPr>
        <w:tab/>
      </w:r>
      <w:r w:rsidR="00473E23" w:rsidRPr="00084DFB">
        <w:rPr>
          <w:b/>
          <w:lang w:val="fr-FR"/>
        </w:rPr>
        <w:t>Chutes de neige</w:t>
      </w:r>
      <w:r w:rsidR="00473E23">
        <w:rPr>
          <w:b/>
          <w:lang w:val="fr-FR"/>
        </w:rPr>
        <w:t> ;</w:t>
      </w:r>
    </w:p>
    <w:p w:rsidR="00DE0A6B" w:rsidRDefault="00DE0A6B" w:rsidP="00DE0A6B">
      <w:pPr>
        <w:pStyle w:val="SingleTxtG"/>
        <w:ind w:left="2268"/>
        <w:rPr>
          <w:b/>
          <w:lang w:val="fr-FR"/>
        </w:rPr>
      </w:pPr>
      <w:r>
        <w:rPr>
          <w:b/>
          <w:lang w:val="fr-FR"/>
        </w:rPr>
        <w:t>d)</w:t>
      </w:r>
      <w:r>
        <w:rPr>
          <w:b/>
          <w:lang w:val="fr-FR"/>
        </w:rPr>
        <w:tab/>
      </w:r>
      <w:r w:rsidR="00473E23" w:rsidRPr="00084DFB">
        <w:rPr>
          <w:b/>
          <w:lang w:val="fr-FR"/>
        </w:rPr>
        <w:t>Pluie</w:t>
      </w:r>
      <w:r w:rsidR="00473E23">
        <w:rPr>
          <w:b/>
          <w:lang w:val="fr-FR"/>
        </w:rPr>
        <w:t> ;</w:t>
      </w:r>
    </w:p>
    <w:p w:rsidR="00DE0A6B" w:rsidRDefault="00DE0A6B" w:rsidP="00DE0A6B">
      <w:pPr>
        <w:pStyle w:val="SingleTxtG"/>
        <w:ind w:left="2268"/>
        <w:rPr>
          <w:b/>
          <w:lang w:val="fr-FR"/>
        </w:rPr>
      </w:pPr>
      <w:r>
        <w:rPr>
          <w:b/>
          <w:lang w:val="fr-FR"/>
        </w:rPr>
        <w:t>e)</w:t>
      </w:r>
      <w:r>
        <w:rPr>
          <w:b/>
          <w:lang w:val="fr-FR"/>
        </w:rPr>
        <w:tab/>
      </w:r>
      <w:r w:rsidR="00473E23" w:rsidRPr="00084DFB">
        <w:rPr>
          <w:b/>
          <w:lang w:val="fr-FR"/>
        </w:rPr>
        <w:t>Bruine</w:t>
      </w:r>
      <w:r w:rsidR="00473E23">
        <w:rPr>
          <w:b/>
          <w:lang w:val="fr-FR"/>
        </w:rPr>
        <w:t> ;</w:t>
      </w:r>
    </w:p>
    <w:p w:rsidR="00DE0A6B" w:rsidRDefault="00DE0A6B" w:rsidP="00DE0A6B">
      <w:pPr>
        <w:pStyle w:val="SingleTxtG"/>
        <w:ind w:left="2268"/>
        <w:rPr>
          <w:b/>
          <w:lang w:val="fr-FR"/>
        </w:rPr>
      </w:pPr>
      <w:r>
        <w:rPr>
          <w:b/>
          <w:lang w:val="fr-FR"/>
        </w:rPr>
        <w:t>f)</w:t>
      </w:r>
      <w:r>
        <w:rPr>
          <w:b/>
          <w:lang w:val="fr-FR"/>
        </w:rPr>
        <w:tab/>
      </w:r>
      <w:r w:rsidR="00473E23" w:rsidRPr="00084DFB">
        <w:rPr>
          <w:b/>
          <w:lang w:val="fr-FR"/>
        </w:rPr>
        <w:t>Nuages de poussière</w:t>
      </w:r>
      <w:r w:rsidR="00473E23">
        <w:rPr>
          <w:b/>
          <w:lang w:val="fr-FR"/>
        </w:rPr>
        <w:t> ;</w:t>
      </w:r>
    </w:p>
    <w:p w:rsidR="00473E23" w:rsidRPr="00084DFB" w:rsidRDefault="00DE0A6B" w:rsidP="00DE0A6B">
      <w:pPr>
        <w:pStyle w:val="SingleTxtG"/>
        <w:ind w:left="2268"/>
        <w:rPr>
          <w:b/>
        </w:rPr>
      </w:pPr>
      <w:r>
        <w:rPr>
          <w:b/>
          <w:lang w:val="fr-FR"/>
        </w:rPr>
        <w:t>g)</w:t>
      </w:r>
      <w:r>
        <w:rPr>
          <w:b/>
          <w:lang w:val="fr-FR"/>
        </w:rPr>
        <w:tab/>
      </w:r>
      <w:r w:rsidR="00473E23" w:rsidRPr="00084DFB">
        <w:rPr>
          <w:b/>
          <w:lang w:val="fr-FR"/>
        </w:rPr>
        <w:t>Proximité d</w:t>
      </w:r>
      <w:r w:rsidR="00473E23">
        <w:rPr>
          <w:b/>
          <w:lang w:val="fr-FR"/>
        </w:rPr>
        <w:t>’</w:t>
      </w:r>
      <w:r w:rsidR="00473E23" w:rsidRPr="00084DFB">
        <w:rPr>
          <w:b/>
          <w:lang w:val="fr-FR"/>
        </w:rPr>
        <w:t>une surface émettant de la lumière</w:t>
      </w:r>
      <w:r w:rsidR="00473E23">
        <w:rPr>
          <w:b/>
          <w:lang w:val="fr-FR"/>
        </w:rPr>
        <w:t>.</w:t>
      </w:r>
    </w:p>
    <w:p w:rsidR="00473E23" w:rsidRPr="00084DFB" w:rsidRDefault="00473E23" w:rsidP="00DE0A6B">
      <w:pPr>
        <w:pStyle w:val="SingleTxtG"/>
        <w:ind w:left="2268" w:hanging="1134"/>
        <w:rPr>
          <w:b/>
        </w:rPr>
      </w:pPr>
      <w:r w:rsidRPr="00084DFB">
        <w:rPr>
          <w:b/>
          <w:lang w:val="fr-FR"/>
        </w:rPr>
        <w:t>5.26.2</w:t>
      </w:r>
      <w:r w:rsidRPr="00084DFB">
        <w:rPr>
          <w:b/>
          <w:lang w:val="fr-FR"/>
        </w:rPr>
        <w:tab/>
        <w:t>Conditions de circulation</w:t>
      </w:r>
    </w:p>
    <w:p w:rsidR="00473E23" w:rsidRPr="00084DFB" w:rsidRDefault="00473E23" w:rsidP="00DE0A6B">
      <w:pPr>
        <w:pStyle w:val="SingleTxtG"/>
        <w:ind w:left="2268"/>
        <w:rPr>
          <w:b/>
        </w:rPr>
      </w:pPr>
      <w:r w:rsidRPr="00084DFB">
        <w:rPr>
          <w:b/>
          <w:lang w:val="fr-FR"/>
        </w:rPr>
        <w:tab/>
        <w:t>Les réductions d</w:t>
      </w:r>
      <w:r>
        <w:rPr>
          <w:b/>
          <w:lang w:val="fr-FR"/>
        </w:rPr>
        <w:t>’</w:t>
      </w:r>
      <w:r w:rsidRPr="00084DFB">
        <w:rPr>
          <w:b/>
          <w:lang w:val="fr-FR"/>
        </w:rPr>
        <w:t xml:space="preserve">intensité lumineuse, dans les limites prescrites dans les </w:t>
      </w:r>
      <w:r>
        <w:rPr>
          <w:b/>
          <w:lang w:val="fr-FR"/>
        </w:rPr>
        <w:t>R</w:t>
      </w:r>
      <w:r w:rsidRPr="00084DFB">
        <w:rPr>
          <w:b/>
          <w:lang w:val="fr-FR"/>
        </w:rPr>
        <w:t xml:space="preserve">èglements ONU pertinents, sont autorisées </w:t>
      </w:r>
      <w:r>
        <w:rPr>
          <w:b/>
          <w:lang w:val="fr-FR"/>
        </w:rPr>
        <w:t>uniquement si les deux conditions suivantes sont réunies</w:t>
      </w:r>
      <w:r w:rsidR="002468E3">
        <w:rPr>
          <w:b/>
          <w:lang w:val="fr-FR"/>
        </w:rPr>
        <w:t> </w:t>
      </w:r>
      <w:r w:rsidRPr="00084DFB">
        <w:rPr>
          <w:b/>
          <w:lang w:val="fr-FR"/>
        </w:rPr>
        <w:t>:</w:t>
      </w:r>
    </w:p>
    <w:p w:rsidR="00473E23" w:rsidRPr="00084DFB" w:rsidRDefault="00DE0A6B" w:rsidP="00DE0A6B">
      <w:pPr>
        <w:pStyle w:val="SingleTxtG"/>
        <w:ind w:left="2268"/>
        <w:rPr>
          <w:b/>
        </w:rPr>
      </w:pPr>
      <w:r>
        <w:rPr>
          <w:b/>
          <w:lang w:val="fr-FR"/>
        </w:rPr>
        <w:t>a)</w:t>
      </w:r>
      <w:r>
        <w:rPr>
          <w:b/>
          <w:lang w:val="fr-FR"/>
        </w:rPr>
        <w:tab/>
      </w:r>
      <w:r w:rsidR="00473E23" w:rsidRPr="00084DFB">
        <w:rPr>
          <w:b/>
          <w:lang w:val="fr-FR"/>
        </w:rPr>
        <w:t>La vitesse du véhicule est inférieure à 20 km/h ;</w:t>
      </w:r>
    </w:p>
    <w:p w:rsidR="00473E23" w:rsidRPr="00084DFB" w:rsidRDefault="00DE0A6B" w:rsidP="00DE0A6B">
      <w:pPr>
        <w:pStyle w:val="SingleTxtG"/>
        <w:ind w:left="2268"/>
        <w:rPr>
          <w:b/>
        </w:rPr>
      </w:pPr>
      <w:r>
        <w:rPr>
          <w:b/>
          <w:lang w:val="fr-FR"/>
        </w:rPr>
        <w:t>b)</w:t>
      </w:r>
      <w:r>
        <w:rPr>
          <w:b/>
          <w:lang w:val="fr-FR"/>
        </w:rPr>
        <w:tab/>
      </w:r>
      <w:r w:rsidR="00473E23" w:rsidRPr="00084DFB">
        <w:rPr>
          <w:b/>
          <w:lang w:val="fr-FR"/>
        </w:rPr>
        <w:t xml:space="preserve">La distance du ou des véhicules </w:t>
      </w:r>
      <w:r>
        <w:rPr>
          <w:b/>
          <w:lang w:val="fr-FR"/>
        </w:rPr>
        <w:t>qui suivent est inférieure à 20 </w:t>
      </w:r>
      <w:r w:rsidR="00473E23" w:rsidRPr="00084DFB">
        <w:rPr>
          <w:b/>
          <w:lang w:val="fr-FR"/>
        </w:rPr>
        <w:t>m</w:t>
      </w:r>
      <w:r w:rsidR="00473E23">
        <w:rPr>
          <w:b/>
          <w:lang w:val="fr-FR"/>
        </w:rPr>
        <w:t>.</w:t>
      </w:r>
    </w:p>
    <w:p w:rsidR="00473E23" w:rsidRPr="00084DFB" w:rsidRDefault="00473E23" w:rsidP="00DE0A6B">
      <w:pPr>
        <w:pStyle w:val="SingleTxtG"/>
        <w:ind w:left="2268" w:hanging="1134"/>
        <w:rPr>
          <w:b/>
        </w:rPr>
      </w:pPr>
      <w:r w:rsidRPr="00084DFB">
        <w:rPr>
          <w:b/>
          <w:lang w:val="fr-FR"/>
        </w:rPr>
        <w:t>5.26.3</w:t>
      </w:r>
      <w:r w:rsidRPr="00084DFB">
        <w:rPr>
          <w:b/>
          <w:lang w:val="fr-FR"/>
        </w:rPr>
        <w:tab/>
      </w:r>
      <w:r w:rsidR="002468E3">
        <w:rPr>
          <w:b/>
          <w:lang w:val="fr-FR"/>
        </w:rPr>
        <w:t>Les feux-stop de la catégorie </w:t>
      </w:r>
      <w:r w:rsidRPr="00084DFB">
        <w:rPr>
          <w:b/>
          <w:lang w:val="fr-FR"/>
        </w:rPr>
        <w:t>S4 peuvent produire une lumière d</w:t>
      </w:r>
      <w:r>
        <w:rPr>
          <w:b/>
          <w:lang w:val="fr-FR"/>
        </w:rPr>
        <w:t>’</w:t>
      </w:r>
      <w:r w:rsidRPr="00084DFB">
        <w:rPr>
          <w:b/>
          <w:lang w:val="fr-FR"/>
        </w:rPr>
        <w:t>intensité variable, en fonction des facteurs extérieurs énumérés aux paragraphes 5.26.1 et 5.26.2, indépendamment des autres feux.</w:t>
      </w:r>
    </w:p>
    <w:p w:rsidR="00473E23" w:rsidRPr="00084DFB" w:rsidRDefault="00473E23" w:rsidP="00DE0A6B">
      <w:pPr>
        <w:pStyle w:val="SingleTxtG"/>
        <w:ind w:left="2268" w:hanging="1134"/>
        <w:rPr>
          <w:b/>
        </w:rPr>
      </w:pPr>
      <w:r w:rsidRPr="00084DFB">
        <w:rPr>
          <w:b/>
          <w:lang w:val="fr-FR"/>
        </w:rPr>
        <w:t>5.26.4</w:t>
      </w:r>
      <w:r w:rsidRPr="00084DFB">
        <w:rPr>
          <w:b/>
          <w:lang w:val="fr-FR"/>
        </w:rPr>
        <w:tab/>
        <w:t>Les variations d</w:t>
      </w:r>
      <w:r>
        <w:rPr>
          <w:b/>
          <w:lang w:val="fr-FR"/>
        </w:rPr>
        <w:t>’</w:t>
      </w:r>
      <w:r w:rsidRPr="00084DFB">
        <w:rPr>
          <w:b/>
          <w:lang w:val="fr-FR"/>
        </w:rPr>
        <w:t>intensité au cours de</w:t>
      </w:r>
      <w:r>
        <w:rPr>
          <w:b/>
          <w:lang w:val="fr-FR"/>
        </w:rPr>
        <w:t>s</w:t>
      </w:r>
      <w:r w:rsidRPr="00084DFB">
        <w:rPr>
          <w:b/>
          <w:lang w:val="fr-FR"/>
        </w:rPr>
        <w:t xml:space="preserve"> transitions doivent se faire progressivement, sans à-coups.</w:t>
      </w:r>
    </w:p>
    <w:p w:rsidR="00F9573C" w:rsidRDefault="00473E23" w:rsidP="00DE0A6B">
      <w:pPr>
        <w:pStyle w:val="SingleTxtG"/>
        <w:ind w:left="2268"/>
        <w:rPr>
          <w:b/>
          <w:lang w:val="fr-FR"/>
        </w:rPr>
      </w:pPr>
      <w:r w:rsidRPr="00084DFB">
        <w:rPr>
          <w:b/>
          <w:lang w:val="fr-FR"/>
        </w:rPr>
        <w:tab/>
        <w:t>Le conducteu</w:t>
      </w:r>
      <w:r w:rsidR="002468E3">
        <w:rPr>
          <w:b/>
          <w:lang w:val="fr-FR"/>
        </w:rPr>
        <w:t xml:space="preserve">r doit avoir la possibilité de </w:t>
      </w:r>
      <w:r w:rsidR="00553CFF">
        <w:rPr>
          <w:b/>
          <w:lang w:val="fr-FR"/>
        </w:rPr>
        <w:t>mettre les feux en mode “</w:t>
      </w:r>
      <w:r w:rsidRPr="00084DFB">
        <w:rPr>
          <w:b/>
          <w:lang w:val="fr-FR"/>
        </w:rPr>
        <w:t>intensité constante</w:t>
      </w:r>
      <w:r w:rsidR="00553CFF">
        <w:rPr>
          <w:b/>
          <w:lang w:val="fr-FR"/>
        </w:rPr>
        <w:t>”</w:t>
      </w:r>
      <w:r>
        <w:rPr>
          <w:b/>
          <w:lang w:val="fr-FR"/>
        </w:rPr>
        <w:t>,</w:t>
      </w:r>
      <w:r w:rsidRPr="00084DFB">
        <w:rPr>
          <w:b/>
          <w:lang w:val="fr-FR"/>
        </w:rPr>
        <w:t xml:space="preserve"> puis de revenir en mode </w:t>
      </w:r>
      <w:r w:rsidR="00553CFF">
        <w:rPr>
          <w:b/>
          <w:lang w:val="fr-FR"/>
        </w:rPr>
        <w:t>“</w:t>
      </w:r>
      <w:r w:rsidRPr="00084DFB">
        <w:rPr>
          <w:b/>
          <w:lang w:val="fr-FR"/>
        </w:rPr>
        <w:t>intensité variable</w:t>
      </w:r>
      <w:r w:rsidR="00553CFF">
        <w:rPr>
          <w:b/>
          <w:lang w:val="fr-FR"/>
        </w:rPr>
        <w:t>”</w:t>
      </w:r>
      <w:r w:rsidRPr="00084DFB">
        <w:rPr>
          <w:b/>
          <w:lang w:val="fr-FR"/>
        </w:rPr>
        <w:t>.</w:t>
      </w:r>
      <w:r w:rsidR="00553CFF" w:rsidRPr="00553CFF">
        <w:rPr>
          <w:lang w:val="fr-FR"/>
        </w:rPr>
        <w:t> ».</w:t>
      </w:r>
    </w:p>
    <w:p w:rsidR="001F4907" w:rsidRPr="00365FE0" w:rsidRDefault="001F4907" w:rsidP="001F4907">
      <w:pPr>
        <w:pStyle w:val="HChG"/>
      </w:pPr>
      <w:r>
        <w:br w:type="page"/>
      </w:r>
      <w:r>
        <w:lastRenderedPageBreak/>
        <w:tab/>
      </w:r>
      <w:r w:rsidRPr="00365FE0">
        <w:rPr>
          <w:lang w:val="fr-FR"/>
        </w:rPr>
        <w:t>II.</w:t>
      </w:r>
      <w:r w:rsidRPr="00365FE0">
        <w:rPr>
          <w:lang w:val="fr-FR"/>
        </w:rPr>
        <w:tab/>
        <w:t>Justification</w:t>
      </w:r>
    </w:p>
    <w:p w:rsidR="001F4907" w:rsidRDefault="001F4907" w:rsidP="001F4907">
      <w:pPr>
        <w:pStyle w:val="SingleTxtG"/>
      </w:pPr>
      <w:r>
        <w:rPr>
          <w:lang w:val="fr-FR"/>
        </w:rPr>
        <w:t>1.</w:t>
      </w:r>
      <w:r>
        <w:rPr>
          <w:lang w:val="fr-FR"/>
        </w:rPr>
        <w:tab/>
        <w:t>Cette proposition vise à réduire la gêne que constitue l’éblouissement causé par des feux de signalisation arrière de plus en plus performants, lorsqu’ils sont vus de près, tout en assurant la bonne visibilité des signaux dans toutes les situations.</w:t>
      </w:r>
    </w:p>
    <w:p w:rsidR="001F4907" w:rsidRDefault="001F4907" w:rsidP="001F4907">
      <w:pPr>
        <w:pStyle w:val="SingleTxtG"/>
        <w:rPr>
          <w:lang w:val="fr-FR"/>
        </w:rPr>
      </w:pPr>
      <w:r>
        <w:rPr>
          <w:lang w:val="fr-FR"/>
        </w:rPr>
        <w:t>Feux de signalisation arrière dans une circulation lente</w:t>
      </w:r>
    </w:p>
    <w:p w:rsidR="001F4907" w:rsidRDefault="001F4907" w:rsidP="001F4907">
      <w:pPr>
        <w:pStyle w:val="SingleTxtG"/>
      </w:pPr>
      <w:r>
        <w:rPr>
          <w:noProof/>
          <w:lang w:eastAsia="fr-CH"/>
        </w:rPr>
        <w:drawing>
          <wp:inline distT="0" distB="0" distL="0" distR="0" wp14:anchorId="66B9B43E" wp14:editId="7D44A189">
            <wp:extent cx="4680000" cy="200026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colorTemperature colorTemp="5900"/>
                              </a14:imgEffect>
                              <a14:imgEffect>
                                <a14:brightnessContrast contrast="40000"/>
                              </a14:imgEffect>
                            </a14:imgLayer>
                          </a14:imgProps>
                        </a:ext>
                      </a:extLst>
                    </a:blip>
                    <a:stretch>
                      <a:fillRect/>
                    </a:stretch>
                  </pic:blipFill>
                  <pic:spPr>
                    <a:xfrm>
                      <a:off x="0" y="0"/>
                      <a:ext cx="4680000" cy="2000267"/>
                    </a:xfrm>
                    <a:prstGeom prst="rect">
                      <a:avLst/>
                    </a:prstGeom>
                  </pic:spPr>
                </pic:pic>
              </a:graphicData>
            </a:graphic>
          </wp:inline>
        </w:drawing>
      </w:r>
    </w:p>
    <w:p w:rsidR="001F4907" w:rsidRPr="00D233FA" w:rsidRDefault="001F4907" w:rsidP="001F4907">
      <w:pPr>
        <w:pStyle w:val="SingleTxtG"/>
      </w:pPr>
      <w:r>
        <w:rPr>
          <w:lang w:val="fr-FR"/>
        </w:rPr>
        <w:t>2.</w:t>
      </w:r>
      <w:r>
        <w:rPr>
          <w:lang w:val="fr-FR"/>
        </w:rPr>
        <w:tab/>
        <w:t>Dans un souci de sécurité routière, l’aspect général des fonctions de signalisation doit être aussi homogène que possible dans toutes les conditions de conduite. À cette fin, des dispositions relatives à de nouvelles catégories de lampes (à intensité variable) ont été introduites dans les Règlements ONU</w:t>
      </w:r>
      <w:r w:rsidRPr="00E23141">
        <w:rPr>
          <w:lang w:val="fr-FR"/>
        </w:rPr>
        <w:t xml:space="preserve"> </w:t>
      </w:r>
      <w:r>
        <w:rPr>
          <w:lang w:val="fr-FR"/>
        </w:rPr>
        <w:t xml:space="preserve">il y a quelques années. Récemment toutefois, des facteurs tels que : </w:t>
      </w:r>
    </w:p>
    <w:p w:rsidR="001F4907" w:rsidRDefault="001F4907" w:rsidP="005F0787">
      <w:pPr>
        <w:pStyle w:val="SingleTxtG"/>
        <w:ind w:left="1701" w:hanging="567"/>
        <w:rPr>
          <w:lang w:val="fr-FR"/>
        </w:rPr>
      </w:pPr>
      <w:r>
        <w:rPr>
          <w:lang w:val="fr-FR"/>
        </w:rPr>
        <w:t>i)</w:t>
      </w:r>
      <w:r>
        <w:rPr>
          <w:lang w:val="fr-FR"/>
        </w:rPr>
        <w:tab/>
        <w:t>L’utilisation de sources lumineuses à DEL de plus en plus efficaces, installées dans des lampes ayant des lentilles extérieures très lisses et transparentes ;</w:t>
      </w:r>
    </w:p>
    <w:p w:rsidR="001F4907" w:rsidRDefault="001F4907" w:rsidP="005F0787">
      <w:pPr>
        <w:pStyle w:val="SingleTxtG"/>
        <w:ind w:left="1701" w:hanging="567"/>
        <w:rPr>
          <w:lang w:val="fr-FR"/>
        </w:rPr>
      </w:pPr>
      <w:r>
        <w:rPr>
          <w:lang w:val="fr-FR"/>
        </w:rPr>
        <w:t>ii)</w:t>
      </w:r>
      <w:r>
        <w:rPr>
          <w:lang w:val="fr-FR"/>
        </w:rPr>
        <w:tab/>
        <w:t>La réduction des dimensions de la surface apparente, surtout en ce qui concerne les fonctions plus avancées des feux de brouillard arrière et/ou des feux stop ;</w:t>
      </w:r>
    </w:p>
    <w:p w:rsidR="001F4907" w:rsidRPr="00A7797C" w:rsidRDefault="001F4907" w:rsidP="005F0787">
      <w:pPr>
        <w:pStyle w:val="SingleTxtG"/>
        <w:ind w:left="1701" w:hanging="567"/>
      </w:pPr>
      <w:r>
        <w:rPr>
          <w:lang w:val="fr-FR"/>
        </w:rPr>
        <w:t>iii)</w:t>
      </w:r>
      <w:r>
        <w:rPr>
          <w:lang w:val="fr-FR"/>
        </w:rPr>
        <w:tab/>
        <w:t>L’obligation de respecter les rapports photométriques entre les différentes fonctions des feux ;</w:t>
      </w:r>
    </w:p>
    <w:p w:rsidR="001F4907" w:rsidRPr="00D233FA" w:rsidRDefault="001F4907" w:rsidP="001F4907">
      <w:pPr>
        <w:pStyle w:val="SingleTxtG"/>
      </w:pPr>
      <w:r>
        <w:rPr>
          <w:lang w:val="fr-FR"/>
        </w:rPr>
        <w:t xml:space="preserve">peuvent avoir pour résultat une grande variété d’intensités lumineuses pouvant constituer une gêne pour le conducteur, et donc un danger potentiel la nuit en cas de </w:t>
      </w:r>
      <w:r w:rsidRPr="00F36A4D">
        <w:rPr>
          <w:lang w:val="fr-FR"/>
        </w:rPr>
        <w:t>circulation ralentie ou à l</w:t>
      </w:r>
      <w:r>
        <w:rPr>
          <w:lang w:val="fr-FR"/>
        </w:rPr>
        <w:t>’</w:t>
      </w:r>
      <w:r w:rsidRPr="00F36A4D">
        <w:rPr>
          <w:lang w:val="fr-FR"/>
        </w:rPr>
        <w:t>arrêt</w:t>
      </w:r>
      <w:r>
        <w:rPr>
          <w:lang w:val="fr-FR"/>
        </w:rPr>
        <w:t>.</w:t>
      </w:r>
    </w:p>
    <w:p w:rsidR="001F4907" w:rsidRPr="00D233FA" w:rsidRDefault="001F4907" w:rsidP="001F4907">
      <w:pPr>
        <w:pStyle w:val="SingleTxtG"/>
      </w:pPr>
      <w:r>
        <w:rPr>
          <w:lang w:val="fr-FR"/>
        </w:rPr>
        <w:t>3.</w:t>
      </w:r>
      <w:r>
        <w:rPr>
          <w:lang w:val="fr-FR"/>
        </w:rPr>
        <w:tab/>
        <w:t>Dans les dispositions actuelles du Règlement ONU, il n’est pas tenu compte de la proximité ou de la vitesse des véhicules en ce qui concerne la gêne due à l’éblouissement. L’amendement</w:t>
      </w:r>
      <w:r w:rsidR="00553CFF">
        <w:rPr>
          <w:lang w:val="fr-FR"/>
        </w:rPr>
        <w:t xml:space="preserve"> </w:t>
      </w:r>
      <w:r>
        <w:rPr>
          <w:lang w:val="fr-FR"/>
        </w:rPr>
        <w:t>proposé vise à introduire de nouveaux paramètres techniques,</w:t>
      </w:r>
      <w:r w:rsidR="00553CFF">
        <w:rPr>
          <w:lang w:val="fr-FR"/>
        </w:rPr>
        <w:t xml:space="preserve"> </w:t>
      </w:r>
      <w:r>
        <w:rPr>
          <w:lang w:val="fr-FR"/>
        </w:rPr>
        <w:t>à savoir la vitesse et la distance de séparation, pour déterminer une situation de proximité dans un trafic dense. Dans ces conditions, l’intensité variable des fonctions peut être ajustée afin de réduire le risque d’éblouissement gênant pour le conducteur du véhicule qui suit.</w:t>
      </w:r>
    </w:p>
    <w:p w:rsidR="001F4907" w:rsidRPr="00D233FA" w:rsidRDefault="001F4907" w:rsidP="001F4907">
      <w:pPr>
        <w:pStyle w:val="SingleTxtG"/>
      </w:pPr>
      <w:r>
        <w:rPr>
          <w:lang w:val="fr-FR"/>
        </w:rPr>
        <w:t>4.</w:t>
      </w:r>
      <w:r>
        <w:rPr>
          <w:lang w:val="fr-FR"/>
        </w:rPr>
        <w:tab/>
        <w:t>En ce qui concerne le paramètre de la vitesse des véhicules, il est proposé d’autoriser une intensité réduite lorsque la vitesse</w:t>
      </w:r>
      <w:r w:rsidR="00553CFF">
        <w:rPr>
          <w:lang w:val="fr-FR"/>
        </w:rPr>
        <w:t xml:space="preserve"> </w:t>
      </w:r>
      <w:r>
        <w:rPr>
          <w:lang w:val="fr-FR"/>
        </w:rPr>
        <w:t xml:space="preserve">est inférieure à 20 km/h. Cette disposition serait en accord avec la récente proposition de l’Équipe spéciale de l’allumage des projecteurs visant à faire passer de 10 km/h à 20 km/h la limite de vitesse appliquée actuellement pour l’activation </w:t>
      </w:r>
      <w:r w:rsidR="001812CC">
        <w:rPr>
          <w:lang w:val="fr-FR"/>
        </w:rPr>
        <w:t>ou</w:t>
      </w:r>
      <w:r>
        <w:rPr>
          <w:lang w:val="fr-FR"/>
        </w:rPr>
        <w:t xml:space="preserve"> la désactivation automatiques des fonctions d’éclairage (désactivation des feux de marche arrière auxiliaires/feux de manœuvre </w:t>
      </w:r>
      <w:r w:rsidR="001812CC">
        <w:rPr>
          <w:lang w:val="fr-FR"/>
        </w:rPr>
        <w:t xml:space="preserve">ou </w:t>
      </w:r>
      <w:r>
        <w:rPr>
          <w:lang w:val="fr-FR"/>
        </w:rPr>
        <w:t>activation des feux de circulation diurne</w:t>
      </w:r>
      <w:r w:rsidR="001812CC">
        <w:rPr>
          <w:lang w:val="fr-FR"/>
        </w:rPr>
        <w:t>, par exemple</w:t>
      </w:r>
      <w:r>
        <w:rPr>
          <w:lang w:val="fr-FR"/>
        </w:rPr>
        <w:t>). De même, le rappel du port de la ceinture de sécurité s’active également lorsque la vitesse du véhicule atteint 20 km/h.</w:t>
      </w:r>
    </w:p>
    <w:p w:rsidR="001F4907" w:rsidRDefault="001F4907" w:rsidP="001F4907">
      <w:pPr>
        <w:pStyle w:val="SingleTxtG"/>
        <w:rPr>
          <w:lang w:val="fr-FR"/>
        </w:rPr>
      </w:pPr>
      <w:r>
        <w:rPr>
          <w:lang w:val="fr-FR"/>
        </w:rPr>
        <w:t>5.</w:t>
      </w:r>
      <w:r>
        <w:rPr>
          <w:lang w:val="fr-FR"/>
        </w:rPr>
        <w:tab/>
        <w:t>S’agissant de la distance séparant les véhicules, il est proposé de la fixer à 20 mètres pour que les capteurs puissent détecter l’approche des véhicules qui suivent. À une vitesse de 20 km/h, la distance parcourue par un véhicule est d’environ 5,6 m par seconde. Dans le cas d’un véhicule ralentissant à l’approche d’un véhicule le précédant, on estime que la variation d’</w:t>
      </w:r>
      <w:r w:rsidR="002F0927">
        <w:rPr>
          <w:lang w:val="fr-FR"/>
        </w:rPr>
        <w:t>intensité</w:t>
      </w:r>
      <w:r>
        <w:rPr>
          <w:lang w:val="fr-FR"/>
        </w:rPr>
        <w:t xml:space="preserve"> s’effectue dans les 3 à 4 secondes avant l’arrêt du véhicule. Il est donc possible de faire varier en douceur l’intensité lumineuse de la fonction concernée.</w:t>
      </w:r>
    </w:p>
    <w:p w:rsidR="001F4907" w:rsidRDefault="001F4907" w:rsidP="001F4907">
      <w:pPr>
        <w:pStyle w:val="SingleTxtG"/>
        <w:rPr>
          <w:lang w:val="fr-FR"/>
        </w:rPr>
      </w:pPr>
      <w:r>
        <w:rPr>
          <w:lang w:val="fr-FR"/>
        </w:rPr>
        <w:lastRenderedPageBreak/>
        <w:t>6.</w:t>
      </w:r>
      <w:r>
        <w:rPr>
          <w:lang w:val="fr-FR"/>
        </w:rPr>
        <w:tab/>
        <w:t>Enfin, plusieurs modifications rédactionnelles ont été apportées, consistant notamment à subdiviser le paragraphe original en quatre sous-paragraphes, afin de rendre les prescriptions plus faciles à lire.</w:t>
      </w:r>
    </w:p>
    <w:p w:rsidR="001F4907" w:rsidRPr="001F4907" w:rsidRDefault="001F4907" w:rsidP="001F4907">
      <w:pPr>
        <w:pStyle w:val="SingleTxtG"/>
        <w:spacing w:before="240" w:after="0"/>
        <w:jc w:val="center"/>
        <w:rPr>
          <w:u w:val="single"/>
        </w:rPr>
      </w:pPr>
      <w:r>
        <w:rPr>
          <w:u w:val="single"/>
        </w:rPr>
        <w:tab/>
      </w:r>
      <w:r>
        <w:rPr>
          <w:u w:val="single"/>
        </w:rPr>
        <w:tab/>
      </w:r>
      <w:r>
        <w:rPr>
          <w:u w:val="single"/>
        </w:rPr>
        <w:tab/>
      </w:r>
    </w:p>
    <w:sectPr w:rsidR="001F4907" w:rsidRPr="001F4907" w:rsidSect="00473E2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F06" w:rsidRDefault="00810F06" w:rsidP="00F95C08">
      <w:pPr>
        <w:spacing w:line="240" w:lineRule="auto"/>
      </w:pPr>
    </w:p>
  </w:endnote>
  <w:endnote w:type="continuationSeparator" w:id="0">
    <w:p w:rsidR="00810F06" w:rsidRPr="00AC3823" w:rsidRDefault="00810F06" w:rsidP="00AC3823">
      <w:pPr>
        <w:pStyle w:val="Footer"/>
      </w:pPr>
    </w:p>
  </w:endnote>
  <w:endnote w:type="continuationNotice" w:id="1">
    <w:p w:rsidR="00810F06" w:rsidRDefault="00810F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23" w:rsidRPr="00473E23" w:rsidRDefault="00473E23" w:rsidP="00473E23">
    <w:pPr>
      <w:pStyle w:val="Footer"/>
      <w:tabs>
        <w:tab w:val="right" w:pos="9638"/>
      </w:tabs>
    </w:pPr>
    <w:r w:rsidRPr="00473E23">
      <w:rPr>
        <w:b/>
        <w:sz w:val="18"/>
      </w:rPr>
      <w:fldChar w:fldCharType="begin"/>
    </w:r>
    <w:r w:rsidRPr="00473E23">
      <w:rPr>
        <w:b/>
        <w:sz w:val="18"/>
      </w:rPr>
      <w:instrText xml:space="preserve"> PAGE  \* MERGEFORMAT </w:instrText>
    </w:r>
    <w:r w:rsidRPr="00473E23">
      <w:rPr>
        <w:b/>
        <w:sz w:val="18"/>
      </w:rPr>
      <w:fldChar w:fldCharType="separate"/>
    </w:r>
    <w:r w:rsidR="006E0D69">
      <w:rPr>
        <w:b/>
        <w:noProof/>
        <w:sz w:val="18"/>
      </w:rPr>
      <w:t>2</w:t>
    </w:r>
    <w:r w:rsidRPr="00473E23">
      <w:rPr>
        <w:b/>
        <w:sz w:val="18"/>
      </w:rPr>
      <w:fldChar w:fldCharType="end"/>
    </w:r>
    <w:r>
      <w:rPr>
        <w:b/>
        <w:sz w:val="18"/>
      </w:rPr>
      <w:tab/>
    </w:r>
    <w:r>
      <w:t>GE.18-13203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23" w:rsidRPr="00473E23" w:rsidRDefault="00473E23" w:rsidP="00473E23">
    <w:pPr>
      <w:pStyle w:val="Footer"/>
      <w:tabs>
        <w:tab w:val="right" w:pos="9638"/>
      </w:tabs>
      <w:rPr>
        <w:b/>
        <w:sz w:val="18"/>
      </w:rPr>
    </w:pPr>
    <w:r>
      <w:t>GE.18-13203</w:t>
    </w:r>
    <w:r>
      <w:tab/>
    </w:r>
    <w:r w:rsidRPr="00473E23">
      <w:rPr>
        <w:b/>
        <w:sz w:val="18"/>
      </w:rPr>
      <w:fldChar w:fldCharType="begin"/>
    </w:r>
    <w:r w:rsidRPr="00473E23">
      <w:rPr>
        <w:b/>
        <w:sz w:val="18"/>
      </w:rPr>
      <w:instrText xml:space="preserve"> PAGE  \* MERGEFORMAT </w:instrText>
    </w:r>
    <w:r w:rsidRPr="00473E23">
      <w:rPr>
        <w:b/>
        <w:sz w:val="18"/>
      </w:rPr>
      <w:fldChar w:fldCharType="separate"/>
    </w:r>
    <w:r w:rsidR="006E0D69">
      <w:rPr>
        <w:b/>
        <w:noProof/>
        <w:sz w:val="18"/>
      </w:rPr>
      <w:t>3</w:t>
    </w:r>
    <w:r w:rsidRPr="00473E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73E23" w:rsidRDefault="00473E23" w:rsidP="00473E2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18-13203  (F)    030918    070918</w:t>
    </w:r>
    <w:r>
      <w:rPr>
        <w:sz w:val="20"/>
      </w:rPr>
      <w:br/>
    </w:r>
    <w:r w:rsidRPr="00473E23">
      <w:rPr>
        <w:rFonts w:ascii="C39T30Lfz" w:hAnsi="C39T30Lfz"/>
        <w:sz w:val="56"/>
      </w:rPr>
      <w:t></w:t>
    </w:r>
    <w:r w:rsidRPr="00473E23">
      <w:rPr>
        <w:rFonts w:ascii="C39T30Lfz" w:hAnsi="C39T30Lfz"/>
        <w:sz w:val="56"/>
      </w:rPr>
      <w:t></w:t>
    </w:r>
    <w:r w:rsidRPr="00473E23">
      <w:rPr>
        <w:rFonts w:ascii="C39T30Lfz" w:hAnsi="C39T30Lfz"/>
        <w:sz w:val="56"/>
      </w:rPr>
      <w:t></w:t>
    </w:r>
    <w:r w:rsidRPr="00473E23">
      <w:rPr>
        <w:rFonts w:ascii="C39T30Lfz" w:hAnsi="C39T30Lfz"/>
        <w:sz w:val="56"/>
      </w:rPr>
      <w:t></w:t>
    </w:r>
    <w:r w:rsidRPr="00473E23">
      <w:rPr>
        <w:rFonts w:ascii="C39T30Lfz" w:hAnsi="C39T30Lfz"/>
        <w:sz w:val="56"/>
      </w:rPr>
      <w:t></w:t>
    </w:r>
    <w:r w:rsidRPr="00473E23">
      <w:rPr>
        <w:rFonts w:ascii="C39T30Lfz" w:hAnsi="C39T30Lfz"/>
        <w:sz w:val="56"/>
      </w:rPr>
      <w:t></w:t>
    </w:r>
    <w:r w:rsidRPr="00473E23">
      <w:rPr>
        <w:rFonts w:ascii="C39T30Lfz" w:hAnsi="C39T30Lfz"/>
        <w:sz w:val="56"/>
      </w:rPr>
      <w:t></w:t>
    </w:r>
    <w:r w:rsidRPr="00473E23">
      <w:rPr>
        <w:rFonts w:ascii="C39T30Lfz" w:hAnsi="C39T30Lfz"/>
        <w:sz w:val="56"/>
      </w:rPr>
      <w:t></w:t>
    </w:r>
    <w:r w:rsidRPr="00473E2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F06" w:rsidRPr="00AC3823" w:rsidRDefault="00810F06" w:rsidP="00AC3823">
      <w:pPr>
        <w:pStyle w:val="Footer"/>
        <w:tabs>
          <w:tab w:val="right" w:pos="2155"/>
        </w:tabs>
        <w:spacing w:after="80" w:line="240" w:lineRule="atLeast"/>
        <w:ind w:left="680"/>
        <w:rPr>
          <w:u w:val="single"/>
        </w:rPr>
      </w:pPr>
      <w:r>
        <w:rPr>
          <w:u w:val="single"/>
        </w:rPr>
        <w:tab/>
      </w:r>
    </w:p>
  </w:footnote>
  <w:footnote w:type="continuationSeparator" w:id="0">
    <w:p w:rsidR="00810F06" w:rsidRPr="00AC3823" w:rsidRDefault="00810F06" w:rsidP="00AC3823">
      <w:pPr>
        <w:pStyle w:val="Footer"/>
        <w:tabs>
          <w:tab w:val="right" w:pos="2155"/>
        </w:tabs>
        <w:spacing w:after="80" w:line="240" w:lineRule="atLeast"/>
        <w:ind w:left="680"/>
        <w:rPr>
          <w:u w:val="single"/>
        </w:rPr>
      </w:pPr>
      <w:r>
        <w:rPr>
          <w:u w:val="single"/>
        </w:rPr>
        <w:tab/>
      </w:r>
    </w:p>
  </w:footnote>
  <w:footnote w:type="continuationNotice" w:id="1">
    <w:p w:rsidR="00810F06" w:rsidRPr="00AC3823" w:rsidRDefault="00810F06">
      <w:pPr>
        <w:spacing w:line="240" w:lineRule="auto"/>
        <w:rPr>
          <w:sz w:val="2"/>
          <w:szCs w:val="2"/>
        </w:rPr>
      </w:pPr>
    </w:p>
  </w:footnote>
  <w:footnote w:id="2">
    <w:p w:rsidR="00473E23" w:rsidRPr="00473E23" w:rsidRDefault="00473E23">
      <w:pPr>
        <w:pStyle w:val="FootnoteText"/>
      </w:pPr>
      <w:r w:rsidRPr="00473E23">
        <w:rPr>
          <w:rStyle w:val="FootnoteReference"/>
          <w:spacing w:val="-1"/>
        </w:rPr>
        <w:tab/>
      </w:r>
      <w:r w:rsidRPr="00473E23">
        <w:rPr>
          <w:rStyle w:val="FootnoteReference"/>
          <w:spacing w:val="-1"/>
          <w:sz w:val="20"/>
          <w:vertAlign w:val="baseline"/>
        </w:rPr>
        <w:t>*</w:t>
      </w:r>
      <w:r w:rsidRPr="00473E23">
        <w:rPr>
          <w:rStyle w:val="FootnoteReference"/>
          <w:spacing w:val="-1"/>
          <w:sz w:val="20"/>
          <w:vertAlign w:val="baseline"/>
        </w:rPr>
        <w:tab/>
      </w:r>
      <w:r w:rsidRPr="00473E23">
        <w:rPr>
          <w:spacing w:val="-1"/>
          <w:lang w:val="fr-FR"/>
        </w:rPr>
        <w:t>Conformément au programme de travail du Comité des transports intérieurs pour la période 2018-2019</w:t>
      </w:r>
      <w:r>
        <w:rPr>
          <w:lang w:val="fr-FR"/>
        </w:rPr>
        <w:t xml:space="preserve">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23" w:rsidRPr="00473E23" w:rsidRDefault="00952FF5">
    <w:pPr>
      <w:pStyle w:val="Header"/>
    </w:pPr>
    <w:r>
      <w:fldChar w:fldCharType="begin"/>
    </w:r>
    <w:r>
      <w:instrText xml:space="preserve"> TITLE  \* MERGEFORMAT </w:instrText>
    </w:r>
    <w:r>
      <w:fldChar w:fldCharType="separate"/>
    </w:r>
    <w:r w:rsidR="006E0D69">
      <w:t>ECE/TRANS/WP.29/GRE/2018/51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23" w:rsidRPr="00473E23" w:rsidRDefault="00952FF5" w:rsidP="00473E23">
    <w:pPr>
      <w:pStyle w:val="Header"/>
      <w:jc w:val="right"/>
    </w:pPr>
    <w:r>
      <w:fldChar w:fldCharType="begin"/>
    </w:r>
    <w:r>
      <w:instrText xml:space="preserve"> TITLE  \* MERGEFORMAT </w:instrText>
    </w:r>
    <w:r>
      <w:fldChar w:fldCharType="separate"/>
    </w:r>
    <w:r w:rsidR="006E0D69">
      <w:t>ECE/TRANS/WP.29/GRE/2018/51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06"/>
    <w:rsid w:val="00017F94"/>
    <w:rsid w:val="00023842"/>
    <w:rsid w:val="000334F9"/>
    <w:rsid w:val="00045FEB"/>
    <w:rsid w:val="0007796D"/>
    <w:rsid w:val="000B7790"/>
    <w:rsid w:val="00111F2F"/>
    <w:rsid w:val="00122703"/>
    <w:rsid w:val="0014365E"/>
    <w:rsid w:val="00143C66"/>
    <w:rsid w:val="00176178"/>
    <w:rsid w:val="001812CC"/>
    <w:rsid w:val="001F4907"/>
    <w:rsid w:val="001F525A"/>
    <w:rsid w:val="00223272"/>
    <w:rsid w:val="002468E3"/>
    <w:rsid w:val="0024779E"/>
    <w:rsid w:val="00257168"/>
    <w:rsid w:val="002744B8"/>
    <w:rsid w:val="00280E5E"/>
    <w:rsid w:val="002832AC"/>
    <w:rsid w:val="002D7C93"/>
    <w:rsid w:val="002F0927"/>
    <w:rsid w:val="00305801"/>
    <w:rsid w:val="003916DE"/>
    <w:rsid w:val="00421996"/>
    <w:rsid w:val="00441C3B"/>
    <w:rsid w:val="00446FE5"/>
    <w:rsid w:val="00452396"/>
    <w:rsid w:val="00473E23"/>
    <w:rsid w:val="004837D8"/>
    <w:rsid w:val="004E2EED"/>
    <w:rsid w:val="004E468C"/>
    <w:rsid w:val="005505B7"/>
    <w:rsid w:val="00553CFF"/>
    <w:rsid w:val="00573BE5"/>
    <w:rsid w:val="00586ED3"/>
    <w:rsid w:val="00596AA9"/>
    <w:rsid w:val="005F0787"/>
    <w:rsid w:val="006E0D69"/>
    <w:rsid w:val="0071601D"/>
    <w:rsid w:val="007A62E6"/>
    <w:rsid w:val="007F20FA"/>
    <w:rsid w:val="0080684C"/>
    <w:rsid w:val="00810F06"/>
    <w:rsid w:val="00871C75"/>
    <w:rsid w:val="008776DC"/>
    <w:rsid w:val="009446C0"/>
    <w:rsid w:val="00952FF5"/>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E0A6B"/>
    <w:rsid w:val="00DF6678"/>
    <w:rsid w:val="00E0299A"/>
    <w:rsid w:val="00E85C74"/>
    <w:rsid w:val="00EA6547"/>
    <w:rsid w:val="00EC5FC2"/>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1FE150-B2CC-49E5-A0D5-8B98DDE6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ECE/TRANS/WP.29/GRE/2018/51</vt:lpstr>
      <vt:lpstr>ECE/TRANS/WP.29/GRE/2018/51</vt:lpstr>
    </vt:vector>
  </TitlesOfParts>
  <Company>DCM</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ECE/TRANS/WP.29/GRE/2018/51</dc:title>
  <dc:subject/>
  <dc:creator>Marie DESCHAMPS</dc:creator>
  <cp:keywords/>
  <cp:lastModifiedBy>Benedicte Boudol</cp:lastModifiedBy>
  <cp:revision>2</cp:revision>
  <cp:lastPrinted>2018-09-07T13:05:00Z</cp:lastPrinted>
  <dcterms:created xsi:type="dcterms:W3CDTF">2018-09-11T13:22:00Z</dcterms:created>
  <dcterms:modified xsi:type="dcterms:W3CDTF">2018-09-11T13:22:00Z</dcterms:modified>
</cp:coreProperties>
</file>