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C2AF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C2AF4" w:rsidP="00DC2AF4">
            <w:pPr>
              <w:jc w:val="right"/>
            </w:pPr>
            <w:r w:rsidRPr="00DC2AF4">
              <w:rPr>
                <w:sz w:val="40"/>
              </w:rPr>
              <w:t>ECE</w:t>
            </w:r>
            <w:r>
              <w:t>/TRANS/WP.29/GRE/2018/32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C2AF4" w:rsidP="00C97039">
            <w:pPr>
              <w:spacing w:before="240"/>
            </w:pPr>
            <w:r>
              <w:t>Distr. générale</w:t>
            </w:r>
          </w:p>
          <w:p w:rsidR="00DC2AF4" w:rsidRDefault="00DC2AF4" w:rsidP="00DC2AF4">
            <w:pPr>
              <w:spacing w:line="240" w:lineRule="exact"/>
            </w:pPr>
            <w:r>
              <w:t>9 août 2018</w:t>
            </w:r>
          </w:p>
          <w:p w:rsidR="00DC2AF4" w:rsidRDefault="00DC2AF4" w:rsidP="00DC2AF4">
            <w:pPr>
              <w:spacing w:line="240" w:lineRule="exact"/>
            </w:pPr>
            <w:r>
              <w:t>Français</w:t>
            </w:r>
          </w:p>
          <w:p w:rsidR="00DC2AF4" w:rsidRPr="00DB58B5" w:rsidRDefault="00DC2AF4" w:rsidP="00DC2AF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C2AF4" w:rsidRDefault="00DC2AF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C2AF4" w:rsidRDefault="00DC2AF4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DC2AF4" w:rsidRDefault="00DC2AF4" w:rsidP="00257168">
      <w:pPr>
        <w:spacing w:before="120" w:line="240" w:lineRule="exact"/>
        <w:rPr>
          <w:b/>
        </w:rPr>
      </w:pPr>
      <w:r>
        <w:rPr>
          <w:b/>
        </w:rPr>
        <w:t>Quatre-vingtième session</w:t>
      </w:r>
    </w:p>
    <w:p w:rsidR="00DC2AF4" w:rsidRDefault="00DC2AF4" w:rsidP="00257168">
      <w:pPr>
        <w:spacing w:line="240" w:lineRule="exact"/>
      </w:pPr>
      <w:r>
        <w:t>Genève, 23-26 octobre 2018</w:t>
      </w:r>
    </w:p>
    <w:p w:rsidR="00DC2AF4" w:rsidRDefault="00DC2AF4" w:rsidP="00257168">
      <w:pPr>
        <w:spacing w:line="240" w:lineRule="exact"/>
      </w:pPr>
      <w:r>
        <w:t>Point 4 de l’ordre du jour provisoire</w:t>
      </w:r>
    </w:p>
    <w:p w:rsidR="00DC2AF4" w:rsidRPr="00252F69" w:rsidRDefault="00DC2AF4" w:rsidP="00DC2AF4">
      <w:pPr>
        <w:spacing w:line="240" w:lineRule="exact"/>
        <w:rPr>
          <w:b/>
          <w:bCs/>
          <w:lang w:val="fr-FR"/>
        </w:rPr>
      </w:pPr>
      <w:r w:rsidRPr="00252F69">
        <w:rPr>
          <w:b/>
          <w:bCs/>
          <w:lang w:val="fr-FR"/>
        </w:rPr>
        <w:t xml:space="preserve">Simplification </w:t>
      </w:r>
      <w:r>
        <w:rPr>
          <w:b/>
          <w:bCs/>
          <w:lang w:val="fr-FR"/>
        </w:rPr>
        <w:t>des</w:t>
      </w:r>
      <w:r w:rsidRPr="00252F69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Règlements ONU concernant l’éclairage </w:t>
      </w:r>
      <w:r>
        <w:rPr>
          <w:b/>
          <w:bCs/>
          <w:lang w:val="fr-FR"/>
        </w:rPr>
        <w:br/>
        <w:t>et la signalisation lumineuse</w:t>
      </w:r>
    </w:p>
    <w:p w:rsidR="00DC2AF4" w:rsidRPr="00252F69" w:rsidRDefault="00DC2AF4" w:rsidP="00DC2AF4">
      <w:pPr>
        <w:pStyle w:val="HChG"/>
        <w:rPr>
          <w:lang w:val="fr-FR"/>
        </w:rPr>
      </w:pPr>
      <w:r w:rsidRPr="00252F69">
        <w:rPr>
          <w:lang w:val="fr-FR"/>
        </w:rPr>
        <w:tab/>
      </w:r>
      <w:r w:rsidRPr="00252F69">
        <w:rPr>
          <w:lang w:val="fr-FR"/>
        </w:rPr>
        <w:tab/>
      </w:r>
      <w:r w:rsidRPr="00E2454F">
        <w:rPr>
          <w:lang w:val="fr-FR"/>
        </w:rPr>
        <w:t xml:space="preserve">Amendements communs aux </w:t>
      </w:r>
      <w:r>
        <w:rPr>
          <w:lang w:val="fr-FR"/>
        </w:rPr>
        <w:t>Règlements ONU n</w:t>
      </w:r>
      <w:r w:rsidRPr="00252F69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s</w:t>
      </w:r>
      <w:r w:rsidRPr="00252F69">
        <w:rPr>
          <w:lang w:val="fr-FR"/>
        </w:rPr>
        <w:t xml:space="preserve"> 98, </w:t>
      </w:r>
      <w:r w:rsidR="0088597D">
        <w:rPr>
          <w:lang w:val="fr-FR"/>
        </w:rPr>
        <w:br/>
      </w:r>
      <w:r w:rsidRPr="00DC2AF4">
        <w:t>112</w:t>
      </w:r>
      <w:r w:rsidRPr="00252F69">
        <w:rPr>
          <w:lang w:val="fr-FR"/>
        </w:rPr>
        <w:t xml:space="preserve">, 113 </w:t>
      </w:r>
      <w:r>
        <w:rPr>
          <w:lang w:val="fr-FR"/>
        </w:rPr>
        <w:t>et</w:t>
      </w:r>
      <w:r w:rsidRPr="00252F69">
        <w:rPr>
          <w:lang w:val="fr-FR"/>
        </w:rPr>
        <w:t xml:space="preserve"> 123 </w:t>
      </w:r>
    </w:p>
    <w:p w:rsidR="00DC2AF4" w:rsidRPr="00252F69" w:rsidRDefault="00DC2AF4" w:rsidP="00DC2AF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informel de la simplification </w:t>
      </w:r>
      <w:r w:rsidR="001E4B45">
        <w:rPr>
          <w:lang w:val="fr-FR"/>
        </w:rPr>
        <w:br/>
      </w:r>
      <w:r>
        <w:rPr>
          <w:lang w:val="fr-FR"/>
        </w:rPr>
        <w:t>des Règlements relatifs à l’éclairage et à la signalisation lumineuse</w:t>
      </w:r>
      <w:r w:rsidR="001E4B45" w:rsidRPr="001E4B4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C2AF4" w:rsidRPr="00DC2AF4" w:rsidRDefault="00DC2AF4" w:rsidP="00DC2AF4">
      <w:pPr>
        <w:pStyle w:val="SingleTxtG"/>
        <w:rPr>
          <w:lang w:val="fr-FR"/>
        </w:rPr>
      </w:pPr>
      <w:r>
        <w:rPr>
          <w:lang w:val="fr-FR"/>
        </w:rPr>
        <w:tab/>
        <w:t>Le texte ci-après, établi par le groupe de travail informel de la simplification des Règlements relatifs à l’éclairage et à la signalisation lumineuse sur la base du document informel</w:t>
      </w:r>
      <w:r w:rsidRPr="00252F69">
        <w:rPr>
          <w:lang w:val="fr-FR"/>
        </w:rPr>
        <w:t xml:space="preserve"> GRE-79-32/Rev.1, </w:t>
      </w:r>
      <w:r>
        <w:rPr>
          <w:lang w:val="fr-FR"/>
        </w:rPr>
        <w:t xml:space="preserve">vise à établir un lien entre les Règlements </w:t>
      </w:r>
      <w:r w:rsidR="0088597D">
        <w:rPr>
          <w:lang w:val="fr-FR"/>
        </w:rPr>
        <w:t xml:space="preserve">ONU </w:t>
      </w:r>
      <w:r>
        <w:rPr>
          <w:lang w:val="fr-FR"/>
        </w:rPr>
        <w:t>n</w:t>
      </w:r>
      <w:r w:rsidRPr="00252F69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s</w:t>
      </w:r>
      <w:r>
        <w:rPr>
          <w:lang w:val="fr-FR"/>
        </w:rPr>
        <w:t> </w:t>
      </w:r>
      <w:r w:rsidRPr="00252F69">
        <w:rPr>
          <w:lang w:val="fr-FR"/>
        </w:rPr>
        <w:t xml:space="preserve">98, 112, 113 </w:t>
      </w:r>
      <w:r>
        <w:rPr>
          <w:lang w:val="fr-FR"/>
        </w:rPr>
        <w:t>et</w:t>
      </w:r>
      <w:r w:rsidRPr="00252F69">
        <w:rPr>
          <w:lang w:val="fr-FR"/>
        </w:rPr>
        <w:t xml:space="preserve"> 123 </w:t>
      </w:r>
      <w:r>
        <w:rPr>
          <w:lang w:val="fr-FR"/>
        </w:rPr>
        <w:t>et le nouveau Règlement</w:t>
      </w:r>
      <w:r w:rsidR="0088597D">
        <w:rPr>
          <w:lang w:val="fr-FR"/>
        </w:rPr>
        <w:t xml:space="preserve"> ONU</w:t>
      </w:r>
      <w:r>
        <w:rPr>
          <w:lang w:val="fr-FR"/>
        </w:rPr>
        <w:t xml:space="preserve"> sur les dispositifs d’éclairage de la route</w:t>
      </w:r>
      <w:r w:rsidRPr="009E5AB6">
        <w:rPr>
          <w:lang w:val="fr-FR"/>
        </w:rPr>
        <w:t xml:space="preserve"> </w:t>
      </w:r>
      <w:r w:rsidRPr="00C94C90">
        <w:rPr>
          <w:lang w:val="fr-FR"/>
        </w:rPr>
        <w:t>pour tenir compte de l</w:t>
      </w:r>
      <w:r>
        <w:rPr>
          <w:lang w:val="fr-FR"/>
        </w:rPr>
        <w:t>’</w:t>
      </w:r>
      <w:r w:rsidRPr="00C94C90">
        <w:rPr>
          <w:lang w:val="fr-FR"/>
        </w:rPr>
        <w:t xml:space="preserve">actualisation récente de la Norme de sécurité des véhicules automobiles du Canada (NSVAC) </w:t>
      </w:r>
      <w:r w:rsidR="007841AE" w:rsidRPr="007841AE">
        <w:rPr>
          <w:rFonts w:eastAsia="MS Mincho"/>
          <w:lang w:val="fr-FR"/>
        </w:rPr>
        <w:t>n</w:t>
      </w:r>
      <w:r w:rsidR="007841AE" w:rsidRPr="007841AE">
        <w:rPr>
          <w:rFonts w:eastAsia="MS Mincho"/>
          <w:vertAlign w:val="superscript"/>
          <w:lang w:val="fr-FR"/>
        </w:rPr>
        <w:t>o</w:t>
      </w:r>
      <w:r w:rsidR="007841AE" w:rsidRPr="007841AE">
        <w:rPr>
          <w:lang w:val="fr-FR"/>
        </w:rPr>
        <w:t> </w:t>
      </w:r>
      <w:r w:rsidRPr="00C94C90">
        <w:rPr>
          <w:lang w:val="fr-FR"/>
        </w:rPr>
        <w:t>108</w:t>
      </w:r>
      <w:r>
        <w:rPr>
          <w:lang w:val="fr-FR"/>
        </w:rPr>
        <w:t>.</w:t>
      </w:r>
    </w:p>
    <w:p w:rsidR="00DC2AF4" w:rsidRPr="00252F69" w:rsidRDefault="00DC2AF4" w:rsidP="009F6B19">
      <w:pPr>
        <w:pStyle w:val="HChG"/>
        <w:rPr>
          <w:lang w:val="fr-FR"/>
        </w:rPr>
      </w:pPr>
      <w:r w:rsidRPr="00252F69">
        <w:rPr>
          <w:lang w:val="fr-FR"/>
        </w:rPr>
        <w:br w:type="page"/>
      </w:r>
      <w:r w:rsidRPr="00252F69">
        <w:rPr>
          <w:lang w:val="fr-FR"/>
        </w:rPr>
        <w:lastRenderedPageBreak/>
        <w:tab/>
        <w:t>I.</w:t>
      </w:r>
      <w:r w:rsidRPr="00252F69">
        <w:rPr>
          <w:lang w:val="fr-FR"/>
        </w:rPr>
        <w:tab/>
      </w:r>
      <w:r w:rsidRPr="009F6B19">
        <w:t>Proposition</w:t>
      </w:r>
    </w:p>
    <w:p w:rsidR="00DC2AF4" w:rsidRPr="00252F69" w:rsidRDefault="00DC2AF4" w:rsidP="009F6B19">
      <w:pPr>
        <w:pStyle w:val="H1G"/>
        <w:rPr>
          <w:lang w:val="fr-FR"/>
        </w:rPr>
      </w:pPr>
      <w:r>
        <w:rPr>
          <w:lang w:val="fr-FR"/>
        </w:rPr>
        <w:tab/>
      </w:r>
      <w:r w:rsidRPr="00252F69">
        <w:rPr>
          <w:lang w:val="fr-FR"/>
        </w:rPr>
        <w:t>A.</w:t>
      </w:r>
      <w:r>
        <w:rPr>
          <w:lang w:val="fr-FR"/>
        </w:rPr>
        <w:tab/>
        <w:t>Complémen</w:t>
      </w:r>
      <w:r w:rsidRPr="00252F69">
        <w:rPr>
          <w:lang w:val="fr-FR"/>
        </w:rPr>
        <w:t xml:space="preserve">t [10] </w:t>
      </w:r>
      <w:r>
        <w:rPr>
          <w:lang w:val="fr-FR"/>
        </w:rPr>
        <w:t>à la série</w:t>
      </w:r>
      <w:r w:rsidRPr="00252F69">
        <w:rPr>
          <w:lang w:val="fr-FR"/>
        </w:rPr>
        <w:t xml:space="preserve"> [01] </w:t>
      </w:r>
      <w:r>
        <w:rPr>
          <w:lang w:val="fr-FR"/>
        </w:rPr>
        <w:t>d’</w:t>
      </w:r>
      <w:r w:rsidRPr="00252F69">
        <w:rPr>
          <w:lang w:val="fr-FR"/>
        </w:rPr>
        <w:t>amend</w:t>
      </w:r>
      <w:r>
        <w:rPr>
          <w:lang w:val="fr-FR"/>
        </w:rPr>
        <w:t>e</w:t>
      </w:r>
      <w:r w:rsidRPr="00252F69">
        <w:rPr>
          <w:lang w:val="fr-FR"/>
        </w:rPr>
        <w:t xml:space="preserve">ments </w:t>
      </w:r>
      <w:r>
        <w:rPr>
          <w:lang w:val="fr-FR"/>
        </w:rPr>
        <w:t xml:space="preserve">au </w:t>
      </w:r>
      <w:r w:rsidR="0088597D">
        <w:rPr>
          <w:lang w:val="fr-FR"/>
        </w:rPr>
        <w:br/>
      </w:r>
      <w:r w:rsidRPr="009F6B19">
        <w:t>Règlement</w:t>
      </w:r>
      <w:r w:rsidR="0088597D">
        <w:rPr>
          <w:lang w:val="fr-FR"/>
        </w:rPr>
        <w:t xml:space="preserve"> ONU</w:t>
      </w:r>
      <w:r>
        <w:rPr>
          <w:lang w:val="fr-FR"/>
        </w:rPr>
        <w:t xml:space="preserve"> n</w:t>
      </w:r>
      <w:r w:rsidR="007841AE">
        <w:rPr>
          <w:vertAlign w:val="superscript"/>
          <w:lang w:val="fr-FR"/>
        </w:rPr>
        <w:t>o</w:t>
      </w:r>
      <w:r w:rsidR="007841AE">
        <w:rPr>
          <w:lang w:val="fr-FR"/>
        </w:rPr>
        <w:t> </w:t>
      </w:r>
      <w:r w:rsidRPr="00252F69">
        <w:rPr>
          <w:lang w:val="fr-FR"/>
        </w:rPr>
        <w:t>98</w:t>
      </w:r>
    </w:p>
    <w:p w:rsidR="00DC2AF4" w:rsidRPr="00DC2AF4" w:rsidRDefault="00DC2AF4" w:rsidP="00DC2AF4">
      <w:pPr>
        <w:pStyle w:val="SingleTxtG"/>
      </w:pPr>
      <w:r w:rsidRPr="00DC2AF4">
        <w:rPr>
          <w:i/>
          <w:iCs/>
          <w:lang w:val="fr-FR" w:eastAsia="ja-JP"/>
        </w:rPr>
        <w:t>Ajouter un paragraphe</w:t>
      </w:r>
      <w:r w:rsidRPr="00DC2AF4">
        <w:rPr>
          <w:i/>
          <w:lang w:val="fr-FR"/>
        </w:rPr>
        <w:t xml:space="preserve"> 5.13</w:t>
      </w:r>
      <w:r w:rsidRPr="00252F69">
        <w:rPr>
          <w:lang w:val="fr-FR"/>
        </w:rPr>
        <w:t xml:space="preserve">, </w:t>
      </w:r>
      <w:r w:rsidR="00967C1D">
        <w:rPr>
          <w:lang w:val="fr-FR"/>
        </w:rPr>
        <w:t>libellé comme suit </w:t>
      </w:r>
      <w:r w:rsidRPr="00252F69">
        <w:rPr>
          <w:lang w:val="fr-FR"/>
        </w:rPr>
        <w:t>:</w:t>
      </w:r>
    </w:p>
    <w:p w:rsidR="00DC2AF4" w:rsidRPr="00252F69" w:rsidRDefault="00DC2AF4" w:rsidP="00DC2AF4">
      <w:pPr>
        <w:pStyle w:val="SingleTxtG"/>
        <w:ind w:left="2259" w:hanging="1125"/>
        <w:rPr>
          <w:b/>
          <w:lang w:val="fr-FR"/>
        </w:rPr>
      </w:pPr>
      <w:r>
        <w:rPr>
          <w:b/>
          <w:lang w:val="fr-FR"/>
        </w:rPr>
        <w:t>« </w:t>
      </w:r>
      <w:r w:rsidR="00AF6222">
        <w:rPr>
          <w:b/>
          <w:lang w:val="fr-FR"/>
        </w:rPr>
        <w:t>5.13</w:t>
      </w:r>
      <w:r w:rsidRPr="00252F69">
        <w:rPr>
          <w:b/>
          <w:lang w:val="fr-FR"/>
        </w:rPr>
        <w:tab/>
      </w:r>
      <w:r>
        <w:rPr>
          <w:b/>
          <w:lang w:val="fr-FR"/>
        </w:rPr>
        <w:t>Il est possible d’appliquer aux projecteurs, en lieu et place des prescriptions du présent Règlement ONU, celles de la dernière version du Règlement ONU [sur les dispositifs d’éclairage de la route] relatives aux</w:t>
      </w:r>
      <w:r w:rsidRPr="00032288">
        <w:rPr>
          <w:b/>
          <w:lang w:val="fr-FR"/>
        </w:rPr>
        <w:t xml:space="preserve"> </w:t>
      </w:r>
      <w:r>
        <w:rPr>
          <w:b/>
          <w:lang w:val="fr-FR"/>
        </w:rPr>
        <w:t>projecteurs munis de sources lumineuses à décharge</w:t>
      </w:r>
      <w:r w:rsidRPr="00252F69">
        <w:rPr>
          <w:b/>
          <w:lang w:val="fr-FR"/>
        </w:rPr>
        <w:t>.</w:t>
      </w:r>
      <w:r>
        <w:rPr>
          <w:b/>
          <w:lang w:val="fr-FR"/>
        </w:rPr>
        <w:t> »</w:t>
      </w:r>
      <w:r w:rsidR="00967C1D" w:rsidRPr="007D0C57">
        <w:rPr>
          <w:lang w:val="fr-FR"/>
        </w:rPr>
        <w:t>.</w:t>
      </w:r>
    </w:p>
    <w:p w:rsidR="00DC2AF4" w:rsidRPr="00252F69" w:rsidRDefault="00DC2AF4" w:rsidP="00DC2AF4">
      <w:pPr>
        <w:pStyle w:val="H1G"/>
        <w:rPr>
          <w:lang w:val="fr-FR"/>
        </w:rPr>
      </w:pPr>
      <w:r>
        <w:rPr>
          <w:lang w:val="fr-FR"/>
        </w:rPr>
        <w:tab/>
      </w:r>
      <w:r w:rsidRPr="00252F69">
        <w:rPr>
          <w:lang w:val="fr-FR"/>
        </w:rPr>
        <w:t>B.</w:t>
      </w:r>
      <w:r>
        <w:rPr>
          <w:lang w:val="fr-FR"/>
        </w:rPr>
        <w:tab/>
        <w:t>Complément</w:t>
      </w:r>
      <w:r w:rsidRPr="00252F69">
        <w:rPr>
          <w:lang w:val="fr-FR"/>
        </w:rPr>
        <w:t xml:space="preserve"> [9] </w:t>
      </w:r>
      <w:r>
        <w:rPr>
          <w:lang w:val="fr-FR"/>
        </w:rPr>
        <w:t>à la série</w:t>
      </w:r>
      <w:r w:rsidRPr="00252F69">
        <w:rPr>
          <w:lang w:val="fr-FR"/>
        </w:rPr>
        <w:t xml:space="preserve"> [01] </w:t>
      </w:r>
      <w:r>
        <w:rPr>
          <w:lang w:val="fr-FR"/>
        </w:rPr>
        <w:t xml:space="preserve">d’amendements au </w:t>
      </w:r>
      <w:r w:rsidR="0088597D">
        <w:rPr>
          <w:lang w:val="fr-FR"/>
        </w:rPr>
        <w:br/>
      </w:r>
      <w:r>
        <w:rPr>
          <w:lang w:val="fr-FR"/>
        </w:rPr>
        <w:t>Règlement</w:t>
      </w:r>
      <w:r w:rsidRPr="00252F69">
        <w:rPr>
          <w:lang w:val="fr-FR"/>
        </w:rPr>
        <w:t xml:space="preserve"> </w:t>
      </w:r>
      <w:r>
        <w:rPr>
          <w:lang w:val="fr-FR"/>
        </w:rPr>
        <w:t xml:space="preserve">ONU </w:t>
      </w:r>
      <w:r w:rsidR="007841AE" w:rsidRPr="007841AE">
        <w:rPr>
          <w:rFonts w:eastAsia="MS Mincho"/>
          <w:lang w:val="fr-FR"/>
        </w:rPr>
        <w:t>n</w:t>
      </w:r>
      <w:r w:rsidR="007841AE" w:rsidRPr="007841AE">
        <w:rPr>
          <w:rFonts w:eastAsia="MS Mincho"/>
          <w:vertAlign w:val="superscript"/>
          <w:lang w:val="fr-FR"/>
        </w:rPr>
        <w:t>o</w:t>
      </w:r>
      <w:r w:rsidR="007841AE">
        <w:rPr>
          <w:lang w:val="fr-FR"/>
        </w:rPr>
        <w:t> </w:t>
      </w:r>
      <w:r w:rsidRPr="00252F69">
        <w:rPr>
          <w:lang w:val="fr-FR"/>
        </w:rPr>
        <w:t>112</w:t>
      </w:r>
    </w:p>
    <w:p w:rsidR="00DC2AF4" w:rsidRPr="00252F69" w:rsidRDefault="00DC2AF4" w:rsidP="00DC2AF4">
      <w:pPr>
        <w:pStyle w:val="SingleTxtG"/>
        <w:ind w:left="2268" w:hanging="1134"/>
        <w:rPr>
          <w:lang w:val="fr-FR"/>
        </w:rPr>
      </w:pPr>
      <w:r>
        <w:rPr>
          <w:i/>
          <w:iCs/>
          <w:lang w:val="fr-FR" w:eastAsia="ja-JP"/>
        </w:rPr>
        <w:t>Ajouter un paragraphe</w:t>
      </w:r>
      <w:r w:rsidRPr="00252F69">
        <w:rPr>
          <w:i/>
          <w:lang w:val="fr-FR"/>
        </w:rPr>
        <w:t xml:space="preserve"> 5.12</w:t>
      </w:r>
      <w:r w:rsidRPr="00DC2AF4">
        <w:rPr>
          <w:lang w:val="fr-FR"/>
        </w:rPr>
        <w:t>,</w:t>
      </w:r>
      <w:r w:rsidRPr="00252F69">
        <w:rPr>
          <w:i/>
          <w:lang w:val="fr-FR"/>
        </w:rPr>
        <w:t xml:space="preserve"> </w:t>
      </w:r>
      <w:r w:rsidR="00967C1D">
        <w:rPr>
          <w:lang w:val="fr-FR"/>
        </w:rPr>
        <w:t>libellé comme suit </w:t>
      </w:r>
      <w:r w:rsidRPr="00252F69">
        <w:rPr>
          <w:lang w:val="fr-FR"/>
        </w:rPr>
        <w:t>:</w:t>
      </w:r>
    </w:p>
    <w:p w:rsidR="00DC2AF4" w:rsidRPr="00252F69" w:rsidRDefault="00DC2AF4" w:rsidP="00DC2AF4">
      <w:pPr>
        <w:pStyle w:val="SingleTxtG"/>
        <w:ind w:left="2259" w:hanging="1125"/>
        <w:rPr>
          <w:b/>
          <w:lang w:val="fr-FR"/>
        </w:rPr>
      </w:pPr>
      <w:r>
        <w:rPr>
          <w:b/>
          <w:lang w:val="fr-FR"/>
        </w:rPr>
        <w:t>« </w:t>
      </w:r>
      <w:r w:rsidR="00AF6222">
        <w:rPr>
          <w:b/>
          <w:lang w:val="fr-FR"/>
        </w:rPr>
        <w:t>5.12</w:t>
      </w:r>
      <w:r w:rsidRPr="00252F69">
        <w:rPr>
          <w:b/>
          <w:lang w:val="fr-FR"/>
        </w:rPr>
        <w:tab/>
      </w:r>
      <w:r w:rsidRPr="00F945AA">
        <w:rPr>
          <w:b/>
          <w:lang w:val="fr-FR"/>
        </w:rPr>
        <w:t>Il est possible d</w:t>
      </w:r>
      <w:r>
        <w:rPr>
          <w:b/>
          <w:lang w:val="fr-FR"/>
        </w:rPr>
        <w:t>’</w:t>
      </w:r>
      <w:r w:rsidRPr="00F945AA">
        <w:rPr>
          <w:b/>
          <w:lang w:val="fr-FR"/>
        </w:rPr>
        <w:t>appliquer aux projecteurs, en lieu et place des prescriptions du présent Règlement ONU, celles de la dernière version du Règlement ONU</w:t>
      </w:r>
      <w:r>
        <w:rPr>
          <w:b/>
          <w:lang w:val="fr-FR"/>
        </w:rPr>
        <w:t xml:space="preserve"> </w:t>
      </w:r>
      <w:r w:rsidRPr="00F945AA">
        <w:rPr>
          <w:b/>
          <w:lang w:val="fr-FR"/>
        </w:rPr>
        <w:t>[sur les dispositifs d</w:t>
      </w:r>
      <w:r>
        <w:rPr>
          <w:b/>
          <w:lang w:val="fr-FR"/>
        </w:rPr>
        <w:t>’</w:t>
      </w:r>
      <w:r w:rsidRPr="00F945AA">
        <w:rPr>
          <w:b/>
          <w:lang w:val="fr-FR"/>
        </w:rPr>
        <w:t>éclairage de la route] relatives aux</w:t>
      </w:r>
      <w:r>
        <w:rPr>
          <w:b/>
          <w:lang w:val="fr-FR"/>
        </w:rPr>
        <w:t xml:space="preserve"> projecteurs émettant un faisceau de croisement asymétrique</w:t>
      </w:r>
      <w:r w:rsidRPr="00252F69">
        <w:rPr>
          <w:b/>
          <w:lang w:val="fr-FR"/>
        </w:rPr>
        <w:t>.</w:t>
      </w:r>
      <w:r>
        <w:rPr>
          <w:b/>
          <w:lang w:val="fr-FR"/>
        </w:rPr>
        <w:t> »</w:t>
      </w:r>
      <w:r w:rsidR="00967C1D" w:rsidRPr="007D0C57">
        <w:rPr>
          <w:lang w:val="fr-FR"/>
        </w:rPr>
        <w:t>.</w:t>
      </w:r>
    </w:p>
    <w:p w:rsidR="00DC2AF4" w:rsidRPr="00252F69" w:rsidRDefault="00DC2AF4" w:rsidP="00DC2AF4">
      <w:pPr>
        <w:pStyle w:val="H1G"/>
        <w:rPr>
          <w:lang w:val="fr-FR"/>
        </w:rPr>
      </w:pPr>
      <w:r>
        <w:rPr>
          <w:lang w:val="fr-FR"/>
        </w:rPr>
        <w:tab/>
      </w:r>
      <w:r w:rsidRPr="00252F69">
        <w:rPr>
          <w:lang w:val="fr-FR"/>
        </w:rPr>
        <w:t>C.</w:t>
      </w:r>
      <w:r w:rsidRPr="00252F69">
        <w:rPr>
          <w:lang w:val="fr-FR"/>
        </w:rPr>
        <w:tab/>
      </w:r>
      <w:r>
        <w:rPr>
          <w:lang w:val="fr-FR"/>
        </w:rPr>
        <w:t>Complémen</w:t>
      </w:r>
      <w:r w:rsidRPr="00252F69">
        <w:rPr>
          <w:lang w:val="fr-FR"/>
        </w:rPr>
        <w:t xml:space="preserve">t [7] </w:t>
      </w:r>
      <w:r>
        <w:rPr>
          <w:lang w:val="fr-FR"/>
        </w:rPr>
        <w:t>à la série</w:t>
      </w:r>
      <w:r w:rsidRPr="00252F69">
        <w:rPr>
          <w:lang w:val="fr-FR"/>
        </w:rPr>
        <w:t xml:space="preserve"> [01] </w:t>
      </w:r>
      <w:r>
        <w:rPr>
          <w:lang w:val="fr-FR"/>
        </w:rPr>
        <w:t>d’</w:t>
      </w:r>
      <w:r w:rsidRPr="00252F69">
        <w:rPr>
          <w:lang w:val="fr-FR"/>
        </w:rPr>
        <w:t>amend</w:t>
      </w:r>
      <w:r>
        <w:rPr>
          <w:lang w:val="fr-FR"/>
        </w:rPr>
        <w:t>e</w:t>
      </w:r>
      <w:r w:rsidRPr="00252F69">
        <w:rPr>
          <w:lang w:val="fr-FR"/>
        </w:rPr>
        <w:t xml:space="preserve">ments </w:t>
      </w:r>
      <w:r>
        <w:rPr>
          <w:lang w:val="fr-FR"/>
        </w:rPr>
        <w:t>au</w:t>
      </w:r>
      <w:r w:rsidRPr="00252F69">
        <w:rPr>
          <w:lang w:val="fr-FR"/>
        </w:rPr>
        <w:t xml:space="preserve"> </w:t>
      </w:r>
      <w:r w:rsidR="0088597D">
        <w:rPr>
          <w:lang w:val="fr-FR"/>
        </w:rPr>
        <w:br/>
      </w:r>
      <w:r>
        <w:rPr>
          <w:lang w:val="fr-FR"/>
        </w:rPr>
        <w:t>Règlement</w:t>
      </w:r>
      <w:r w:rsidR="0088597D">
        <w:rPr>
          <w:lang w:val="fr-FR"/>
        </w:rPr>
        <w:t xml:space="preserve"> ONU</w:t>
      </w:r>
      <w:r w:rsidRPr="00252F69">
        <w:rPr>
          <w:lang w:val="fr-FR"/>
        </w:rPr>
        <w:t xml:space="preserve"> </w:t>
      </w:r>
      <w:r w:rsidR="007841AE" w:rsidRPr="007841AE">
        <w:rPr>
          <w:rFonts w:eastAsia="MS Mincho"/>
          <w:lang w:val="fr-FR"/>
        </w:rPr>
        <w:t>n</w:t>
      </w:r>
      <w:r w:rsidR="007841AE" w:rsidRPr="007841AE">
        <w:rPr>
          <w:rFonts w:eastAsia="MS Mincho"/>
          <w:vertAlign w:val="superscript"/>
          <w:lang w:val="fr-FR"/>
        </w:rPr>
        <w:t>o</w:t>
      </w:r>
      <w:r w:rsidR="007841AE">
        <w:rPr>
          <w:lang w:val="fr-FR"/>
        </w:rPr>
        <w:t> </w:t>
      </w:r>
      <w:r w:rsidRPr="00252F69">
        <w:rPr>
          <w:lang w:val="fr-FR"/>
        </w:rPr>
        <w:t>113</w:t>
      </w:r>
    </w:p>
    <w:p w:rsidR="00DC2AF4" w:rsidRPr="00252F69" w:rsidRDefault="00DC2AF4" w:rsidP="00DC2AF4">
      <w:pPr>
        <w:pStyle w:val="SingleTxtG"/>
        <w:ind w:left="2268" w:hanging="1134"/>
        <w:rPr>
          <w:i/>
          <w:lang w:val="fr-FR"/>
        </w:rPr>
      </w:pPr>
      <w:r>
        <w:rPr>
          <w:i/>
          <w:iCs/>
          <w:lang w:val="fr-FR" w:eastAsia="ja-JP"/>
        </w:rPr>
        <w:t>Ajouter un paragraphe</w:t>
      </w:r>
      <w:r w:rsidRPr="00252F69">
        <w:rPr>
          <w:i/>
          <w:lang w:val="fr-FR"/>
        </w:rPr>
        <w:t xml:space="preserve"> 5.11</w:t>
      </w:r>
      <w:r w:rsidRPr="00DC2AF4">
        <w:rPr>
          <w:lang w:val="fr-FR"/>
        </w:rPr>
        <w:t>,</w:t>
      </w:r>
      <w:r w:rsidRPr="00252F69">
        <w:rPr>
          <w:i/>
          <w:lang w:val="fr-FR"/>
        </w:rPr>
        <w:t xml:space="preserve"> </w:t>
      </w:r>
      <w:r>
        <w:rPr>
          <w:lang w:val="fr-FR"/>
        </w:rPr>
        <w:t>libellé comme suit</w:t>
      </w:r>
      <w:r w:rsidR="00967C1D">
        <w:rPr>
          <w:lang w:val="fr-FR"/>
        </w:rPr>
        <w:t> </w:t>
      </w:r>
      <w:r w:rsidRPr="00252F69">
        <w:rPr>
          <w:lang w:val="fr-FR"/>
        </w:rPr>
        <w:t>:</w:t>
      </w:r>
    </w:p>
    <w:p w:rsidR="00DC2AF4" w:rsidRPr="00252F69" w:rsidRDefault="00DC2AF4" w:rsidP="00DC2AF4">
      <w:pPr>
        <w:pStyle w:val="SingleTxtG"/>
        <w:ind w:left="2259" w:hanging="1125"/>
        <w:rPr>
          <w:b/>
          <w:lang w:val="fr-FR"/>
        </w:rPr>
      </w:pPr>
      <w:r>
        <w:rPr>
          <w:b/>
          <w:lang w:val="fr-FR"/>
        </w:rPr>
        <w:t>« </w:t>
      </w:r>
      <w:r w:rsidR="00AF6222">
        <w:rPr>
          <w:b/>
          <w:lang w:val="fr-FR"/>
        </w:rPr>
        <w:t>5.11</w:t>
      </w:r>
      <w:r w:rsidRPr="00252F69">
        <w:rPr>
          <w:b/>
          <w:lang w:val="fr-FR"/>
        </w:rPr>
        <w:tab/>
      </w:r>
      <w:bookmarkStart w:id="1" w:name="_Hlk521938219"/>
      <w:r w:rsidRPr="00F945AA">
        <w:rPr>
          <w:b/>
          <w:lang w:val="fr-FR"/>
        </w:rPr>
        <w:t>Il est possible d</w:t>
      </w:r>
      <w:r>
        <w:rPr>
          <w:b/>
          <w:lang w:val="fr-FR"/>
        </w:rPr>
        <w:t>’</w:t>
      </w:r>
      <w:r w:rsidRPr="00F945AA">
        <w:rPr>
          <w:b/>
          <w:lang w:val="fr-FR"/>
        </w:rPr>
        <w:t>appliquer aux projecteurs, en lieu et place des prescriptions du présent Règlement ONU, celles de la dernière version du Règlement ONU</w:t>
      </w:r>
      <w:r>
        <w:rPr>
          <w:b/>
          <w:lang w:val="fr-FR"/>
        </w:rPr>
        <w:t xml:space="preserve"> </w:t>
      </w:r>
      <w:r w:rsidRPr="00F945AA">
        <w:rPr>
          <w:b/>
          <w:lang w:val="fr-FR"/>
        </w:rPr>
        <w:t>[sur les dispositifs d</w:t>
      </w:r>
      <w:r>
        <w:rPr>
          <w:b/>
          <w:lang w:val="fr-FR"/>
        </w:rPr>
        <w:t>’</w:t>
      </w:r>
      <w:r w:rsidRPr="00F945AA">
        <w:rPr>
          <w:b/>
          <w:lang w:val="fr-FR"/>
        </w:rPr>
        <w:t>éclairage de la route] relatives aux</w:t>
      </w:r>
      <w:r>
        <w:rPr>
          <w:b/>
          <w:lang w:val="fr-FR"/>
        </w:rPr>
        <w:t xml:space="preserve"> projecteurs émettant un faisceau de croisement symétrique</w:t>
      </w:r>
      <w:r w:rsidRPr="00252F69">
        <w:rPr>
          <w:b/>
          <w:lang w:val="fr-FR"/>
        </w:rPr>
        <w:t>.</w:t>
      </w:r>
      <w:r>
        <w:rPr>
          <w:b/>
          <w:lang w:val="fr-FR"/>
        </w:rPr>
        <w:t> »</w:t>
      </w:r>
      <w:bookmarkEnd w:id="1"/>
      <w:r w:rsidR="00967C1D" w:rsidRPr="007D0C57">
        <w:rPr>
          <w:lang w:val="fr-FR"/>
        </w:rPr>
        <w:t>.</w:t>
      </w:r>
    </w:p>
    <w:p w:rsidR="00DC2AF4" w:rsidRPr="00252F69" w:rsidRDefault="00DC2AF4" w:rsidP="00DC2AF4">
      <w:pPr>
        <w:pStyle w:val="H1G"/>
        <w:rPr>
          <w:lang w:val="fr-FR"/>
        </w:rPr>
      </w:pPr>
      <w:r>
        <w:rPr>
          <w:lang w:val="fr-FR"/>
        </w:rPr>
        <w:tab/>
        <w:t>D.</w:t>
      </w:r>
      <w:r>
        <w:rPr>
          <w:lang w:val="fr-FR"/>
        </w:rPr>
        <w:tab/>
        <w:t>Complémen</w:t>
      </w:r>
      <w:r w:rsidRPr="00252F69">
        <w:rPr>
          <w:lang w:val="fr-FR"/>
        </w:rPr>
        <w:t xml:space="preserve">t [1] </w:t>
      </w:r>
      <w:r>
        <w:rPr>
          <w:lang w:val="fr-FR"/>
        </w:rPr>
        <w:t>à la série</w:t>
      </w:r>
      <w:r w:rsidRPr="00252F69">
        <w:rPr>
          <w:lang w:val="fr-FR"/>
        </w:rPr>
        <w:t xml:space="preserve"> [02] </w:t>
      </w:r>
      <w:r>
        <w:rPr>
          <w:lang w:val="fr-FR"/>
        </w:rPr>
        <w:t>d’</w:t>
      </w:r>
      <w:r w:rsidRPr="00252F69">
        <w:rPr>
          <w:lang w:val="fr-FR"/>
        </w:rPr>
        <w:t>amend</w:t>
      </w:r>
      <w:r>
        <w:rPr>
          <w:lang w:val="fr-FR"/>
        </w:rPr>
        <w:t>e</w:t>
      </w:r>
      <w:r w:rsidRPr="00252F69">
        <w:rPr>
          <w:lang w:val="fr-FR"/>
        </w:rPr>
        <w:t xml:space="preserve">ments </w:t>
      </w:r>
      <w:r w:rsidR="0088597D">
        <w:rPr>
          <w:lang w:val="fr-FR"/>
        </w:rPr>
        <w:t>a</w:t>
      </w:r>
      <w:r>
        <w:rPr>
          <w:lang w:val="fr-FR"/>
        </w:rPr>
        <w:t>u</w:t>
      </w:r>
      <w:r w:rsidRPr="00252F69">
        <w:rPr>
          <w:lang w:val="fr-FR"/>
        </w:rPr>
        <w:t xml:space="preserve"> </w:t>
      </w:r>
      <w:r w:rsidR="0088597D">
        <w:rPr>
          <w:lang w:val="fr-FR"/>
        </w:rPr>
        <w:br/>
      </w:r>
      <w:r>
        <w:rPr>
          <w:lang w:val="fr-FR"/>
        </w:rPr>
        <w:t>Règlement</w:t>
      </w:r>
      <w:r w:rsidRPr="00252F69">
        <w:rPr>
          <w:lang w:val="fr-FR"/>
        </w:rPr>
        <w:t xml:space="preserve"> </w:t>
      </w:r>
      <w:r w:rsidR="0088597D">
        <w:rPr>
          <w:lang w:val="fr-FR"/>
        </w:rPr>
        <w:t xml:space="preserve">ONU </w:t>
      </w:r>
      <w:r w:rsidR="007841AE" w:rsidRPr="007841AE">
        <w:rPr>
          <w:rFonts w:eastAsia="MS Mincho"/>
          <w:lang w:val="fr-FR"/>
        </w:rPr>
        <w:t>n</w:t>
      </w:r>
      <w:r w:rsidR="007841AE" w:rsidRPr="007841AE">
        <w:rPr>
          <w:rFonts w:eastAsia="MS Mincho"/>
          <w:vertAlign w:val="superscript"/>
          <w:lang w:val="fr-FR"/>
        </w:rPr>
        <w:t>o</w:t>
      </w:r>
      <w:r w:rsidR="007841AE">
        <w:rPr>
          <w:lang w:val="fr-FR"/>
        </w:rPr>
        <w:t> </w:t>
      </w:r>
      <w:r w:rsidRPr="00252F69">
        <w:rPr>
          <w:lang w:val="fr-FR"/>
        </w:rPr>
        <w:t>113</w:t>
      </w:r>
    </w:p>
    <w:p w:rsidR="00DC2AF4" w:rsidRPr="00252F69" w:rsidRDefault="00DC2AF4" w:rsidP="00DC2AF4">
      <w:pPr>
        <w:pStyle w:val="SingleTxtG"/>
        <w:ind w:left="2268" w:hanging="1134"/>
        <w:rPr>
          <w:lang w:val="fr-FR"/>
        </w:rPr>
      </w:pPr>
      <w:r>
        <w:rPr>
          <w:i/>
          <w:iCs/>
          <w:lang w:val="fr-FR" w:eastAsia="ja-JP"/>
        </w:rPr>
        <w:t>Ajouter un paragraphe</w:t>
      </w:r>
      <w:r w:rsidRPr="00252F69">
        <w:rPr>
          <w:i/>
          <w:lang w:val="fr-FR"/>
        </w:rPr>
        <w:t xml:space="preserve"> 5.11</w:t>
      </w:r>
      <w:r w:rsidRPr="00DC2AF4">
        <w:rPr>
          <w:lang w:val="fr-FR"/>
        </w:rPr>
        <w:t>,</w:t>
      </w:r>
      <w:r w:rsidRPr="00252F69">
        <w:rPr>
          <w:i/>
          <w:lang w:val="fr-FR"/>
        </w:rPr>
        <w:t xml:space="preserve"> </w:t>
      </w:r>
      <w:r>
        <w:rPr>
          <w:lang w:val="fr-FR"/>
        </w:rPr>
        <w:t>libellé comme suit</w:t>
      </w:r>
      <w:r w:rsidR="00967C1D">
        <w:rPr>
          <w:lang w:val="fr-FR"/>
        </w:rPr>
        <w:t> </w:t>
      </w:r>
      <w:r w:rsidRPr="00252F69">
        <w:rPr>
          <w:lang w:val="fr-FR"/>
        </w:rPr>
        <w:t>:</w:t>
      </w:r>
    </w:p>
    <w:p w:rsidR="00DC2AF4" w:rsidRPr="00252F69" w:rsidRDefault="00DC2AF4" w:rsidP="00DC2AF4">
      <w:pPr>
        <w:pStyle w:val="SingleTxtG"/>
        <w:ind w:left="2259" w:hanging="1125"/>
        <w:rPr>
          <w:b/>
          <w:lang w:val="fr-FR"/>
        </w:rPr>
      </w:pPr>
      <w:r>
        <w:rPr>
          <w:b/>
          <w:lang w:val="fr-FR"/>
        </w:rPr>
        <w:t>« </w:t>
      </w:r>
      <w:r w:rsidR="00AF6222">
        <w:rPr>
          <w:b/>
          <w:lang w:val="fr-FR"/>
        </w:rPr>
        <w:t>5.11</w:t>
      </w:r>
      <w:r w:rsidRPr="00252F69">
        <w:rPr>
          <w:b/>
          <w:lang w:val="fr-FR"/>
        </w:rPr>
        <w:tab/>
      </w:r>
      <w:bookmarkStart w:id="2" w:name="_Hlk521938264"/>
      <w:r w:rsidRPr="00F945AA">
        <w:rPr>
          <w:b/>
          <w:lang w:val="fr-FR"/>
        </w:rPr>
        <w:t>Il est possible d</w:t>
      </w:r>
      <w:r>
        <w:rPr>
          <w:b/>
          <w:lang w:val="fr-FR"/>
        </w:rPr>
        <w:t>’</w:t>
      </w:r>
      <w:r w:rsidRPr="00F945AA">
        <w:rPr>
          <w:b/>
          <w:lang w:val="fr-FR"/>
        </w:rPr>
        <w:t>appliquer aux projecteurs, en lieu et place des prescriptions du présent Règlement ONU, celles de la dernière version du Règlement ONU</w:t>
      </w:r>
      <w:r>
        <w:rPr>
          <w:b/>
          <w:lang w:val="fr-FR"/>
        </w:rPr>
        <w:t xml:space="preserve"> </w:t>
      </w:r>
      <w:r w:rsidRPr="00F945AA">
        <w:rPr>
          <w:b/>
          <w:lang w:val="fr-FR"/>
        </w:rPr>
        <w:t>[sur les dispositifs d</w:t>
      </w:r>
      <w:r>
        <w:rPr>
          <w:b/>
          <w:lang w:val="fr-FR"/>
        </w:rPr>
        <w:t>’</w:t>
      </w:r>
      <w:r w:rsidRPr="00F945AA">
        <w:rPr>
          <w:b/>
          <w:lang w:val="fr-FR"/>
        </w:rPr>
        <w:t xml:space="preserve">éclairage de la route] relatives aux </w:t>
      </w:r>
      <w:r>
        <w:rPr>
          <w:b/>
          <w:lang w:val="fr-FR"/>
        </w:rPr>
        <w:t xml:space="preserve">projecteurs </w:t>
      </w:r>
      <w:r w:rsidRPr="00032288">
        <w:rPr>
          <w:b/>
          <w:lang w:val="fr-FR"/>
        </w:rPr>
        <w:t>émettant un faisceau de croisement symétrique.</w:t>
      </w:r>
      <w:r w:rsidR="00967C1D">
        <w:rPr>
          <w:b/>
          <w:lang w:val="fr-FR"/>
        </w:rPr>
        <w:t> </w:t>
      </w:r>
      <w:r w:rsidRPr="00032288">
        <w:rPr>
          <w:b/>
          <w:lang w:val="fr-FR"/>
        </w:rPr>
        <w:t>»</w:t>
      </w:r>
      <w:bookmarkEnd w:id="2"/>
      <w:r w:rsidR="00967C1D" w:rsidRPr="007D0C57">
        <w:rPr>
          <w:lang w:val="fr-FR"/>
        </w:rPr>
        <w:t>.</w:t>
      </w:r>
    </w:p>
    <w:p w:rsidR="00DC2AF4" w:rsidRPr="00252F69" w:rsidRDefault="00DC2AF4" w:rsidP="00DC2AF4">
      <w:pPr>
        <w:pStyle w:val="H1G"/>
        <w:rPr>
          <w:lang w:val="fr-FR"/>
        </w:rPr>
      </w:pPr>
      <w:r>
        <w:rPr>
          <w:lang w:val="fr-FR"/>
        </w:rPr>
        <w:tab/>
        <w:t>E.</w:t>
      </w:r>
      <w:r w:rsidRPr="00252F69">
        <w:rPr>
          <w:lang w:val="fr-FR"/>
        </w:rPr>
        <w:tab/>
      </w:r>
      <w:r>
        <w:rPr>
          <w:lang w:val="fr-FR"/>
        </w:rPr>
        <w:t>Complément</w:t>
      </w:r>
      <w:r w:rsidRPr="00252F69">
        <w:rPr>
          <w:lang w:val="fr-FR"/>
        </w:rPr>
        <w:t xml:space="preserve"> [10] </w:t>
      </w:r>
      <w:r>
        <w:rPr>
          <w:lang w:val="fr-FR"/>
        </w:rPr>
        <w:t>à la série</w:t>
      </w:r>
      <w:r w:rsidRPr="00252F69">
        <w:rPr>
          <w:lang w:val="fr-FR"/>
        </w:rPr>
        <w:t xml:space="preserve"> [01] </w:t>
      </w:r>
      <w:r>
        <w:rPr>
          <w:lang w:val="fr-FR"/>
        </w:rPr>
        <w:t>d’</w:t>
      </w:r>
      <w:r w:rsidRPr="00252F69">
        <w:rPr>
          <w:lang w:val="fr-FR"/>
        </w:rPr>
        <w:t>amend</w:t>
      </w:r>
      <w:r>
        <w:rPr>
          <w:lang w:val="fr-FR"/>
        </w:rPr>
        <w:t>e</w:t>
      </w:r>
      <w:r w:rsidRPr="00252F69">
        <w:rPr>
          <w:lang w:val="fr-FR"/>
        </w:rPr>
        <w:t xml:space="preserve">ments </w:t>
      </w:r>
      <w:r>
        <w:rPr>
          <w:lang w:val="fr-FR"/>
        </w:rPr>
        <w:t>au</w:t>
      </w:r>
      <w:r w:rsidRPr="00252F69">
        <w:rPr>
          <w:lang w:val="fr-FR"/>
        </w:rPr>
        <w:t xml:space="preserve"> </w:t>
      </w:r>
      <w:r w:rsidR="0088597D">
        <w:rPr>
          <w:lang w:val="fr-FR"/>
        </w:rPr>
        <w:br/>
      </w:r>
      <w:r>
        <w:rPr>
          <w:lang w:val="fr-FR"/>
        </w:rPr>
        <w:t>Règlement</w:t>
      </w:r>
      <w:r w:rsidR="0088597D">
        <w:rPr>
          <w:lang w:val="fr-FR"/>
        </w:rPr>
        <w:t xml:space="preserve"> ONU</w:t>
      </w:r>
      <w:r w:rsidRPr="00252F69">
        <w:rPr>
          <w:lang w:val="fr-FR"/>
        </w:rPr>
        <w:t xml:space="preserve"> </w:t>
      </w:r>
      <w:r w:rsidR="007841AE" w:rsidRPr="007841AE">
        <w:rPr>
          <w:rFonts w:eastAsia="MS Mincho"/>
          <w:lang w:val="fr-FR"/>
        </w:rPr>
        <w:t>n</w:t>
      </w:r>
      <w:r w:rsidR="007841AE" w:rsidRPr="007841AE">
        <w:rPr>
          <w:rFonts w:eastAsia="MS Mincho"/>
          <w:vertAlign w:val="superscript"/>
          <w:lang w:val="fr-FR"/>
        </w:rPr>
        <w:t>o</w:t>
      </w:r>
      <w:r w:rsidR="007841AE">
        <w:rPr>
          <w:lang w:val="fr-FR"/>
        </w:rPr>
        <w:t> </w:t>
      </w:r>
      <w:r w:rsidRPr="00252F69">
        <w:rPr>
          <w:lang w:val="fr-FR"/>
        </w:rPr>
        <w:t>1</w:t>
      </w:r>
      <w:r>
        <w:rPr>
          <w:lang w:val="fr-FR"/>
        </w:rPr>
        <w:t>2</w:t>
      </w:r>
      <w:r w:rsidRPr="00252F69">
        <w:rPr>
          <w:lang w:val="fr-FR"/>
        </w:rPr>
        <w:t>3</w:t>
      </w:r>
    </w:p>
    <w:p w:rsidR="00DC2AF4" w:rsidRPr="00252F69" w:rsidRDefault="00DC2AF4" w:rsidP="00DC2AF4">
      <w:pPr>
        <w:pStyle w:val="SingleTxtG"/>
        <w:ind w:left="2268" w:hanging="1134"/>
        <w:rPr>
          <w:i/>
          <w:lang w:val="fr-FR"/>
        </w:rPr>
      </w:pPr>
      <w:r>
        <w:rPr>
          <w:i/>
          <w:iCs/>
          <w:lang w:val="fr-FR" w:eastAsia="ja-JP"/>
        </w:rPr>
        <w:t>Ajouter un paragraphe</w:t>
      </w:r>
      <w:r w:rsidRPr="00252F69">
        <w:rPr>
          <w:i/>
          <w:lang w:val="fr-FR"/>
        </w:rPr>
        <w:t xml:space="preserve"> 5.16</w:t>
      </w:r>
      <w:r w:rsidRPr="00DC2AF4">
        <w:rPr>
          <w:lang w:val="fr-FR"/>
        </w:rPr>
        <w:t>,</w:t>
      </w:r>
      <w:r w:rsidRPr="00252F69">
        <w:rPr>
          <w:i/>
          <w:lang w:val="fr-FR"/>
        </w:rPr>
        <w:t xml:space="preserve"> </w:t>
      </w:r>
      <w:r>
        <w:rPr>
          <w:lang w:val="fr-FR"/>
        </w:rPr>
        <w:t>libellé comme suit</w:t>
      </w:r>
      <w:r w:rsidR="00967C1D">
        <w:rPr>
          <w:lang w:val="fr-FR"/>
        </w:rPr>
        <w:t> </w:t>
      </w:r>
      <w:r w:rsidRPr="00252F69">
        <w:rPr>
          <w:lang w:val="fr-FR"/>
        </w:rPr>
        <w:t>:</w:t>
      </w:r>
    </w:p>
    <w:p w:rsidR="00DC2AF4" w:rsidRPr="00252F69" w:rsidRDefault="00DC2AF4" w:rsidP="00DC2AF4">
      <w:pPr>
        <w:pStyle w:val="SingleTxtG"/>
        <w:ind w:left="2259" w:hanging="1125"/>
        <w:rPr>
          <w:b/>
          <w:lang w:val="fr-FR"/>
        </w:rPr>
      </w:pPr>
      <w:r>
        <w:rPr>
          <w:b/>
          <w:lang w:val="fr-FR"/>
        </w:rPr>
        <w:t>« </w:t>
      </w:r>
      <w:r w:rsidR="00AF6222">
        <w:rPr>
          <w:b/>
          <w:lang w:val="fr-FR"/>
        </w:rPr>
        <w:t>5.16</w:t>
      </w:r>
      <w:r w:rsidRPr="00252F69">
        <w:rPr>
          <w:b/>
          <w:lang w:val="fr-FR"/>
        </w:rPr>
        <w:tab/>
      </w:r>
      <w:r w:rsidRPr="00FB3698">
        <w:rPr>
          <w:b/>
          <w:lang w:val="fr-FR"/>
        </w:rPr>
        <w:t>Il est possible d</w:t>
      </w:r>
      <w:r>
        <w:rPr>
          <w:b/>
          <w:lang w:val="fr-FR"/>
        </w:rPr>
        <w:t>’</w:t>
      </w:r>
      <w:r w:rsidRPr="00FB3698">
        <w:rPr>
          <w:b/>
          <w:lang w:val="fr-FR"/>
        </w:rPr>
        <w:t>appliquer aux projecteurs, en lieu et place des prescriptions du présent Règlement ONU, celles de la dernière version du Règlement ONU [sur les dispositifs d</w:t>
      </w:r>
      <w:r>
        <w:rPr>
          <w:b/>
          <w:lang w:val="fr-FR"/>
        </w:rPr>
        <w:t>’</w:t>
      </w:r>
      <w:r w:rsidRPr="00FB3698">
        <w:rPr>
          <w:b/>
          <w:lang w:val="fr-FR"/>
        </w:rPr>
        <w:t>éclairage de la route] relatives aux</w:t>
      </w:r>
      <w:r>
        <w:rPr>
          <w:b/>
          <w:lang w:val="fr-FR"/>
        </w:rPr>
        <w:t xml:space="preserve"> systèmes d’éclairage avant adaptatifs.</w:t>
      </w:r>
      <w:r w:rsidR="00967C1D">
        <w:rPr>
          <w:b/>
          <w:lang w:val="fr-FR"/>
        </w:rPr>
        <w:t> </w:t>
      </w:r>
      <w:r w:rsidRPr="00032288">
        <w:rPr>
          <w:b/>
          <w:lang w:val="fr-FR"/>
        </w:rPr>
        <w:t>»</w:t>
      </w:r>
      <w:r w:rsidR="00967C1D" w:rsidRPr="007D0C57">
        <w:rPr>
          <w:lang w:val="fr-FR"/>
        </w:rPr>
        <w:t>.</w:t>
      </w:r>
    </w:p>
    <w:p w:rsidR="00DC2AF4" w:rsidRPr="00252F69" w:rsidRDefault="00DC2AF4" w:rsidP="009F6B19">
      <w:pPr>
        <w:pStyle w:val="HChG"/>
        <w:rPr>
          <w:szCs w:val="22"/>
          <w:lang w:val="fr-FR"/>
        </w:rPr>
      </w:pPr>
      <w:r>
        <w:rPr>
          <w:bCs/>
          <w:i/>
          <w:iCs/>
          <w:color w:val="000000"/>
          <w:lang w:val="fr-FR"/>
        </w:rPr>
        <w:br w:type="page"/>
      </w:r>
      <w:r>
        <w:rPr>
          <w:bCs/>
          <w:i/>
          <w:iCs/>
          <w:color w:val="000000"/>
          <w:lang w:val="fr-FR"/>
        </w:rPr>
        <w:lastRenderedPageBreak/>
        <w:tab/>
      </w:r>
      <w:r>
        <w:rPr>
          <w:lang w:val="fr-FR"/>
        </w:rPr>
        <w:t>II.</w:t>
      </w:r>
      <w:r>
        <w:rPr>
          <w:lang w:val="fr-FR"/>
        </w:rPr>
        <w:tab/>
      </w:r>
      <w:r w:rsidRPr="009F6B19">
        <w:t>Justification</w:t>
      </w:r>
    </w:p>
    <w:p w:rsidR="00DC2AF4" w:rsidRPr="00252F69" w:rsidRDefault="00DC2AF4" w:rsidP="00DC2AF4">
      <w:pPr>
        <w:pStyle w:val="SingleTxtG"/>
        <w:rPr>
          <w:lang w:val="fr-FR"/>
        </w:rPr>
      </w:pPr>
      <w:r w:rsidRPr="00252F69">
        <w:rPr>
          <w:lang w:val="fr-FR"/>
        </w:rPr>
        <w:t>1.</w:t>
      </w:r>
      <w:r w:rsidRPr="00252F69">
        <w:rPr>
          <w:lang w:val="fr-FR"/>
        </w:rPr>
        <w:tab/>
      </w:r>
      <w:r>
        <w:rPr>
          <w:lang w:val="fr-FR"/>
        </w:rPr>
        <w:t xml:space="preserve">Depuis une récente modification </w:t>
      </w:r>
      <w:r w:rsidRPr="00FB3698">
        <w:rPr>
          <w:lang w:val="fr-FR"/>
        </w:rPr>
        <w:t xml:space="preserve">de la Norme de sécurité des véhicules automobiles du Canada (NSVAC) </w:t>
      </w:r>
      <w:r w:rsidR="007841AE" w:rsidRPr="007841AE">
        <w:rPr>
          <w:rFonts w:eastAsia="MS Mincho"/>
          <w:lang w:val="fr-FR"/>
        </w:rPr>
        <w:t>n</w:t>
      </w:r>
      <w:r w:rsidR="007841AE" w:rsidRPr="007841AE">
        <w:rPr>
          <w:rFonts w:eastAsia="MS Mincho"/>
          <w:vertAlign w:val="superscript"/>
          <w:lang w:val="fr-FR"/>
        </w:rPr>
        <w:t>o</w:t>
      </w:r>
      <w:r w:rsidR="007841AE" w:rsidRPr="007841AE">
        <w:rPr>
          <w:lang w:val="fr-FR"/>
        </w:rPr>
        <w:t> </w:t>
      </w:r>
      <w:r w:rsidRPr="00FB3698">
        <w:rPr>
          <w:lang w:val="fr-FR"/>
        </w:rPr>
        <w:t>108</w:t>
      </w:r>
      <w:r>
        <w:rPr>
          <w:lang w:val="fr-FR"/>
        </w:rPr>
        <w:t xml:space="preserve">, il est possible d’utiliser </w:t>
      </w:r>
      <w:r w:rsidRPr="00FB3698">
        <w:rPr>
          <w:lang w:val="fr-FR"/>
        </w:rPr>
        <w:t xml:space="preserve">au Canada </w:t>
      </w:r>
      <w:r>
        <w:rPr>
          <w:lang w:val="fr-FR"/>
        </w:rPr>
        <w:t xml:space="preserve">des projecteurs conformes aux prescriptions d’un Règlement ONU. Il est expressément fait mention des Règlements ONU actuels dans </w:t>
      </w:r>
      <w:r w:rsidRPr="008B1172">
        <w:rPr>
          <w:lang w:val="fr-FR"/>
        </w:rPr>
        <w:t xml:space="preserve">la </w:t>
      </w:r>
      <w:r w:rsidRPr="00FB3698">
        <w:rPr>
          <w:lang w:val="fr-FR"/>
        </w:rPr>
        <w:t>NSVAC</w:t>
      </w:r>
      <w:r w:rsidRPr="00FB3698" w:rsidDel="00FB3698">
        <w:rPr>
          <w:lang w:val="fr-FR"/>
        </w:rPr>
        <w:t xml:space="preserve"> </w:t>
      </w:r>
      <w:r w:rsidR="007841AE" w:rsidRPr="007841AE">
        <w:rPr>
          <w:rFonts w:eastAsia="MS Mincho"/>
          <w:lang w:val="fr-FR"/>
        </w:rPr>
        <w:t>n</w:t>
      </w:r>
      <w:r w:rsidR="007841AE" w:rsidRPr="007841AE">
        <w:rPr>
          <w:rFonts w:eastAsia="MS Mincho"/>
          <w:vertAlign w:val="superscript"/>
          <w:lang w:val="fr-FR"/>
        </w:rPr>
        <w:t>o</w:t>
      </w:r>
      <w:r w:rsidR="007841AE" w:rsidRPr="007841AE">
        <w:rPr>
          <w:lang w:val="fr-FR"/>
        </w:rPr>
        <w:t> </w:t>
      </w:r>
      <w:r w:rsidRPr="008B1172">
        <w:rPr>
          <w:lang w:val="fr-FR"/>
        </w:rPr>
        <w:t>108</w:t>
      </w:r>
      <w:r w:rsidRPr="00252F69">
        <w:rPr>
          <w:lang w:val="fr-FR"/>
        </w:rPr>
        <w:t xml:space="preserve">. </w:t>
      </w:r>
      <w:r>
        <w:rPr>
          <w:lang w:val="fr-FR"/>
        </w:rPr>
        <w:t xml:space="preserve">Toutefois, il sera prochainement mis un terme à l’évolution de ces </w:t>
      </w:r>
      <w:r w:rsidRPr="002D3481">
        <w:rPr>
          <w:lang w:val="fr-FR"/>
        </w:rPr>
        <w:t>Règlements</w:t>
      </w:r>
      <w:r w:rsidR="0088597D">
        <w:rPr>
          <w:lang w:val="fr-FR"/>
        </w:rPr>
        <w:t xml:space="preserve"> ONU</w:t>
      </w:r>
      <w:r>
        <w:rPr>
          <w:lang w:val="fr-FR"/>
        </w:rPr>
        <w:t xml:space="preserve"> et plus aucune modification n’y sera apportée.</w:t>
      </w:r>
      <w:r w:rsidRPr="00252F69">
        <w:rPr>
          <w:lang w:val="fr-FR"/>
        </w:rPr>
        <w:t xml:space="preserve"> </w:t>
      </w:r>
    </w:p>
    <w:p w:rsidR="00F9573C" w:rsidRDefault="00DC2AF4" w:rsidP="00DC2AF4">
      <w:pPr>
        <w:pStyle w:val="SingleTxtG"/>
        <w:rPr>
          <w:lang w:val="fr-FR"/>
        </w:rPr>
      </w:pPr>
      <w:r w:rsidRPr="00252F69">
        <w:rPr>
          <w:lang w:val="fr-FR"/>
        </w:rPr>
        <w:t>2.</w:t>
      </w:r>
      <w:r w:rsidRPr="00252F69">
        <w:rPr>
          <w:lang w:val="fr-FR"/>
        </w:rPr>
        <w:tab/>
      </w:r>
      <w:r>
        <w:rPr>
          <w:lang w:val="fr-FR"/>
        </w:rPr>
        <w:t xml:space="preserve">Afin que les projecteurs conformes au nouveau Règlement ONU </w:t>
      </w:r>
      <w:r w:rsidRPr="008B1172">
        <w:rPr>
          <w:lang w:val="fr-FR"/>
        </w:rPr>
        <w:t>sur les dispositifs d</w:t>
      </w:r>
      <w:r>
        <w:rPr>
          <w:lang w:val="fr-FR"/>
        </w:rPr>
        <w:t>’</w:t>
      </w:r>
      <w:r w:rsidRPr="008B1172">
        <w:rPr>
          <w:lang w:val="fr-FR"/>
        </w:rPr>
        <w:t xml:space="preserve">éclairage de la route </w:t>
      </w:r>
      <w:r>
        <w:rPr>
          <w:lang w:val="fr-FR"/>
        </w:rPr>
        <w:t xml:space="preserve">continuent de pouvoir être utilisés au Canada, ce nouveau Règlement </w:t>
      </w:r>
      <w:r w:rsidR="0088597D">
        <w:rPr>
          <w:lang w:val="fr-FR"/>
        </w:rPr>
        <w:t xml:space="preserve">ONU </w:t>
      </w:r>
      <w:r>
        <w:rPr>
          <w:lang w:val="fr-FR"/>
        </w:rPr>
        <w:t xml:space="preserve">doit être clairement </w:t>
      </w:r>
      <w:r w:rsidRPr="002D3481">
        <w:rPr>
          <w:lang w:val="fr-FR"/>
        </w:rPr>
        <w:t xml:space="preserve">mentionné </w:t>
      </w:r>
      <w:r>
        <w:rPr>
          <w:lang w:val="fr-FR"/>
        </w:rPr>
        <w:t>dans les Règlement ONU actuels</w:t>
      </w:r>
      <w:r w:rsidRPr="00252F69">
        <w:rPr>
          <w:lang w:val="fr-FR"/>
        </w:rPr>
        <w:t>.</w:t>
      </w:r>
    </w:p>
    <w:p w:rsidR="00DC2AF4" w:rsidRPr="00DC2AF4" w:rsidRDefault="00DC2AF4" w:rsidP="00DC2AF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C2AF4" w:rsidRPr="00DC2AF4" w:rsidSect="00DC2A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CD7" w:rsidRDefault="005C4CD7" w:rsidP="00F95C08">
      <w:pPr>
        <w:spacing w:line="240" w:lineRule="auto"/>
      </w:pPr>
    </w:p>
  </w:endnote>
  <w:endnote w:type="continuationSeparator" w:id="0">
    <w:p w:rsidR="005C4CD7" w:rsidRPr="00AC3823" w:rsidRDefault="005C4CD7" w:rsidP="00AC3823">
      <w:pPr>
        <w:pStyle w:val="Footer"/>
      </w:pPr>
    </w:p>
  </w:endnote>
  <w:endnote w:type="continuationNotice" w:id="1">
    <w:p w:rsidR="005C4CD7" w:rsidRDefault="005C4C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AF4" w:rsidRPr="00DC2AF4" w:rsidRDefault="00DC2AF4" w:rsidP="00DC2AF4">
    <w:pPr>
      <w:pStyle w:val="Footer"/>
      <w:tabs>
        <w:tab w:val="right" w:pos="9638"/>
      </w:tabs>
    </w:pPr>
    <w:r w:rsidRPr="00DC2AF4">
      <w:rPr>
        <w:b/>
        <w:sz w:val="18"/>
      </w:rPr>
      <w:fldChar w:fldCharType="begin"/>
    </w:r>
    <w:r w:rsidRPr="00DC2AF4">
      <w:rPr>
        <w:b/>
        <w:sz w:val="18"/>
      </w:rPr>
      <w:instrText xml:space="preserve"> PAGE  \* MERGEFORMAT </w:instrText>
    </w:r>
    <w:r w:rsidRPr="00DC2AF4">
      <w:rPr>
        <w:b/>
        <w:sz w:val="18"/>
      </w:rPr>
      <w:fldChar w:fldCharType="separate"/>
    </w:r>
    <w:r w:rsidR="009F6B19">
      <w:rPr>
        <w:b/>
        <w:noProof/>
        <w:sz w:val="18"/>
      </w:rPr>
      <w:t>2</w:t>
    </w:r>
    <w:r w:rsidRPr="00DC2AF4">
      <w:rPr>
        <w:b/>
        <w:sz w:val="18"/>
      </w:rPr>
      <w:fldChar w:fldCharType="end"/>
    </w:r>
    <w:r>
      <w:rPr>
        <w:b/>
        <w:sz w:val="18"/>
      </w:rPr>
      <w:tab/>
    </w:r>
    <w:r>
      <w:t>GE.18-13154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AF4" w:rsidRPr="00DC2AF4" w:rsidRDefault="00DC2AF4" w:rsidP="00DC2AF4">
    <w:pPr>
      <w:pStyle w:val="Footer"/>
      <w:tabs>
        <w:tab w:val="right" w:pos="9638"/>
      </w:tabs>
      <w:rPr>
        <w:b/>
        <w:sz w:val="18"/>
      </w:rPr>
    </w:pPr>
    <w:r>
      <w:t>GE.18-13154</w:t>
    </w:r>
    <w:r>
      <w:tab/>
    </w:r>
    <w:r w:rsidRPr="00DC2AF4">
      <w:rPr>
        <w:b/>
        <w:sz w:val="18"/>
      </w:rPr>
      <w:fldChar w:fldCharType="begin"/>
    </w:r>
    <w:r w:rsidRPr="00DC2AF4">
      <w:rPr>
        <w:b/>
        <w:sz w:val="18"/>
      </w:rPr>
      <w:instrText xml:space="preserve"> PAGE  \* MERGEFORMAT </w:instrText>
    </w:r>
    <w:r w:rsidRPr="00DC2AF4">
      <w:rPr>
        <w:b/>
        <w:sz w:val="18"/>
      </w:rPr>
      <w:fldChar w:fldCharType="separate"/>
    </w:r>
    <w:r w:rsidR="009F6B19">
      <w:rPr>
        <w:b/>
        <w:noProof/>
        <w:sz w:val="18"/>
      </w:rPr>
      <w:t>3</w:t>
    </w:r>
    <w:r w:rsidRPr="00DC2A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DC2AF4" w:rsidRDefault="00DC2AF4" w:rsidP="00DC2AF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18-13154  (F)</w:t>
    </w:r>
    <w:r w:rsidR="00755B70">
      <w:rPr>
        <w:sz w:val="20"/>
      </w:rPr>
      <w:t xml:space="preserve">    050918    070918</w:t>
    </w:r>
    <w:r>
      <w:rPr>
        <w:sz w:val="20"/>
      </w:rPr>
      <w:br/>
    </w:r>
    <w:r w:rsidRPr="00DC2AF4">
      <w:rPr>
        <w:rFonts w:ascii="C39T30Lfz" w:hAnsi="C39T30Lfz"/>
        <w:sz w:val="56"/>
      </w:rPr>
      <w:t></w:t>
    </w:r>
    <w:r w:rsidRPr="00DC2AF4">
      <w:rPr>
        <w:rFonts w:ascii="C39T30Lfz" w:hAnsi="C39T30Lfz"/>
        <w:sz w:val="56"/>
      </w:rPr>
      <w:t></w:t>
    </w:r>
    <w:r w:rsidRPr="00DC2AF4">
      <w:rPr>
        <w:rFonts w:ascii="C39T30Lfz" w:hAnsi="C39T30Lfz"/>
        <w:sz w:val="56"/>
      </w:rPr>
      <w:t></w:t>
    </w:r>
    <w:r w:rsidRPr="00DC2AF4">
      <w:rPr>
        <w:rFonts w:ascii="C39T30Lfz" w:hAnsi="C39T30Lfz"/>
        <w:sz w:val="56"/>
      </w:rPr>
      <w:t></w:t>
    </w:r>
    <w:r w:rsidRPr="00DC2AF4">
      <w:rPr>
        <w:rFonts w:ascii="C39T30Lfz" w:hAnsi="C39T30Lfz"/>
        <w:sz w:val="56"/>
      </w:rPr>
      <w:t></w:t>
    </w:r>
    <w:r w:rsidRPr="00DC2AF4">
      <w:rPr>
        <w:rFonts w:ascii="C39T30Lfz" w:hAnsi="C39T30Lfz"/>
        <w:sz w:val="56"/>
      </w:rPr>
      <w:t></w:t>
    </w:r>
    <w:r w:rsidRPr="00DC2AF4">
      <w:rPr>
        <w:rFonts w:ascii="C39T30Lfz" w:hAnsi="C39T30Lfz"/>
        <w:sz w:val="56"/>
      </w:rPr>
      <w:t></w:t>
    </w:r>
    <w:r w:rsidRPr="00DC2AF4">
      <w:rPr>
        <w:rFonts w:ascii="C39T30Lfz" w:hAnsi="C39T30Lfz"/>
        <w:sz w:val="56"/>
      </w:rPr>
      <w:t></w:t>
    </w:r>
    <w:r w:rsidRPr="00DC2AF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8/3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CD7" w:rsidRPr="00AC3823" w:rsidRDefault="005C4CD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C4CD7" w:rsidRPr="00AC3823" w:rsidRDefault="005C4CD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C4CD7" w:rsidRPr="00AC3823" w:rsidRDefault="005C4CD7">
      <w:pPr>
        <w:spacing w:line="240" w:lineRule="auto"/>
        <w:rPr>
          <w:sz w:val="2"/>
          <w:szCs w:val="2"/>
        </w:rPr>
      </w:pPr>
    </w:p>
  </w:footnote>
  <w:footnote w:id="2">
    <w:p w:rsidR="001E4B45" w:rsidRPr="001E4B45" w:rsidRDefault="001E4B45">
      <w:pPr>
        <w:pStyle w:val="FootnoteText"/>
      </w:pPr>
      <w:r>
        <w:rPr>
          <w:rStyle w:val="FootnoteReference"/>
        </w:rPr>
        <w:tab/>
      </w:r>
      <w:r w:rsidRPr="001E4B4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F6837">
        <w:rPr>
          <w:szCs w:val="18"/>
          <w:lang w:val="fr-FR"/>
        </w:rPr>
        <w:t>Conformément au programme de travail du Comité des transports intérieurs pour 2018-2019</w:t>
      </w:r>
      <w:r>
        <w:rPr>
          <w:szCs w:val="18"/>
          <w:lang w:val="fr-FR"/>
        </w:rPr>
        <w:t xml:space="preserve"> (ECE/TRANS/274,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AF4" w:rsidRPr="00DC2AF4" w:rsidRDefault="009F6B19">
    <w:pPr>
      <w:pStyle w:val="Header"/>
    </w:pPr>
    <w:fldSimple w:instr=" TITLE  \* MERGEFORMAT ">
      <w:r w:rsidR="00072300">
        <w:t>ECE/TRANS/WP.29/GRE/2018/32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AF4" w:rsidRPr="00DC2AF4" w:rsidRDefault="009F6B19" w:rsidP="00DC2AF4">
    <w:pPr>
      <w:pStyle w:val="Header"/>
      <w:jc w:val="right"/>
    </w:pPr>
    <w:fldSimple w:instr=" TITLE  \* MERGEFORMAT ">
      <w:r w:rsidR="00072300">
        <w:t>ECE/TRANS/WP.29/GRE/2018/32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D7"/>
    <w:rsid w:val="00017F94"/>
    <w:rsid w:val="00023842"/>
    <w:rsid w:val="000334F9"/>
    <w:rsid w:val="000358A9"/>
    <w:rsid w:val="00045FEB"/>
    <w:rsid w:val="00072300"/>
    <w:rsid w:val="0007796D"/>
    <w:rsid w:val="000B7790"/>
    <w:rsid w:val="00111F2F"/>
    <w:rsid w:val="0014365E"/>
    <w:rsid w:val="00143C66"/>
    <w:rsid w:val="00176178"/>
    <w:rsid w:val="001E4B45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D40FF"/>
    <w:rsid w:val="004E2EED"/>
    <w:rsid w:val="004E468C"/>
    <w:rsid w:val="005505B7"/>
    <w:rsid w:val="00573BE5"/>
    <w:rsid w:val="00586ED3"/>
    <w:rsid w:val="00596AA9"/>
    <w:rsid w:val="005C4CD7"/>
    <w:rsid w:val="00622765"/>
    <w:rsid w:val="00645729"/>
    <w:rsid w:val="0071601D"/>
    <w:rsid w:val="00755B70"/>
    <w:rsid w:val="007841AE"/>
    <w:rsid w:val="007A62E6"/>
    <w:rsid w:val="007D0C57"/>
    <w:rsid w:val="007F20FA"/>
    <w:rsid w:val="0080684C"/>
    <w:rsid w:val="00871C75"/>
    <w:rsid w:val="008776DC"/>
    <w:rsid w:val="0088597D"/>
    <w:rsid w:val="008B32D7"/>
    <w:rsid w:val="009446C0"/>
    <w:rsid w:val="00967C1D"/>
    <w:rsid w:val="009705C8"/>
    <w:rsid w:val="009C1CF4"/>
    <w:rsid w:val="009F6B19"/>
    <w:rsid w:val="009F6B74"/>
    <w:rsid w:val="00A3029F"/>
    <w:rsid w:val="00A30353"/>
    <w:rsid w:val="00AC3823"/>
    <w:rsid w:val="00AE323C"/>
    <w:rsid w:val="00AF0CB5"/>
    <w:rsid w:val="00AF6222"/>
    <w:rsid w:val="00B00181"/>
    <w:rsid w:val="00B00B0D"/>
    <w:rsid w:val="00B17EFD"/>
    <w:rsid w:val="00B45F2E"/>
    <w:rsid w:val="00B765F7"/>
    <w:rsid w:val="00BA0CA9"/>
    <w:rsid w:val="00C02897"/>
    <w:rsid w:val="00C95E11"/>
    <w:rsid w:val="00C97039"/>
    <w:rsid w:val="00D3439C"/>
    <w:rsid w:val="00DB1831"/>
    <w:rsid w:val="00DC2AF4"/>
    <w:rsid w:val="00DD3BFD"/>
    <w:rsid w:val="00DF6678"/>
    <w:rsid w:val="00E0299A"/>
    <w:rsid w:val="00E85C74"/>
    <w:rsid w:val="00EA6547"/>
    <w:rsid w:val="00EE6388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C0A3F0-286B-4A69-B6DA-88259CC6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C2AF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DC2AF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DC2AF4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ECE/TRANS/WP.29/GRE/2018/32</vt:lpstr>
      <vt:lpstr>ECE/TRANS/WP.29/GRE/2018/32</vt:lpstr>
    </vt:vector>
  </TitlesOfParts>
  <Company>DCM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ECE/TRANS/WP.29/GRE/2018/32</dc:title>
  <dc:subject/>
  <dc:creator>Isabelle VIGNY</dc:creator>
  <cp:keywords/>
  <cp:lastModifiedBy>Benedicte Boudol</cp:lastModifiedBy>
  <cp:revision>2</cp:revision>
  <cp:lastPrinted>2018-09-07T10:30:00Z</cp:lastPrinted>
  <dcterms:created xsi:type="dcterms:W3CDTF">2018-09-07T10:49:00Z</dcterms:created>
  <dcterms:modified xsi:type="dcterms:W3CDTF">2018-09-07T10:49:00Z</dcterms:modified>
</cp:coreProperties>
</file>