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C03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C0357" w:rsidP="008C0357">
            <w:pPr>
              <w:jc w:val="right"/>
            </w:pPr>
            <w:r w:rsidRPr="008C0357">
              <w:rPr>
                <w:sz w:val="40"/>
              </w:rPr>
              <w:t>ECE</w:t>
            </w:r>
            <w:r>
              <w:t>/TRANS/WP.29/GRE/2018/25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C035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C0357" w:rsidRDefault="008C0357" w:rsidP="008C035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February 2018</w:t>
            </w:r>
          </w:p>
          <w:p w:rsidR="008C0357" w:rsidRDefault="008C0357" w:rsidP="008C035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C0357" w:rsidRPr="008D53B6" w:rsidRDefault="008C0357" w:rsidP="008C035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Pr="006C7401" w:rsidRDefault="008A37C8" w:rsidP="006C7401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6C7401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6C7401" w:rsidRPr="006C7401" w:rsidRDefault="006C7401" w:rsidP="006C7401">
      <w:pPr>
        <w:suppressAutoHyphens/>
        <w:spacing w:before="120"/>
        <w:rPr>
          <w:spacing w:val="0"/>
          <w:w w:val="100"/>
          <w:kern w:val="0"/>
          <w:sz w:val="28"/>
          <w:szCs w:val="28"/>
        </w:rPr>
      </w:pPr>
      <w:r w:rsidRPr="006C7401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6C7401" w:rsidRPr="006C7401" w:rsidRDefault="006C7401" w:rsidP="006C7401">
      <w:pPr>
        <w:suppressAutoHyphens/>
        <w:spacing w:before="120"/>
        <w:rPr>
          <w:b/>
          <w:spacing w:val="0"/>
          <w:w w:val="100"/>
          <w:kern w:val="0"/>
          <w:sz w:val="24"/>
          <w:szCs w:val="24"/>
        </w:rPr>
      </w:pPr>
      <w:r w:rsidRPr="006C7401">
        <w:rPr>
          <w:b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6C7401">
        <w:rPr>
          <w:b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6C7401" w:rsidRPr="006C7401" w:rsidRDefault="006C7401" w:rsidP="006C7401">
      <w:pPr>
        <w:suppressAutoHyphens/>
        <w:spacing w:before="120" w:after="120"/>
        <w:rPr>
          <w:b/>
          <w:bCs/>
          <w:spacing w:val="0"/>
          <w:w w:val="100"/>
          <w:kern w:val="0"/>
        </w:rPr>
      </w:pPr>
      <w:r w:rsidRPr="006C7401">
        <w:rPr>
          <w:b/>
          <w:bCs/>
          <w:spacing w:val="0"/>
          <w:w w:val="100"/>
          <w:kern w:val="0"/>
        </w:rPr>
        <w:t xml:space="preserve">Рабочая группа по вопросам освещения </w:t>
      </w:r>
      <w:r w:rsidRPr="006C7401">
        <w:rPr>
          <w:b/>
          <w:bCs/>
          <w:spacing w:val="0"/>
          <w:w w:val="100"/>
          <w:kern w:val="0"/>
        </w:rPr>
        <w:br/>
        <w:t>и световой сигнализации</w:t>
      </w:r>
    </w:p>
    <w:p w:rsidR="006C7401" w:rsidRPr="006C7401" w:rsidRDefault="006C7401" w:rsidP="006C7401">
      <w:pPr>
        <w:suppressAutoHyphens/>
        <w:rPr>
          <w:b/>
          <w:spacing w:val="0"/>
          <w:w w:val="100"/>
          <w:kern w:val="0"/>
        </w:rPr>
      </w:pPr>
      <w:r w:rsidRPr="006C7401">
        <w:rPr>
          <w:b/>
          <w:spacing w:val="0"/>
          <w:w w:val="100"/>
          <w:kern w:val="0"/>
        </w:rPr>
        <w:t>Семьдесят девятая сессия</w:t>
      </w:r>
    </w:p>
    <w:p w:rsidR="006C7401" w:rsidRPr="006C7401" w:rsidRDefault="006C7401" w:rsidP="006C7401">
      <w:pPr>
        <w:suppressAutoHyphens/>
        <w:rPr>
          <w:bCs/>
          <w:spacing w:val="0"/>
          <w:w w:val="100"/>
          <w:kern w:val="0"/>
        </w:rPr>
      </w:pPr>
      <w:r w:rsidRPr="006C7401">
        <w:rPr>
          <w:spacing w:val="0"/>
          <w:w w:val="100"/>
          <w:kern w:val="0"/>
        </w:rPr>
        <w:t>Женева, 24–27 апреля 2018 года</w:t>
      </w:r>
    </w:p>
    <w:p w:rsidR="006C7401" w:rsidRPr="006C7401" w:rsidRDefault="006C7401" w:rsidP="006C7401">
      <w:pPr>
        <w:suppressAutoHyphens/>
        <w:ind w:right="1134"/>
        <w:rPr>
          <w:b/>
          <w:bCs/>
          <w:spacing w:val="0"/>
          <w:w w:val="100"/>
          <w:kern w:val="0"/>
        </w:rPr>
      </w:pPr>
      <w:r w:rsidRPr="006C7401">
        <w:rPr>
          <w:bCs/>
          <w:spacing w:val="0"/>
          <w:w w:val="100"/>
          <w:kern w:val="0"/>
        </w:rPr>
        <w:t>Пункт 7 c) предварительной повестки дня</w:t>
      </w:r>
      <w:r w:rsidRPr="006C7401">
        <w:rPr>
          <w:bCs/>
          <w:spacing w:val="0"/>
          <w:w w:val="100"/>
          <w:kern w:val="0"/>
        </w:rPr>
        <w:br/>
      </w:r>
      <w:r w:rsidRPr="006C7401">
        <w:rPr>
          <w:b/>
          <w:bCs/>
          <w:spacing w:val="0"/>
          <w:w w:val="100"/>
          <w:kern w:val="0"/>
        </w:rPr>
        <w:t xml:space="preserve">Другие правила: </w:t>
      </w:r>
    </w:p>
    <w:p w:rsidR="008C0357" w:rsidRPr="006C7401" w:rsidRDefault="006C7401" w:rsidP="006C7401">
      <w:pPr>
        <w:suppressAutoHyphens/>
        <w:spacing w:line="240" w:lineRule="auto"/>
        <w:rPr>
          <w:spacing w:val="0"/>
          <w:w w:val="100"/>
          <w:kern w:val="0"/>
        </w:rPr>
      </w:pPr>
      <w:r w:rsidRPr="006C7401">
        <w:rPr>
          <w:b/>
          <w:bCs/>
          <w:spacing w:val="0"/>
          <w:w w:val="100"/>
          <w:kern w:val="0"/>
        </w:rPr>
        <w:t xml:space="preserve">Правила № 53 (установка устройств освещения </w:t>
      </w:r>
      <w:r w:rsidRPr="006C7401">
        <w:rPr>
          <w:b/>
          <w:bCs/>
          <w:spacing w:val="0"/>
          <w:w w:val="100"/>
          <w:kern w:val="0"/>
        </w:rPr>
        <w:br/>
        <w:t xml:space="preserve">и световой сигнализации для транспортных </w:t>
      </w:r>
      <w:r w:rsidRPr="006C7401">
        <w:rPr>
          <w:b/>
          <w:bCs/>
          <w:spacing w:val="0"/>
          <w:w w:val="100"/>
          <w:kern w:val="0"/>
        </w:rPr>
        <w:br/>
        <w:t>средств категории L</w:t>
      </w:r>
      <w:r w:rsidRPr="006C7401">
        <w:rPr>
          <w:b/>
          <w:bCs/>
          <w:spacing w:val="0"/>
          <w:w w:val="100"/>
          <w:kern w:val="0"/>
          <w:vertAlign w:val="subscript"/>
        </w:rPr>
        <w:t>3</w:t>
      </w:r>
      <w:r w:rsidRPr="006C7401">
        <w:rPr>
          <w:b/>
          <w:bCs/>
          <w:spacing w:val="0"/>
          <w:w w:val="100"/>
          <w:kern w:val="0"/>
        </w:rPr>
        <w:t>)</w:t>
      </w:r>
    </w:p>
    <w:p w:rsidR="006C7401" w:rsidRPr="006C7401" w:rsidRDefault="006C7401" w:rsidP="006C7401">
      <w:pPr>
        <w:pStyle w:val="HChG"/>
        <w:tabs>
          <w:tab w:val="clear" w:pos="851"/>
        </w:tabs>
        <w:ind w:firstLine="0"/>
        <w:rPr>
          <w:lang w:val="ru-RU"/>
        </w:rPr>
      </w:pPr>
      <w:r w:rsidRPr="006C7401">
        <w:rPr>
          <w:lang w:val="ru-RU"/>
        </w:rPr>
        <w:t xml:space="preserve">Предложение по проекту поправки к Правилам № 53 (установка устройства освещения и световой сигнализации для транспортных средств категории </w:t>
      </w:r>
      <w:r w:rsidRPr="006C7401">
        <w:rPr>
          <w:lang w:val="en-US"/>
        </w:rPr>
        <w:t>L</w:t>
      </w:r>
      <w:r w:rsidRPr="006C7401">
        <w:rPr>
          <w:vertAlign w:val="subscript"/>
          <w:lang w:val="ru-RU"/>
        </w:rPr>
        <w:t>3</w:t>
      </w:r>
      <w:r w:rsidRPr="006C7401">
        <w:rPr>
          <w:szCs w:val="28"/>
          <w:lang w:val="ru-RU"/>
        </w:rPr>
        <w:t>)</w:t>
      </w:r>
    </w:p>
    <w:p w:rsidR="006C7401" w:rsidRPr="006C7401" w:rsidRDefault="006C7401" w:rsidP="006C7401">
      <w:pPr>
        <w:pStyle w:val="H1G"/>
        <w:ind w:firstLine="0"/>
        <w:rPr>
          <w:lang w:val="ru-RU"/>
        </w:rPr>
      </w:pPr>
      <w:r w:rsidRPr="006C7401">
        <w:rPr>
          <w:lang w:val="ru-RU"/>
        </w:rPr>
        <w:t xml:space="preserve">Представлено экспертом от Международной ассоциации </w:t>
      </w:r>
      <w:r w:rsidR="003A0A4C">
        <w:rPr>
          <w:lang w:val="ru-RU"/>
        </w:rPr>
        <w:br/>
      </w:r>
      <w:r w:rsidRPr="006C7401">
        <w:rPr>
          <w:lang w:val="ru-RU"/>
        </w:rPr>
        <w:t>заводов</w:t>
      </w:r>
      <w:r w:rsidR="003A0A4C">
        <w:rPr>
          <w:lang w:val="ru-RU"/>
        </w:rPr>
        <w:t xml:space="preserve"> – </w:t>
      </w:r>
      <w:r w:rsidRPr="006C7401">
        <w:rPr>
          <w:lang w:val="ru-RU"/>
        </w:rPr>
        <w:t>изготовителей мотоциклов (МАЗМ)</w:t>
      </w:r>
      <w:r w:rsidRPr="006C7401">
        <w:rPr>
          <w:rStyle w:val="FootnoteReference"/>
          <w:rFonts w:eastAsia="Times New Roman"/>
          <w:b w:val="0"/>
          <w:spacing w:val="5"/>
          <w:w w:val="104"/>
          <w:kern w:val="14"/>
          <w:szCs w:val="18"/>
          <w:vertAlign w:val="baseline"/>
          <w:lang w:eastAsia="ru-RU"/>
        </w:rPr>
        <w:footnoteReference w:customMarkFollows="1" w:id="1"/>
        <w:t>*</w:t>
      </w:r>
    </w:p>
    <w:p w:rsidR="006C7401" w:rsidRDefault="006C7401" w:rsidP="006C7401">
      <w:pPr>
        <w:tabs>
          <w:tab w:val="left" w:pos="8505"/>
        </w:tabs>
        <w:suppressAutoHyphens/>
        <w:spacing w:after="120"/>
        <w:ind w:left="1134" w:right="1134" w:firstLine="567"/>
        <w:jc w:val="both"/>
        <w:rPr>
          <w:rFonts w:eastAsia="Calibri"/>
          <w:spacing w:val="0"/>
          <w:w w:val="100"/>
          <w:kern w:val="0"/>
        </w:rPr>
      </w:pPr>
      <w:r w:rsidRPr="006C7401">
        <w:rPr>
          <w:rFonts w:eastAsia="Calibri"/>
          <w:spacing w:val="0"/>
          <w:w w:val="100"/>
          <w:kern w:val="0"/>
        </w:rPr>
        <w:t xml:space="preserve">Воспроизведенный ниже текст был подготовлен экспертом от МАЗМ с целью уточнить, что указатели поворота могут включаться для обозначения состояния транспортного средства, когда двигатель выключен. Изменения к действующему тексту Правил выделены жирным шрифтом, а текст, подлежащий исключению, зачеркнут. </w:t>
      </w:r>
    </w:p>
    <w:p w:rsidR="0014545F" w:rsidRDefault="0014545F">
      <w:pPr>
        <w:spacing w:line="240" w:lineRule="auto"/>
        <w:rPr>
          <w:rFonts w:eastAsia="Calibri"/>
          <w:spacing w:val="0"/>
          <w:w w:val="100"/>
          <w:kern w:val="0"/>
        </w:rPr>
      </w:pPr>
      <w:r>
        <w:rPr>
          <w:rFonts w:eastAsia="Calibri"/>
          <w:spacing w:val="0"/>
          <w:w w:val="100"/>
          <w:kern w:val="0"/>
        </w:rPr>
        <w:br w:type="page"/>
      </w:r>
    </w:p>
    <w:p w:rsidR="006C7401" w:rsidRPr="006C7401" w:rsidRDefault="006C7401" w:rsidP="006C7401">
      <w:pPr>
        <w:pStyle w:val="HChG"/>
        <w:ind w:left="357" w:firstLine="0"/>
      </w:pPr>
      <w:r w:rsidRPr="006C7401">
        <w:rPr>
          <w:lang w:val="ru-RU"/>
        </w:rPr>
        <w:lastRenderedPageBreak/>
        <w:tab/>
      </w:r>
      <w:r w:rsidRPr="006C7401">
        <w:t>I.</w:t>
      </w:r>
      <w:r w:rsidRPr="006C7401">
        <w:tab/>
      </w:r>
      <w:r w:rsidRPr="006C7401">
        <w:rPr>
          <w:lang w:val="ru-RU"/>
        </w:rPr>
        <w:t>Предложение</w:t>
      </w:r>
    </w:p>
    <w:p w:rsidR="006C7401" w:rsidRPr="006C7401" w:rsidRDefault="006C7401" w:rsidP="006C7401">
      <w:pPr>
        <w:suppressAutoHyphens/>
        <w:spacing w:after="120"/>
        <w:ind w:left="567" w:right="1134" w:firstLine="567"/>
        <w:jc w:val="both"/>
        <w:rPr>
          <w:i/>
          <w:iCs/>
          <w:spacing w:val="0"/>
          <w:w w:val="100"/>
          <w:kern w:val="0"/>
        </w:rPr>
      </w:pPr>
      <w:r w:rsidRPr="006C7401">
        <w:rPr>
          <w:i/>
          <w:iCs/>
          <w:spacing w:val="0"/>
          <w:w w:val="100"/>
          <w:kern w:val="0"/>
        </w:rPr>
        <w:t>Пункт 6.3.6</w:t>
      </w:r>
      <w:r w:rsidRPr="006C7401">
        <w:rPr>
          <w:iCs/>
          <w:spacing w:val="0"/>
          <w:w w:val="100"/>
          <w:kern w:val="0"/>
        </w:rPr>
        <w:t xml:space="preserve"> изменить следующим образом:</w:t>
      </w:r>
    </w:p>
    <w:p w:rsidR="006C7401" w:rsidRPr="006C7401" w:rsidRDefault="006C7401" w:rsidP="006C7401">
      <w:pPr>
        <w:pStyle w:val="NormalWeb"/>
        <w:spacing w:after="120"/>
        <w:ind w:leftChars="567" w:left="1183" w:right="1134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«6.3.6</w:t>
      </w:r>
      <w:r w:rsidRPr="006C7401"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</w:r>
      <w:r w:rsidRPr="006C7401">
        <w:rPr>
          <w:color w:val="000000"/>
          <w:sz w:val="20"/>
          <w:szCs w:val="20"/>
          <w:lang w:val="ru-RU"/>
        </w:rPr>
        <w:t>Схема электрических соединений</w:t>
      </w:r>
    </w:p>
    <w:p w:rsidR="006C7401" w:rsidRPr="006C7401" w:rsidRDefault="006C7401" w:rsidP="006C7401">
      <w:pPr>
        <w:pStyle w:val="NormalWeb"/>
        <w:spacing w:after="120"/>
        <w:ind w:leftChars="567" w:left="2316" w:rightChars="567" w:right="1183" w:hanging="1133"/>
        <w:jc w:val="both"/>
        <w:rPr>
          <w:color w:val="000000"/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>6.3.6.1</w:t>
      </w:r>
      <w:r w:rsidRPr="006C7401">
        <w:rPr>
          <w:b/>
          <w:color w:val="000000"/>
          <w:sz w:val="20"/>
          <w:szCs w:val="20"/>
          <w:lang w:val="ru-RU"/>
        </w:rPr>
        <w:tab/>
      </w:r>
      <w:r w:rsidRPr="006C7401">
        <w:rPr>
          <w:color w:val="000000"/>
          <w:sz w:val="20"/>
          <w:szCs w:val="20"/>
          <w:lang w:val="ru-RU"/>
        </w:rPr>
        <w:t>Указатели поворота должны включаться независимо от включения других огней. Все указатели поворота, находящиеся с одной стороны транспортного средства, должны включаться и отключаться при помощи одного органа управления</w:t>
      </w:r>
      <w:r>
        <w:rPr>
          <w:color w:val="000000"/>
          <w:sz w:val="20"/>
          <w:szCs w:val="20"/>
          <w:lang w:val="ru-RU"/>
        </w:rPr>
        <w:t>.</w:t>
      </w:r>
    </w:p>
    <w:p w:rsidR="006C7401" w:rsidRPr="006C7401" w:rsidRDefault="006C7401" w:rsidP="006C7401">
      <w:pPr>
        <w:pStyle w:val="NormalWeb"/>
        <w:spacing w:after="120"/>
        <w:ind w:leftChars="567" w:left="2316" w:rightChars="567" w:right="1183" w:hanging="1133"/>
        <w:jc w:val="both"/>
        <w:rPr>
          <w:color w:val="000000"/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>6.3.6.2</w:t>
      </w:r>
      <w:r w:rsidRPr="006C7401">
        <w:rPr>
          <w:b/>
          <w:color w:val="000000"/>
          <w:sz w:val="20"/>
          <w:szCs w:val="20"/>
          <w:lang w:val="ru-RU"/>
        </w:rPr>
        <w:tab/>
        <w:t>Указатели поворота могут включаться для указания состояния транспортного средства (например, системы блокировки) или его близости в том случае, когда устройство запуска и/или остановки двигателя (системы тяги) установлено в положение, которое исключает возможность работы двигателя (системы тяги)</w:t>
      </w:r>
      <w:r>
        <w:rPr>
          <w:b/>
          <w:color w:val="000000"/>
          <w:sz w:val="20"/>
          <w:szCs w:val="20"/>
          <w:lang w:val="ru-RU"/>
        </w:rPr>
        <w:t>.</w:t>
      </w:r>
      <w:r w:rsidRPr="006C7401">
        <w:rPr>
          <w:color w:val="000000"/>
          <w:sz w:val="20"/>
          <w:szCs w:val="20"/>
          <w:lang w:val="ru-RU"/>
        </w:rPr>
        <w:t>»</w:t>
      </w:r>
      <w:r w:rsidR="00D74438">
        <w:rPr>
          <w:color w:val="000000"/>
          <w:sz w:val="20"/>
          <w:szCs w:val="20"/>
          <w:lang w:val="ru-RU"/>
        </w:rPr>
        <w:t>.</w:t>
      </w:r>
    </w:p>
    <w:p w:rsidR="006C7401" w:rsidRPr="006C7401" w:rsidRDefault="006C7401" w:rsidP="006C7401">
      <w:pPr>
        <w:pStyle w:val="HChG"/>
        <w:tabs>
          <w:tab w:val="left" w:pos="1080"/>
        </w:tabs>
        <w:rPr>
          <w:lang w:val="en-US"/>
        </w:rPr>
      </w:pPr>
      <w:r w:rsidRPr="006C7401">
        <w:rPr>
          <w:lang w:val="ru-RU"/>
        </w:rPr>
        <w:tab/>
      </w:r>
      <w:r w:rsidRPr="006C7401">
        <w:rPr>
          <w:lang w:val="en-US"/>
        </w:rPr>
        <w:t>II.</w:t>
      </w:r>
      <w:r w:rsidRPr="006C7401">
        <w:rPr>
          <w:lang w:val="en-US"/>
        </w:rPr>
        <w:tab/>
      </w:r>
      <w:r w:rsidRPr="006C7401">
        <w:rPr>
          <w:lang w:val="ru-RU"/>
        </w:rPr>
        <w:t>Обоснование</w:t>
      </w:r>
    </w:p>
    <w:p w:rsidR="006C7401" w:rsidRPr="006C7401" w:rsidRDefault="006C7401" w:rsidP="006C7401">
      <w:pPr>
        <w:suppressAutoHyphens/>
        <w:spacing w:after="120"/>
        <w:ind w:left="1134" w:right="1134"/>
        <w:jc w:val="both"/>
        <w:rPr>
          <w:spacing w:val="0"/>
          <w:w w:val="100"/>
          <w:kern w:val="0"/>
        </w:rPr>
      </w:pPr>
      <w:r w:rsidRPr="006C7401">
        <w:rPr>
          <w:rFonts w:eastAsia="MS Mincho" w:cs="Times New Roman"/>
          <w:spacing w:val="0"/>
          <w:w w:val="100"/>
          <w:kern w:val="0"/>
          <w:szCs w:val="20"/>
          <w:lang w:eastAsia="en-US"/>
        </w:rPr>
        <w:t>1.</w:t>
      </w:r>
      <w:r w:rsidRPr="006C7401">
        <w:rPr>
          <w:rFonts w:eastAsia="MS Mincho" w:cs="Times New Roman"/>
          <w:spacing w:val="0"/>
          <w:w w:val="100"/>
          <w:kern w:val="0"/>
          <w:szCs w:val="20"/>
          <w:lang w:eastAsia="en-US"/>
        </w:rPr>
        <w:tab/>
      </w:r>
      <w:r w:rsidRPr="006C7401">
        <w:rPr>
          <w:spacing w:val="0"/>
          <w:w w:val="100"/>
          <w:kern w:val="0"/>
        </w:rPr>
        <w:t xml:space="preserve">Настоящее предложение представляет собой улучшенный вариант документа </w:t>
      </w:r>
      <w:r w:rsidRPr="006C7401">
        <w:rPr>
          <w:spacing w:val="0"/>
          <w:w w:val="100"/>
          <w:kern w:val="0"/>
          <w:lang w:val="en-US"/>
        </w:rPr>
        <w:t>ECE</w:t>
      </w:r>
      <w:r w:rsidRPr="006C7401">
        <w:rPr>
          <w:spacing w:val="0"/>
          <w:w w:val="100"/>
          <w:kern w:val="0"/>
        </w:rPr>
        <w:t>/</w:t>
      </w:r>
      <w:r w:rsidRPr="006C7401">
        <w:rPr>
          <w:spacing w:val="0"/>
          <w:w w:val="100"/>
          <w:kern w:val="0"/>
          <w:lang w:val="en-US"/>
        </w:rPr>
        <w:t>TRANS</w:t>
      </w:r>
      <w:r w:rsidRPr="006C7401">
        <w:rPr>
          <w:spacing w:val="0"/>
          <w:w w:val="100"/>
          <w:kern w:val="0"/>
        </w:rPr>
        <w:t>/</w:t>
      </w:r>
      <w:r w:rsidRPr="006C7401">
        <w:rPr>
          <w:spacing w:val="0"/>
          <w:w w:val="100"/>
          <w:kern w:val="0"/>
          <w:lang w:val="en-US"/>
        </w:rPr>
        <w:t>WP</w:t>
      </w:r>
      <w:r w:rsidRPr="006C7401">
        <w:rPr>
          <w:spacing w:val="0"/>
          <w:w w:val="100"/>
          <w:kern w:val="0"/>
        </w:rPr>
        <w:t>.29/</w:t>
      </w:r>
      <w:r w:rsidRPr="006C7401">
        <w:rPr>
          <w:spacing w:val="0"/>
          <w:w w:val="100"/>
          <w:kern w:val="0"/>
          <w:lang w:val="en-US"/>
        </w:rPr>
        <w:t>GRE</w:t>
      </w:r>
      <w:r w:rsidRPr="006C7401">
        <w:rPr>
          <w:spacing w:val="0"/>
          <w:w w:val="100"/>
          <w:kern w:val="0"/>
        </w:rPr>
        <w:t>/2</w:t>
      </w:r>
      <w:r w:rsidRPr="006C7401">
        <w:rPr>
          <w:rFonts w:hint="eastAsia"/>
          <w:spacing w:val="0"/>
          <w:w w:val="100"/>
          <w:kern w:val="0"/>
          <w:lang w:eastAsia="ja-JP"/>
        </w:rPr>
        <w:t>0</w:t>
      </w:r>
      <w:r w:rsidRPr="006C7401">
        <w:rPr>
          <w:spacing w:val="0"/>
          <w:w w:val="100"/>
          <w:kern w:val="0"/>
        </w:rPr>
        <w:t>17/27, который не был представлен на сессии Рабочей группы по вопросам освещения и световой сигнализации (</w:t>
      </w:r>
      <w:r w:rsidRPr="006C7401">
        <w:rPr>
          <w:spacing w:val="0"/>
          <w:w w:val="100"/>
          <w:kern w:val="0"/>
          <w:lang w:val="en-US"/>
        </w:rPr>
        <w:t>GRE</w:t>
      </w:r>
      <w:r w:rsidRPr="006C7401">
        <w:rPr>
          <w:spacing w:val="0"/>
          <w:w w:val="100"/>
          <w:kern w:val="0"/>
        </w:rPr>
        <w:t>) в октябре 2007 года в связи с нехваткой времени.</w:t>
      </w:r>
    </w:p>
    <w:p w:rsidR="006C7401" w:rsidRPr="006C7401" w:rsidRDefault="006C7401" w:rsidP="006C7401">
      <w:pPr>
        <w:suppressAutoHyphens/>
        <w:spacing w:after="120"/>
        <w:ind w:left="1134" w:right="1134"/>
        <w:jc w:val="both"/>
        <w:rPr>
          <w:spacing w:val="0"/>
          <w:w w:val="100"/>
          <w:kern w:val="0"/>
        </w:rPr>
      </w:pPr>
      <w:bookmarkStart w:id="1" w:name="_Hlk504739624"/>
      <w:r w:rsidRPr="006C7401">
        <w:rPr>
          <w:rFonts w:eastAsia="MS Mincho" w:cs="Times New Roman"/>
          <w:spacing w:val="0"/>
          <w:w w:val="100"/>
          <w:kern w:val="0"/>
          <w:szCs w:val="20"/>
          <w:lang w:eastAsia="en-US"/>
        </w:rPr>
        <w:t>2.</w:t>
      </w:r>
      <w:r w:rsidRPr="006C7401">
        <w:rPr>
          <w:rFonts w:eastAsia="MS Mincho" w:cs="Times New Roman"/>
          <w:spacing w:val="0"/>
          <w:w w:val="100"/>
          <w:kern w:val="0"/>
          <w:szCs w:val="20"/>
          <w:lang w:eastAsia="en-US"/>
        </w:rPr>
        <w:tab/>
      </w:r>
      <w:r w:rsidRPr="006C7401">
        <w:rPr>
          <w:spacing w:val="0"/>
          <w:w w:val="100"/>
          <w:kern w:val="0"/>
        </w:rPr>
        <w:t>Данное предложение имеет целью уточнить, что указатели поворота также могут включаться в следующих случаях:</w:t>
      </w:r>
    </w:p>
    <w:p w:rsidR="006C7401" w:rsidRPr="006C7401" w:rsidRDefault="006C7401" w:rsidP="006C7401">
      <w:pPr>
        <w:suppressAutoHyphens/>
        <w:spacing w:after="120"/>
        <w:ind w:left="2274" w:right="1134" w:hanging="573"/>
        <w:jc w:val="both"/>
        <w:rPr>
          <w:spacing w:val="0"/>
          <w:w w:val="100"/>
          <w:kern w:val="0"/>
        </w:rPr>
      </w:pPr>
      <w:r w:rsidRPr="006C7401">
        <w:rPr>
          <w:rFonts w:eastAsia="MS Mincho" w:cs="Times New Roman"/>
          <w:spacing w:val="0"/>
          <w:w w:val="100"/>
          <w:kern w:val="0"/>
          <w:szCs w:val="20"/>
          <w:lang w:eastAsia="en-US"/>
        </w:rPr>
        <w:t>а)</w:t>
      </w:r>
      <w:r w:rsidRPr="006C7401">
        <w:rPr>
          <w:rFonts w:eastAsia="MS Mincho" w:cs="Times New Roman"/>
          <w:spacing w:val="0"/>
          <w:w w:val="100"/>
          <w:kern w:val="0"/>
          <w:szCs w:val="20"/>
          <w:lang w:eastAsia="en-US"/>
        </w:rPr>
        <w:tab/>
      </w:r>
      <w:r w:rsidRPr="006C7401">
        <w:rPr>
          <w:spacing w:val="0"/>
          <w:w w:val="100"/>
          <w:kern w:val="0"/>
        </w:rPr>
        <w:t xml:space="preserve">для указания состояния транспортного средства (например, системы блокировки), когда оно находится на стоянке; </w:t>
      </w:r>
    </w:p>
    <w:p w:rsidR="006C7401" w:rsidRPr="006C7401" w:rsidRDefault="006C7401" w:rsidP="006C7401">
      <w:pPr>
        <w:suppressAutoHyphens/>
        <w:spacing w:after="120"/>
        <w:ind w:left="2274" w:right="1134" w:hanging="573"/>
        <w:jc w:val="both"/>
        <w:rPr>
          <w:spacing w:val="0"/>
          <w:w w:val="100"/>
          <w:kern w:val="0"/>
        </w:rPr>
      </w:pPr>
      <w:r w:rsidRPr="006C7401">
        <w:rPr>
          <w:rFonts w:eastAsia="MS Mincho" w:cs="Times New Roman"/>
          <w:spacing w:val="0"/>
          <w:w w:val="100"/>
          <w:kern w:val="0"/>
          <w:szCs w:val="20"/>
          <w:lang w:eastAsia="en-US"/>
        </w:rPr>
        <w:t>b)</w:t>
      </w:r>
      <w:r w:rsidRPr="006C7401">
        <w:rPr>
          <w:rFonts w:eastAsia="MS Mincho" w:cs="Times New Roman"/>
          <w:spacing w:val="0"/>
          <w:w w:val="100"/>
          <w:kern w:val="0"/>
          <w:szCs w:val="20"/>
          <w:lang w:eastAsia="en-US"/>
        </w:rPr>
        <w:tab/>
      </w:r>
      <w:r w:rsidRPr="006C7401">
        <w:rPr>
          <w:spacing w:val="0"/>
          <w:w w:val="100"/>
          <w:kern w:val="0"/>
        </w:rPr>
        <w:t>для того чтобы водитель мог определить место, в котором находится его транспортное средство, с некоторого расстояния;</w:t>
      </w:r>
    </w:p>
    <w:p w:rsidR="006C7401" w:rsidRPr="006C7401" w:rsidRDefault="006C7401" w:rsidP="006C7401">
      <w:pPr>
        <w:suppressAutoHyphens/>
        <w:spacing w:after="120"/>
        <w:ind w:left="2274" w:right="1134" w:hanging="573"/>
        <w:jc w:val="both"/>
        <w:rPr>
          <w:spacing w:val="0"/>
          <w:w w:val="100"/>
          <w:kern w:val="0"/>
        </w:rPr>
      </w:pPr>
      <w:r w:rsidRPr="006C7401">
        <w:rPr>
          <w:rFonts w:eastAsia="MS Mincho" w:cs="Times New Roman"/>
          <w:spacing w:val="0"/>
          <w:w w:val="100"/>
          <w:kern w:val="0"/>
          <w:szCs w:val="20"/>
          <w:lang w:eastAsia="en-US"/>
        </w:rPr>
        <w:t>с)</w:t>
      </w:r>
      <w:r w:rsidRPr="006C7401">
        <w:rPr>
          <w:rFonts w:eastAsia="MS Mincho" w:cs="Times New Roman"/>
          <w:spacing w:val="0"/>
          <w:w w:val="100"/>
          <w:kern w:val="0"/>
          <w:szCs w:val="20"/>
          <w:lang w:val="en-GB" w:eastAsia="en-US"/>
        </w:rPr>
        <w:tab/>
      </w:r>
      <w:r w:rsidRPr="006C7401">
        <w:rPr>
          <w:spacing w:val="0"/>
          <w:w w:val="100"/>
          <w:kern w:val="0"/>
        </w:rPr>
        <w:t xml:space="preserve">в случае системы дистанционного открывания замка без применения ключа или утери водителем управляющего </w:t>
      </w:r>
      <w:proofErr w:type="spellStart"/>
      <w:r w:rsidRPr="006C7401">
        <w:rPr>
          <w:spacing w:val="0"/>
          <w:w w:val="100"/>
          <w:kern w:val="0"/>
        </w:rPr>
        <w:t>брелка</w:t>
      </w:r>
      <w:proofErr w:type="spellEnd"/>
      <w:r w:rsidRPr="006C7401">
        <w:rPr>
          <w:spacing w:val="0"/>
          <w:w w:val="100"/>
          <w:kern w:val="0"/>
        </w:rPr>
        <w:t xml:space="preserve"> во время движения или для того, чтобы указать водителю на отсутствие управляющего </w:t>
      </w:r>
      <w:proofErr w:type="spellStart"/>
      <w:r w:rsidRPr="006C7401">
        <w:rPr>
          <w:spacing w:val="0"/>
          <w:w w:val="100"/>
          <w:kern w:val="0"/>
        </w:rPr>
        <w:t>брелка</w:t>
      </w:r>
      <w:proofErr w:type="spellEnd"/>
      <w:r w:rsidRPr="006C7401">
        <w:rPr>
          <w:spacing w:val="0"/>
          <w:w w:val="100"/>
          <w:kern w:val="0"/>
        </w:rPr>
        <w:t xml:space="preserve"> или на то, что в скором времени снова завести транспортное средство будет невозможно</w:t>
      </w:r>
      <w:bookmarkEnd w:id="1"/>
      <w:r w:rsidRPr="006C7401">
        <w:rPr>
          <w:spacing w:val="0"/>
          <w:w w:val="100"/>
          <w:kern w:val="0"/>
        </w:rPr>
        <w:t>.</w:t>
      </w:r>
    </w:p>
    <w:p w:rsidR="006C7401" w:rsidRPr="006C7401" w:rsidRDefault="00D74438" w:rsidP="006C7401">
      <w:pPr>
        <w:suppressAutoHyphens/>
        <w:spacing w:after="120"/>
        <w:ind w:left="1134" w:right="1134"/>
        <w:jc w:val="both"/>
        <w:rPr>
          <w:color w:val="000000" w:themeColor="text1"/>
          <w:w w:val="100"/>
        </w:rPr>
      </w:pPr>
      <w:r>
        <w:rPr>
          <w:rFonts w:eastAsia="MS Mincho" w:cs="Times New Roman"/>
          <w:color w:val="000000" w:themeColor="text1"/>
          <w:spacing w:val="0"/>
          <w:w w:val="100"/>
          <w:kern w:val="0"/>
          <w:szCs w:val="20"/>
          <w:lang w:eastAsia="en-US"/>
        </w:rPr>
        <w:t>3</w:t>
      </w:r>
      <w:r w:rsidR="006C7401" w:rsidRPr="006C7401">
        <w:rPr>
          <w:rFonts w:eastAsia="MS Mincho" w:cs="Times New Roman"/>
          <w:color w:val="000000" w:themeColor="text1"/>
          <w:spacing w:val="0"/>
          <w:w w:val="100"/>
          <w:kern w:val="0"/>
          <w:szCs w:val="20"/>
          <w:lang w:eastAsia="en-US"/>
        </w:rPr>
        <w:t>.</w:t>
      </w:r>
      <w:r w:rsidR="006C7401" w:rsidRPr="006C7401">
        <w:rPr>
          <w:rFonts w:eastAsia="MS Mincho" w:cs="Times New Roman"/>
          <w:color w:val="000000" w:themeColor="text1"/>
          <w:spacing w:val="0"/>
          <w:w w:val="100"/>
          <w:kern w:val="0"/>
          <w:szCs w:val="20"/>
          <w:lang w:eastAsia="en-US"/>
        </w:rPr>
        <w:tab/>
      </w:r>
      <w:r w:rsidR="006C7401" w:rsidRPr="006C7401">
        <w:rPr>
          <w:color w:val="000000" w:themeColor="text1"/>
          <w:spacing w:val="0"/>
          <w:w w:val="100"/>
          <w:kern w:val="0"/>
        </w:rPr>
        <w:t>В настоящее время некоторые мотоциклы уже оснащен</w:t>
      </w:r>
      <w:r w:rsidR="006C7401" w:rsidRPr="006C7401">
        <w:rPr>
          <w:color w:val="000000" w:themeColor="text1"/>
          <w:w w:val="100"/>
        </w:rPr>
        <w:t>ы такими функциями. Вместе с тем остается не совсем ясным вопрос по поводу того, входят ли эти функции в сферу действия Правил № 53</w:t>
      </w:r>
      <w:r w:rsidR="006C7401" w:rsidRPr="006C7401">
        <w:rPr>
          <w:w w:val="100"/>
        </w:rPr>
        <w:t xml:space="preserve">. </w:t>
      </w:r>
    </w:p>
    <w:p w:rsidR="006C7401" w:rsidRPr="006C7401" w:rsidRDefault="006C7401" w:rsidP="006C7401">
      <w:pPr>
        <w:pStyle w:val="ListParagraph"/>
        <w:spacing w:after="120"/>
        <w:ind w:left="1134" w:right="1134"/>
        <w:contextualSpacing w:val="0"/>
        <w:jc w:val="both"/>
        <w:rPr>
          <w:color w:val="000000" w:themeColor="text1"/>
          <w:lang w:val="ru-RU"/>
        </w:rPr>
      </w:pPr>
      <w:bookmarkStart w:id="2" w:name="_Hlk504739728"/>
      <w:r w:rsidRPr="006C7401">
        <w:rPr>
          <w:color w:val="000000" w:themeColor="text1"/>
          <w:lang w:val="ru-RU"/>
        </w:rPr>
        <w:t>4.</w:t>
      </w:r>
      <w:r w:rsidRPr="006C7401">
        <w:rPr>
          <w:color w:val="000000" w:themeColor="text1"/>
          <w:lang w:val="ru-RU"/>
        </w:rPr>
        <w:tab/>
        <w:t>Следует также отметить тот факт, что вышеупомянутое предложение необязательно увязано с системой сигнализации или с функцией включения/</w:t>
      </w:r>
      <w:r w:rsidR="00801031">
        <w:rPr>
          <w:color w:val="000000" w:themeColor="text1"/>
          <w:lang w:val="ru-RU"/>
        </w:rPr>
        <w:t xml:space="preserve"> </w:t>
      </w:r>
      <w:r w:rsidRPr="006C7401">
        <w:rPr>
          <w:color w:val="000000" w:themeColor="text1"/>
          <w:lang w:val="ru-RU"/>
        </w:rPr>
        <w:t>выключения системы блокировки двигателя. Если мотоцикл оснащен системой сигнализации или системой блокировки двигателя в соответствии с Правилами № 97, то включение указателя поворота уже предусмотрено в пункте 2.5.8 Правил № 53</w:t>
      </w:r>
      <w:r w:rsidRPr="006C7401">
        <w:rPr>
          <w:lang w:val="ru-RU"/>
        </w:rPr>
        <w:t xml:space="preserve">: </w:t>
      </w:r>
    </w:p>
    <w:p w:rsidR="006C7401" w:rsidRPr="006C7401" w:rsidRDefault="006C7401" w:rsidP="006C7401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="00801031">
        <w:t>2.5.8</w:t>
      </w:r>
      <w:r w:rsidRPr="006C7401">
        <w:tab/>
      </w:r>
      <w:r>
        <w:rPr>
          <w:lang w:val="ru-RU"/>
        </w:rPr>
        <w:t>"</w:t>
      </w:r>
      <w:r w:rsidRPr="006C7401">
        <w:rPr>
          <w:i/>
          <w:lang w:val="ru-RU"/>
        </w:rPr>
        <w:t>указатель поворота</w:t>
      </w:r>
      <w:r>
        <w:rPr>
          <w:lang w:val="ru-RU"/>
        </w:rPr>
        <w:t>"</w:t>
      </w:r>
      <w:r w:rsidRPr="006C7401">
        <w:rPr>
          <w:lang w:val="ru-RU"/>
        </w:rPr>
        <w:t xml:space="preserve"> означает огонь, предназначенный для сигнализации другим пользователям дороги о намерении водите</w:t>
      </w:r>
      <w:r w:rsidR="00782388">
        <w:rPr>
          <w:lang w:val="ru-RU"/>
        </w:rPr>
        <w:t>ля повернуть направо или налево.</w:t>
      </w:r>
    </w:p>
    <w:p w:rsidR="006C7401" w:rsidRPr="006C7401" w:rsidRDefault="006C7401" w:rsidP="006C7401">
      <w:pPr>
        <w:pStyle w:val="SingleTxtG"/>
        <w:ind w:left="2268" w:hanging="1134"/>
        <w:rPr>
          <w:lang w:val="ru-RU"/>
        </w:rPr>
      </w:pPr>
      <w:r w:rsidRPr="006C7401">
        <w:rPr>
          <w:lang w:val="ru-RU"/>
        </w:rPr>
        <w:tab/>
        <w:t>Указатель или указатели поворота могут также использоваться в соответствии с положениями Правил № 97</w:t>
      </w:r>
      <w:r w:rsidR="00801031">
        <w:rPr>
          <w:lang w:val="ru-RU"/>
        </w:rPr>
        <w:t>.</w:t>
      </w:r>
      <w:r w:rsidRPr="006C7401">
        <w:rPr>
          <w:lang w:val="ru-RU"/>
        </w:rPr>
        <w:t>»</w:t>
      </w:r>
      <w:r w:rsidR="00782388">
        <w:rPr>
          <w:lang w:val="ru-RU"/>
        </w:rPr>
        <w:t>.</w:t>
      </w:r>
    </w:p>
    <w:p w:rsidR="006C7401" w:rsidRPr="006C7401" w:rsidRDefault="006C7401" w:rsidP="006C7401">
      <w:pPr>
        <w:pStyle w:val="ListParagraph"/>
        <w:spacing w:after="120"/>
        <w:ind w:left="1134" w:right="1134"/>
        <w:contextualSpacing w:val="0"/>
        <w:jc w:val="both"/>
        <w:rPr>
          <w:lang w:val="ru-RU"/>
        </w:rPr>
      </w:pPr>
      <w:r w:rsidRPr="006C7401">
        <w:rPr>
          <w:lang w:val="ru-RU"/>
        </w:rPr>
        <w:t>5.</w:t>
      </w:r>
      <w:r w:rsidRPr="006C7401">
        <w:rPr>
          <w:lang w:val="ru-RU"/>
        </w:rPr>
        <w:tab/>
        <w:t xml:space="preserve">Кроме того, пункт 32.6.1 Правил № </w:t>
      </w:r>
      <w:r w:rsidRPr="006C7401">
        <w:rPr>
          <w:rFonts w:hint="eastAsia"/>
          <w:lang w:val="ru-RU"/>
        </w:rPr>
        <w:t>97</w:t>
      </w:r>
      <w:r w:rsidRPr="006C7401">
        <w:rPr>
          <w:lang w:val="ru-RU"/>
        </w:rPr>
        <w:t xml:space="preserve"> предусматривает следующее:</w:t>
      </w:r>
    </w:p>
    <w:p w:rsidR="006C7401" w:rsidRPr="006C7401" w:rsidRDefault="00801031" w:rsidP="006C7401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="00782388">
        <w:t>32.6.1</w:t>
      </w:r>
      <w:r w:rsidR="006C7401" w:rsidRPr="006C7401">
        <w:tab/>
      </w:r>
      <w:r w:rsidR="006C7401" w:rsidRPr="006C7401">
        <w:rPr>
          <w:lang w:val="ru-RU"/>
        </w:rPr>
        <w:t xml:space="preserve">Для обеспечения информации о режиме </w:t>
      </w:r>
      <w:r w:rsidR="006C7401" w:rsidRPr="006C7401">
        <w:rPr>
          <w:color w:val="000000" w:themeColor="text1"/>
          <w:lang w:val="ru-RU"/>
        </w:rPr>
        <w:t>включения/выключения системы блокировки двигателя</w:t>
      </w:r>
      <w:r w:rsidR="006C7401" w:rsidRPr="006C7401">
        <w:rPr>
          <w:lang w:val="ru-RU"/>
        </w:rPr>
        <w:t xml:space="preserve"> (включено, отключено, переход из положения </w:t>
      </w:r>
      <w:r>
        <w:rPr>
          <w:lang w:val="ru-RU"/>
        </w:rPr>
        <w:t>"</w:t>
      </w:r>
      <w:r w:rsidR="006C7401" w:rsidRPr="006C7401">
        <w:rPr>
          <w:lang w:val="ru-RU"/>
        </w:rPr>
        <w:t>включено</w:t>
      </w:r>
      <w:r>
        <w:rPr>
          <w:lang w:val="ru-RU"/>
        </w:rPr>
        <w:t>"</w:t>
      </w:r>
      <w:r w:rsidR="006C7401" w:rsidRPr="006C7401">
        <w:rPr>
          <w:lang w:val="ru-RU"/>
        </w:rPr>
        <w:t xml:space="preserve"> в положение </w:t>
      </w:r>
      <w:r>
        <w:rPr>
          <w:lang w:val="ru-RU"/>
        </w:rPr>
        <w:t>"</w:t>
      </w:r>
      <w:r w:rsidR="006C7401" w:rsidRPr="006C7401">
        <w:rPr>
          <w:lang w:val="ru-RU"/>
        </w:rPr>
        <w:t>отключено</w:t>
      </w:r>
      <w:r>
        <w:rPr>
          <w:lang w:val="ru-RU"/>
        </w:rPr>
        <w:t>"</w:t>
      </w:r>
      <w:r w:rsidR="006C7401" w:rsidRPr="006C7401">
        <w:rPr>
          <w:lang w:val="ru-RU"/>
        </w:rPr>
        <w:t xml:space="preserve"> и наоборот) допускается установка оптических индикаторов внутри и снаружи салона. Сила света оптических сигналов, установленных вне пассажирского салона не должна превышать 0,5 кд</w:t>
      </w:r>
      <w:r>
        <w:rPr>
          <w:lang w:val="ru-RU"/>
        </w:rPr>
        <w:t>.</w:t>
      </w:r>
      <w:r w:rsidR="006C7401" w:rsidRPr="006C7401">
        <w:rPr>
          <w:lang w:val="ru-RU"/>
        </w:rPr>
        <w:t>»</w:t>
      </w:r>
      <w:r w:rsidR="00782388">
        <w:rPr>
          <w:lang w:val="ru-RU"/>
        </w:rPr>
        <w:t>.</w:t>
      </w:r>
    </w:p>
    <w:p w:rsidR="006C7401" w:rsidRPr="006C7401" w:rsidRDefault="006C7401" w:rsidP="006C7401">
      <w:pPr>
        <w:pStyle w:val="ListParagraph"/>
        <w:spacing w:after="120"/>
        <w:ind w:left="1134" w:right="1134"/>
        <w:contextualSpacing w:val="0"/>
        <w:jc w:val="both"/>
        <w:rPr>
          <w:lang w:val="ru-RU"/>
        </w:rPr>
      </w:pPr>
      <w:r w:rsidRPr="006C7401">
        <w:rPr>
          <w:lang w:val="ru-RU"/>
        </w:rPr>
        <w:lastRenderedPageBreak/>
        <w:t>6.</w:t>
      </w:r>
      <w:r w:rsidRPr="006C7401">
        <w:rPr>
          <w:lang w:val="ru-RU"/>
        </w:rPr>
        <w:tab/>
        <w:t xml:space="preserve">Для обеспечения информации о режиме </w:t>
      </w:r>
      <w:r w:rsidRPr="006C7401">
        <w:rPr>
          <w:color w:val="000000" w:themeColor="text1"/>
          <w:lang w:val="ru-RU"/>
        </w:rPr>
        <w:t>системы блокировки двигателя</w:t>
      </w:r>
      <w:r w:rsidRPr="006C7401">
        <w:rPr>
          <w:lang w:val="ru-RU"/>
        </w:rPr>
        <w:t xml:space="preserve"> (включена, отключена, переход из положения </w:t>
      </w:r>
      <w:r w:rsidR="00782388">
        <w:rPr>
          <w:lang w:val="ru-RU"/>
        </w:rPr>
        <w:t>«</w:t>
      </w:r>
      <w:r w:rsidRPr="006C7401">
        <w:rPr>
          <w:lang w:val="ru-RU"/>
        </w:rPr>
        <w:t>включено</w:t>
      </w:r>
      <w:r w:rsidR="00782388">
        <w:rPr>
          <w:lang w:val="ru-RU"/>
        </w:rPr>
        <w:t>»</w:t>
      </w:r>
      <w:r w:rsidRPr="006C7401">
        <w:rPr>
          <w:lang w:val="ru-RU"/>
        </w:rPr>
        <w:t xml:space="preserve"> в положение «отключено» и наоборот) допускается установка оптических индикаторов внутри и оптических сигналов снаружи пассажирского салона. Любой оптический сигнал, расположенный снаружи, или любые устройства освещения и световой сигнализации, используемые снаружи пассажирского салона, должны отвечать требованиям Правил № 48</w:t>
      </w:r>
      <w:r w:rsidR="00801031">
        <w:rPr>
          <w:lang w:val="ru-RU"/>
        </w:rPr>
        <w:t>.</w:t>
      </w:r>
    </w:p>
    <w:bookmarkEnd w:id="2"/>
    <w:p w:rsidR="006C7401" w:rsidRPr="006C7401" w:rsidRDefault="006C7401" w:rsidP="006C7401">
      <w:pPr>
        <w:pStyle w:val="ListParagraph"/>
        <w:spacing w:after="120"/>
        <w:ind w:left="1134" w:right="1134"/>
        <w:contextualSpacing w:val="0"/>
        <w:jc w:val="both"/>
        <w:rPr>
          <w:color w:val="000000" w:themeColor="text1"/>
          <w:lang w:val="ru-RU"/>
        </w:rPr>
      </w:pPr>
      <w:r w:rsidRPr="006C7401">
        <w:rPr>
          <w:color w:val="000000" w:themeColor="text1"/>
          <w:lang w:val="ru-RU"/>
        </w:rPr>
        <w:t>7.</w:t>
      </w:r>
      <w:r w:rsidRPr="006C7401">
        <w:rPr>
          <w:color w:val="000000" w:themeColor="text1"/>
          <w:lang w:val="ru-RU"/>
        </w:rPr>
        <w:tab/>
        <w:t xml:space="preserve">Вместе с тем мотоциклы необязательно оснащены </w:t>
      </w:r>
      <w:proofErr w:type="spellStart"/>
      <w:r w:rsidRPr="006C7401">
        <w:rPr>
          <w:color w:val="000000" w:themeColor="text1"/>
          <w:lang w:val="ru-RU"/>
        </w:rPr>
        <w:t>иммобилизатором</w:t>
      </w:r>
      <w:proofErr w:type="spellEnd"/>
      <w:r w:rsidRPr="006C7401">
        <w:rPr>
          <w:color w:val="000000" w:themeColor="text1"/>
          <w:lang w:val="ru-RU"/>
        </w:rPr>
        <w:t xml:space="preserve"> или системой сигнализации, которые определяются в Правилах № 97.</w:t>
      </w:r>
    </w:p>
    <w:p w:rsidR="006C7401" w:rsidRPr="006C7401" w:rsidRDefault="006C7401" w:rsidP="006C7401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6C7401">
        <w:rPr>
          <w:spacing w:val="0"/>
          <w:w w:val="100"/>
          <w:kern w:val="0"/>
          <w:u w:val="single"/>
        </w:rPr>
        <w:tab/>
      </w:r>
      <w:r w:rsidRPr="006C7401">
        <w:rPr>
          <w:spacing w:val="0"/>
          <w:w w:val="100"/>
          <w:kern w:val="0"/>
          <w:u w:val="single"/>
        </w:rPr>
        <w:tab/>
      </w:r>
      <w:r w:rsidRPr="006C7401">
        <w:rPr>
          <w:spacing w:val="0"/>
          <w:w w:val="100"/>
          <w:kern w:val="0"/>
          <w:u w:val="single"/>
        </w:rPr>
        <w:tab/>
      </w:r>
    </w:p>
    <w:sectPr w:rsidR="006C7401" w:rsidRPr="006C7401" w:rsidSect="008C0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A71" w:rsidRPr="00A312BC" w:rsidRDefault="00470A71" w:rsidP="00A312BC"/>
  </w:endnote>
  <w:endnote w:type="continuationSeparator" w:id="0">
    <w:p w:rsidR="00470A71" w:rsidRPr="00A312BC" w:rsidRDefault="00470A7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57" w:rsidRPr="008C0357" w:rsidRDefault="008C0357">
    <w:pPr>
      <w:pStyle w:val="Footer"/>
    </w:pPr>
    <w:r w:rsidRPr="008C0357">
      <w:rPr>
        <w:b/>
        <w:sz w:val="18"/>
      </w:rPr>
      <w:fldChar w:fldCharType="begin"/>
    </w:r>
    <w:r w:rsidRPr="008C0357">
      <w:rPr>
        <w:b/>
        <w:sz w:val="18"/>
      </w:rPr>
      <w:instrText xml:space="preserve"> PAGE  \* MERGEFORMAT </w:instrText>
    </w:r>
    <w:r w:rsidRPr="008C0357">
      <w:rPr>
        <w:b/>
        <w:sz w:val="18"/>
      </w:rPr>
      <w:fldChar w:fldCharType="separate"/>
    </w:r>
    <w:r w:rsidR="00F65620">
      <w:rPr>
        <w:b/>
        <w:noProof/>
        <w:sz w:val="18"/>
      </w:rPr>
      <w:t>2</w:t>
    </w:r>
    <w:r w:rsidRPr="008C0357">
      <w:rPr>
        <w:b/>
        <w:sz w:val="18"/>
      </w:rPr>
      <w:fldChar w:fldCharType="end"/>
    </w:r>
    <w:r>
      <w:rPr>
        <w:b/>
        <w:sz w:val="18"/>
      </w:rPr>
      <w:tab/>
    </w:r>
    <w:r>
      <w:t>GE.18-01966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57" w:rsidRPr="008C0357" w:rsidRDefault="008C0357" w:rsidP="008C0357">
    <w:pPr>
      <w:pStyle w:val="Footer"/>
      <w:tabs>
        <w:tab w:val="clear" w:pos="9639"/>
        <w:tab w:val="right" w:pos="9638"/>
      </w:tabs>
      <w:rPr>
        <w:b/>
        <w:sz w:val="18"/>
      </w:rPr>
    </w:pPr>
    <w:r>
      <w:t>GE.18-01966</w:t>
    </w:r>
    <w:r>
      <w:tab/>
    </w:r>
    <w:r w:rsidRPr="008C0357">
      <w:rPr>
        <w:b/>
        <w:sz w:val="18"/>
      </w:rPr>
      <w:fldChar w:fldCharType="begin"/>
    </w:r>
    <w:r w:rsidRPr="008C0357">
      <w:rPr>
        <w:b/>
        <w:sz w:val="18"/>
      </w:rPr>
      <w:instrText xml:space="preserve"> PAGE  \* MERGEFORMAT </w:instrText>
    </w:r>
    <w:r w:rsidRPr="008C0357">
      <w:rPr>
        <w:b/>
        <w:sz w:val="18"/>
      </w:rPr>
      <w:fldChar w:fldCharType="separate"/>
    </w:r>
    <w:r w:rsidR="00F65620">
      <w:rPr>
        <w:b/>
        <w:noProof/>
        <w:sz w:val="18"/>
      </w:rPr>
      <w:t>3</w:t>
    </w:r>
    <w:r w:rsidRPr="008C035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8C0357" w:rsidRDefault="008C0357" w:rsidP="008C035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18-01966  (R)</w:t>
    </w:r>
    <w:r w:rsidR="006C7401">
      <w:rPr>
        <w:lang w:val="en-US"/>
      </w:rPr>
      <w:t xml:space="preserve">  190218  200218</w:t>
    </w:r>
    <w:r>
      <w:br/>
    </w:r>
    <w:r w:rsidRPr="008C0357">
      <w:rPr>
        <w:rFonts w:ascii="C39T30Lfz" w:hAnsi="C39T30Lfz"/>
        <w:spacing w:val="0"/>
        <w:w w:val="100"/>
        <w:sz w:val="56"/>
      </w:rPr>
      <w:t></w:t>
    </w:r>
    <w:r w:rsidRPr="008C0357">
      <w:rPr>
        <w:rFonts w:ascii="C39T30Lfz" w:hAnsi="C39T30Lfz"/>
        <w:spacing w:val="0"/>
        <w:w w:val="100"/>
        <w:sz w:val="56"/>
      </w:rPr>
      <w:t></w:t>
    </w:r>
    <w:r w:rsidRPr="008C0357">
      <w:rPr>
        <w:rFonts w:ascii="C39T30Lfz" w:hAnsi="C39T30Lfz"/>
        <w:spacing w:val="0"/>
        <w:w w:val="100"/>
        <w:sz w:val="56"/>
      </w:rPr>
      <w:t></w:t>
    </w:r>
    <w:r w:rsidRPr="008C0357">
      <w:rPr>
        <w:rFonts w:ascii="C39T30Lfz" w:hAnsi="C39T30Lfz"/>
        <w:spacing w:val="0"/>
        <w:w w:val="100"/>
        <w:sz w:val="56"/>
      </w:rPr>
      <w:t></w:t>
    </w:r>
    <w:r w:rsidRPr="008C0357">
      <w:rPr>
        <w:rFonts w:ascii="C39T30Lfz" w:hAnsi="C39T30Lfz"/>
        <w:spacing w:val="0"/>
        <w:w w:val="100"/>
        <w:sz w:val="56"/>
      </w:rPr>
      <w:t></w:t>
    </w:r>
    <w:r w:rsidRPr="008C0357">
      <w:rPr>
        <w:rFonts w:ascii="C39T30Lfz" w:hAnsi="C39T30Lfz"/>
        <w:spacing w:val="0"/>
        <w:w w:val="100"/>
        <w:sz w:val="56"/>
      </w:rPr>
      <w:t></w:t>
    </w:r>
    <w:r w:rsidRPr="008C0357">
      <w:rPr>
        <w:rFonts w:ascii="C39T30Lfz" w:hAnsi="C39T30Lfz"/>
        <w:spacing w:val="0"/>
        <w:w w:val="100"/>
        <w:sz w:val="56"/>
      </w:rPr>
      <w:t></w:t>
    </w:r>
    <w:r w:rsidRPr="008C0357">
      <w:rPr>
        <w:rFonts w:ascii="C39T30Lfz" w:hAnsi="C39T30Lfz"/>
        <w:spacing w:val="0"/>
        <w:w w:val="100"/>
        <w:sz w:val="56"/>
      </w:rPr>
      <w:t></w:t>
    </w:r>
    <w:r w:rsidRPr="008C035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8/2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2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A71" w:rsidRPr="001075E9" w:rsidRDefault="00470A7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70A71" w:rsidRDefault="00470A7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C7401" w:rsidRPr="00446A3C" w:rsidRDefault="006C7401" w:rsidP="006C7401">
      <w:pPr>
        <w:pStyle w:val="FootnoteText"/>
        <w:rPr>
          <w:rStyle w:val="FootnoteReference"/>
          <w:szCs w:val="18"/>
          <w:lang w:val="ru-RU"/>
        </w:rPr>
      </w:pPr>
      <w:r w:rsidRPr="00446A3C">
        <w:rPr>
          <w:rStyle w:val="FootnoteReference"/>
          <w:szCs w:val="18"/>
          <w:lang w:val="ru-RU"/>
        </w:rPr>
        <w:tab/>
      </w:r>
      <w:r w:rsidRPr="006C7401">
        <w:rPr>
          <w:rStyle w:val="FootnoteReference"/>
          <w:szCs w:val="18"/>
          <w:vertAlign w:val="baseline"/>
          <w:lang w:val="ru-RU"/>
        </w:rPr>
        <w:t>*</w:t>
      </w:r>
      <w:r w:rsidRPr="00446A3C">
        <w:rPr>
          <w:rStyle w:val="FootnoteReference"/>
          <w:szCs w:val="18"/>
          <w:lang w:val="ru-RU"/>
        </w:rPr>
        <w:tab/>
      </w:r>
      <w:r w:rsidRPr="006C7401">
        <w:t xml:space="preserve">В </w:t>
      </w:r>
      <w:proofErr w:type="spellStart"/>
      <w:r w:rsidRPr="006C7401">
        <w:t>соответствии</w:t>
      </w:r>
      <w:proofErr w:type="spellEnd"/>
      <w:r w:rsidRPr="006C7401">
        <w:t xml:space="preserve"> с </w:t>
      </w:r>
      <w:proofErr w:type="spellStart"/>
      <w:r w:rsidRPr="006C7401">
        <w:t>программой</w:t>
      </w:r>
      <w:proofErr w:type="spellEnd"/>
      <w:r w:rsidRPr="006C7401">
        <w:t xml:space="preserve"> </w:t>
      </w:r>
      <w:proofErr w:type="spellStart"/>
      <w:r w:rsidRPr="006C7401">
        <w:t>работы</w:t>
      </w:r>
      <w:proofErr w:type="spellEnd"/>
      <w:r w:rsidRPr="006C7401">
        <w:t xml:space="preserve"> </w:t>
      </w:r>
      <w:proofErr w:type="spellStart"/>
      <w:r w:rsidRPr="006C7401">
        <w:t>Комитета</w:t>
      </w:r>
      <w:proofErr w:type="spellEnd"/>
      <w:r w:rsidRPr="006C7401">
        <w:t xml:space="preserve"> </w:t>
      </w:r>
      <w:proofErr w:type="spellStart"/>
      <w:r w:rsidRPr="006C7401">
        <w:t>по</w:t>
      </w:r>
      <w:proofErr w:type="spellEnd"/>
      <w:r w:rsidRPr="006C7401">
        <w:t xml:space="preserve"> </w:t>
      </w:r>
      <w:proofErr w:type="spellStart"/>
      <w:r w:rsidRPr="006C7401">
        <w:t>внутреннему</w:t>
      </w:r>
      <w:proofErr w:type="spellEnd"/>
      <w:r w:rsidRPr="006C7401">
        <w:t xml:space="preserve"> </w:t>
      </w:r>
      <w:proofErr w:type="spellStart"/>
      <w:r w:rsidRPr="006C7401">
        <w:t>транспорту</w:t>
      </w:r>
      <w:proofErr w:type="spellEnd"/>
      <w:r w:rsidRPr="006C7401">
        <w:t xml:space="preserve"> </w:t>
      </w:r>
      <w:r>
        <w:br/>
      </w:r>
      <w:proofErr w:type="spellStart"/>
      <w:r w:rsidRPr="006C7401">
        <w:t>на</w:t>
      </w:r>
      <w:proofErr w:type="spellEnd"/>
      <w:r w:rsidRPr="006C7401">
        <w:t xml:space="preserve"> 2014–2018 </w:t>
      </w:r>
      <w:proofErr w:type="spellStart"/>
      <w:r w:rsidRPr="006C7401">
        <w:t>годы</w:t>
      </w:r>
      <w:proofErr w:type="spellEnd"/>
      <w:r w:rsidRPr="006C7401">
        <w:t xml:space="preserve"> (</w:t>
      </w:r>
      <w:r w:rsidRPr="006C7401">
        <w:rPr>
          <w:lang w:val="ru-RU"/>
        </w:rPr>
        <w:t>ECE</w:t>
      </w:r>
      <w:r w:rsidRPr="006C7401">
        <w:t>/</w:t>
      </w:r>
      <w:r w:rsidRPr="006C7401">
        <w:rPr>
          <w:lang w:val="ru-RU"/>
        </w:rPr>
        <w:t>TRANS</w:t>
      </w:r>
      <w:r w:rsidRPr="006C7401">
        <w:t xml:space="preserve">/240, </w:t>
      </w:r>
      <w:proofErr w:type="spellStart"/>
      <w:r w:rsidRPr="006C7401">
        <w:t>пункт</w:t>
      </w:r>
      <w:proofErr w:type="spellEnd"/>
      <w:r w:rsidRPr="006C7401">
        <w:t xml:space="preserve"> 105, и </w:t>
      </w:r>
      <w:r w:rsidRPr="006C7401">
        <w:rPr>
          <w:lang w:val="ru-RU"/>
        </w:rPr>
        <w:t>ECE</w:t>
      </w:r>
      <w:r w:rsidRPr="006C7401">
        <w:t>/</w:t>
      </w:r>
      <w:r w:rsidRPr="006C7401">
        <w:rPr>
          <w:lang w:val="ru-RU"/>
        </w:rPr>
        <w:t>TRANS</w:t>
      </w:r>
      <w:r w:rsidRPr="006C7401">
        <w:t xml:space="preserve">/2014/26, </w:t>
      </w:r>
      <w:proofErr w:type="spellStart"/>
      <w:r w:rsidRPr="006C7401">
        <w:t>направление</w:t>
      </w:r>
      <w:proofErr w:type="spellEnd"/>
      <w:r w:rsidRPr="006C7401">
        <w:t xml:space="preserve"> </w:t>
      </w:r>
      <w:proofErr w:type="spellStart"/>
      <w:r w:rsidRPr="006C7401">
        <w:t>работы</w:t>
      </w:r>
      <w:proofErr w:type="spellEnd"/>
      <w:r w:rsidRPr="006C7401">
        <w:t xml:space="preserve"> 02.4) Всемирный форум будет разрабатывать, согласовывать и обновлять правила в целях улучшения характеристик транспортных средств.</w:t>
      </w:r>
      <w:r>
        <w:rPr>
          <w:szCs w:val="18"/>
          <w:lang w:val="ru-RU"/>
        </w:rPr>
        <w:t xml:space="preserve"> </w:t>
      </w:r>
      <w:r w:rsidRPr="00446A3C">
        <w:rPr>
          <w:szCs w:val="18"/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57" w:rsidRPr="008C0357" w:rsidRDefault="008C0357">
    <w:pPr>
      <w:pStyle w:val="Header"/>
    </w:pPr>
    <w:fldSimple w:instr=" TITLE  \* MERGEFORMAT ">
      <w:r w:rsidR="00357F20">
        <w:t>ECE/TRANS/WP.29/GRE/2018/25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57" w:rsidRPr="008C0357" w:rsidRDefault="008C0357" w:rsidP="008C0357">
    <w:pPr>
      <w:pStyle w:val="Header"/>
      <w:jc w:val="right"/>
    </w:pPr>
    <w:fldSimple w:instr=" TITLE  \* MERGEFORMAT ">
      <w:r w:rsidR="00357F20">
        <w:t>ECE/TRANS/WP.29/GRE/2018/25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01" w:rsidRDefault="006C7401" w:rsidP="006C740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764BA"/>
    <w:multiLevelType w:val="hybridMultilevel"/>
    <w:tmpl w:val="89121FB0"/>
    <w:lvl w:ilvl="0" w:tplc="6D4A50B4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F3431"/>
    <w:multiLevelType w:val="multilevel"/>
    <w:tmpl w:val="78083B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B7222B"/>
    <w:multiLevelType w:val="hybridMultilevel"/>
    <w:tmpl w:val="EFFAF3C6"/>
    <w:lvl w:ilvl="0" w:tplc="E604C4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21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9"/>
  </w:num>
  <w:num w:numId="17">
    <w:abstractNumId w:val="15"/>
  </w:num>
  <w:num w:numId="18">
    <w:abstractNumId w:val="17"/>
  </w:num>
  <w:num w:numId="19">
    <w:abstractNumId w:val="12"/>
  </w:num>
  <w:num w:numId="20">
    <w:abstractNumId w:val="18"/>
  </w:num>
  <w:num w:numId="21">
    <w:abstractNumId w:val="10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71"/>
    <w:rsid w:val="0001276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4545F"/>
    <w:rsid w:val="00180183"/>
    <w:rsid w:val="0018024D"/>
    <w:rsid w:val="0018649F"/>
    <w:rsid w:val="00196389"/>
    <w:rsid w:val="001B3EF6"/>
    <w:rsid w:val="001C7A89"/>
    <w:rsid w:val="00255343"/>
    <w:rsid w:val="0027151D"/>
    <w:rsid w:val="00297D9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7F20"/>
    <w:rsid w:val="00381C24"/>
    <w:rsid w:val="00387CD4"/>
    <w:rsid w:val="003958D0"/>
    <w:rsid w:val="003A0A4C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0A71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C7401"/>
    <w:rsid w:val="006D3D34"/>
    <w:rsid w:val="006D461A"/>
    <w:rsid w:val="006F35EE"/>
    <w:rsid w:val="007021FF"/>
    <w:rsid w:val="00712895"/>
    <w:rsid w:val="00734ACB"/>
    <w:rsid w:val="00757357"/>
    <w:rsid w:val="00782388"/>
    <w:rsid w:val="00792497"/>
    <w:rsid w:val="007F1E6F"/>
    <w:rsid w:val="00801031"/>
    <w:rsid w:val="00806737"/>
    <w:rsid w:val="00825F8D"/>
    <w:rsid w:val="00834B71"/>
    <w:rsid w:val="0086445C"/>
    <w:rsid w:val="00894693"/>
    <w:rsid w:val="008A08D7"/>
    <w:rsid w:val="008A37C8"/>
    <w:rsid w:val="008B6909"/>
    <w:rsid w:val="008C0357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564F6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7443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56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F412D6B-382A-4C16-8A04-8C1CA2EE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-E Fußnotenzeichen,BVI fnr,Footnote symbol,Footnote,Footnote Reference Superscript,SUPERS,(Footnote Reference)"/>
    <w:basedOn w:val="DefaultParagraphFont"/>
    <w:uiPriority w:val="99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uiPriority w:val="99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uiPriority w:val="99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6C740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MS Mincho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uiPriority w:val="99"/>
    <w:rsid w:val="006C7401"/>
    <w:rPr>
      <w:lang w:val="en-GB" w:eastAsia="en-US"/>
    </w:rPr>
  </w:style>
  <w:style w:type="paragraph" w:customStyle="1" w:styleId="SingleTxtG">
    <w:name w:val="_ Single Txt_G"/>
    <w:basedOn w:val="Normal"/>
    <w:link w:val="SingleTxtGChar"/>
    <w:uiPriority w:val="99"/>
    <w:rsid w:val="006C7401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uiPriority w:val="99"/>
    <w:rsid w:val="006C740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MS Mincho" w:cs="Times New Roman"/>
      <w:b/>
      <w:spacing w:val="0"/>
      <w:w w:val="100"/>
      <w:kern w:val="0"/>
      <w:sz w:val="24"/>
      <w:szCs w:val="20"/>
      <w:lang w:val="en-GB" w:eastAsia="en-US"/>
    </w:rPr>
  </w:style>
  <w:style w:type="paragraph" w:styleId="NormalWeb">
    <w:name w:val="Normal (Web)"/>
    <w:basedOn w:val="Normal"/>
    <w:uiPriority w:val="99"/>
    <w:rsid w:val="006C7401"/>
    <w:pPr>
      <w:suppressAutoHyphens/>
    </w:pPr>
    <w:rPr>
      <w:rFonts w:eastAsia="MS Mincho" w:cs="Times New Roman"/>
      <w:spacing w:val="0"/>
      <w:w w:val="100"/>
      <w:kern w:val="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6C7401"/>
    <w:rPr>
      <w:rFonts w:eastAsia="MS Mincho"/>
      <w:b/>
      <w:sz w:val="28"/>
      <w:lang w:val="en-GB" w:eastAsia="en-US"/>
    </w:rPr>
  </w:style>
  <w:style w:type="character" w:customStyle="1" w:styleId="H1GChar">
    <w:name w:val="_ H_1_G Char"/>
    <w:link w:val="H1G"/>
    <w:uiPriority w:val="99"/>
    <w:rsid w:val="006C7401"/>
    <w:rPr>
      <w:rFonts w:eastAsia="MS Mincho"/>
      <w:b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C7401"/>
    <w:pPr>
      <w:suppressAutoHyphens/>
      <w:ind w:left="720"/>
      <w:contextualSpacing/>
    </w:pPr>
    <w:rPr>
      <w:rFonts w:eastAsia="MS Mincho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ECE/TRANS/WP.29/GRE/2018/25</vt:lpstr>
      <vt:lpstr>ECE/TRANS/WP.29/GRE/2018/25</vt:lpstr>
      <vt:lpstr>A/</vt:lpstr>
    </vt:vector>
  </TitlesOfParts>
  <Company>DCM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ECE/TRANS/WP.29/GRE/2018/25</dc:title>
  <dc:subject/>
  <dc:creator>SHUVALOVA Natalia</dc:creator>
  <cp:keywords/>
  <cp:lastModifiedBy>Benedicte Boudol</cp:lastModifiedBy>
  <cp:revision>2</cp:revision>
  <cp:lastPrinted>2018-02-20T10:10:00Z</cp:lastPrinted>
  <dcterms:created xsi:type="dcterms:W3CDTF">2018-02-20T14:50:00Z</dcterms:created>
  <dcterms:modified xsi:type="dcterms:W3CDTF">2018-02-20T14:50:00Z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