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1DD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1DDD" w:rsidP="00621DDD">
            <w:pPr>
              <w:jc w:val="right"/>
            </w:pPr>
            <w:r w:rsidRPr="00621DDD">
              <w:rPr>
                <w:sz w:val="40"/>
              </w:rPr>
              <w:t>ECE</w:t>
            </w:r>
            <w:r>
              <w:t>/TRANS/WP.29/GRE/2018/14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1DDD" w:rsidP="00C97039">
            <w:pPr>
              <w:spacing w:before="240"/>
            </w:pPr>
            <w:r>
              <w:t>Distr. générale</w:t>
            </w:r>
          </w:p>
          <w:p w:rsidR="00621DDD" w:rsidRDefault="00621DDD" w:rsidP="00621DDD">
            <w:pPr>
              <w:spacing w:line="240" w:lineRule="exact"/>
            </w:pPr>
            <w:r>
              <w:t>6 février 2018</w:t>
            </w:r>
          </w:p>
          <w:p w:rsidR="00621DDD" w:rsidRDefault="00621DDD" w:rsidP="00621DDD">
            <w:pPr>
              <w:spacing w:line="240" w:lineRule="exact"/>
            </w:pPr>
            <w:r>
              <w:t>Français</w:t>
            </w:r>
          </w:p>
          <w:p w:rsidR="00621DDD" w:rsidRPr="00DB58B5" w:rsidRDefault="00621DDD" w:rsidP="00621DD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B220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72FE6" w:rsidRDefault="00B72FE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B220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72FE6" w:rsidRDefault="00B72FE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BB2206">
        <w:rPr>
          <w:b/>
        </w:rPr>
        <w:t>’</w:t>
      </w:r>
      <w:r>
        <w:rPr>
          <w:b/>
        </w:rPr>
        <w:t>éclairage et de la signalisation lumineuse</w:t>
      </w:r>
    </w:p>
    <w:p w:rsidR="00B72FE6" w:rsidRPr="008D5BFD" w:rsidRDefault="00B72FE6" w:rsidP="00B72FE6">
      <w:pPr>
        <w:rPr>
          <w:b/>
          <w:lang w:val="fr-FR"/>
        </w:rPr>
      </w:pPr>
      <w:r w:rsidRPr="008D5BFD">
        <w:rPr>
          <w:b/>
          <w:lang w:val="fr-FR"/>
        </w:rPr>
        <w:t>Soixante-dix-neuvième session</w:t>
      </w:r>
    </w:p>
    <w:p w:rsidR="00B72FE6" w:rsidRPr="008D5BFD" w:rsidRDefault="00B72FE6" w:rsidP="00B72FE6">
      <w:pPr>
        <w:rPr>
          <w:bCs/>
          <w:lang w:val="fr-FR"/>
        </w:rPr>
      </w:pPr>
      <w:r w:rsidRPr="008D5BFD">
        <w:rPr>
          <w:lang w:val="fr-FR"/>
        </w:rPr>
        <w:t>Genève</w:t>
      </w:r>
      <w:r w:rsidRPr="008D5BFD">
        <w:rPr>
          <w:bCs/>
          <w:lang w:val="fr-FR"/>
        </w:rPr>
        <w:t>, 24-27 avril 2018</w:t>
      </w:r>
    </w:p>
    <w:p w:rsidR="00B72FE6" w:rsidRPr="008D5BFD" w:rsidRDefault="00B72FE6" w:rsidP="00B72FE6">
      <w:pPr>
        <w:ind w:right="1134"/>
        <w:rPr>
          <w:bCs/>
          <w:lang w:val="fr-FR"/>
        </w:rPr>
      </w:pPr>
      <w:r w:rsidRPr="008D5BFD">
        <w:rPr>
          <w:bCs/>
          <w:lang w:val="fr-FR"/>
        </w:rPr>
        <w:t>Point 4 de l</w:t>
      </w:r>
      <w:r w:rsidR="00BB2206">
        <w:rPr>
          <w:bCs/>
          <w:lang w:val="fr-FR"/>
        </w:rPr>
        <w:t>’</w:t>
      </w:r>
      <w:r w:rsidRPr="008D5BFD">
        <w:rPr>
          <w:bCs/>
          <w:lang w:val="fr-FR"/>
        </w:rPr>
        <w:t>ordre du jour</w:t>
      </w:r>
      <w:r>
        <w:rPr>
          <w:bCs/>
          <w:lang w:val="fr-FR"/>
        </w:rPr>
        <w:t xml:space="preserve"> provisoire</w:t>
      </w:r>
    </w:p>
    <w:p w:rsidR="00B72FE6" w:rsidRDefault="00B72FE6" w:rsidP="00B72FE6">
      <w:pPr>
        <w:spacing w:line="240" w:lineRule="exact"/>
      </w:pPr>
      <w:r w:rsidRPr="008D5BFD">
        <w:rPr>
          <w:b/>
          <w:bCs/>
          <w:lang w:val="fr-FR"/>
        </w:rPr>
        <w:t>Simplification des Règlements concernant l</w:t>
      </w:r>
      <w:r w:rsidR="00BB2206">
        <w:rPr>
          <w:b/>
          <w:bCs/>
          <w:lang w:val="fr-FR"/>
        </w:rPr>
        <w:t>’</w:t>
      </w:r>
      <w:r w:rsidRPr="008D5BFD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8D5BFD">
        <w:rPr>
          <w:b/>
          <w:bCs/>
          <w:lang w:val="fr-FR"/>
        </w:rPr>
        <w:t>et la signalisation lumineuse</w:t>
      </w:r>
    </w:p>
    <w:p w:rsidR="00FE08F2" w:rsidRPr="008D5BFD" w:rsidRDefault="00FE08F2" w:rsidP="00FE08F2">
      <w:pPr>
        <w:pStyle w:val="HChG"/>
        <w:rPr>
          <w:lang w:val="fr-FR"/>
        </w:rPr>
      </w:pPr>
      <w:r w:rsidRPr="008D5BFD">
        <w:rPr>
          <w:lang w:val="fr-FR"/>
        </w:rPr>
        <w:tab/>
      </w:r>
      <w:r w:rsidRPr="008D5BFD">
        <w:rPr>
          <w:lang w:val="fr-FR"/>
        </w:rPr>
        <w:tab/>
        <w:t>Proposition de complément [10] à la série 01 d</w:t>
      </w:r>
      <w:r w:rsidR="00BB2206">
        <w:rPr>
          <w:lang w:val="fr-FR"/>
        </w:rPr>
        <w:t>’</w:t>
      </w:r>
      <w:r w:rsidRPr="008D5BFD">
        <w:rPr>
          <w:lang w:val="fr-FR"/>
        </w:rPr>
        <w:t>amendements au Règlement n</w:t>
      </w:r>
      <w:r w:rsidRPr="008D5BFD">
        <w:rPr>
          <w:vertAlign w:val="superscript"/>
          <w:lang w:val="fr-FR"/>
        </w:rPr>
        <w:t>o</w:t>
      </w:r>
      <w:r w:rsidRPr="008D5BFD">
        <w:rPr>
          <w:lang w:val="fr-FR"/>
        </w:rPr>
        <w:t> 74</w:t>
      </w:r>
    </w:p>
    <w:p w:rsidR="00F9573C" w:rsidRDefault="00FE08F2" w:rsidP="00FE08F2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E08F2">
        <w:rPr>
          <w:spacing w:val="-3"/>
          <w:lang w:val="fr-FR"/>
        </w:rPr>
        <w:t>Communication du groupe de travail informel chargé de la simplification</w:t>
      </w:r>
      <w:r w:rsidRPr="008D5BFD">
        <w:rPr>
          <w:lang w:val="fr-FR"/>
        </w:rPr>
        <w:t xml:space="preserve"> des Règlements relatifs à l</w:t>
      </w:r>
      <w:r w:rsidR="00BB2206">
        <w:rPr>
          <w:lang w:val="fr-FR"/>
        </w:rPr>
        <w:t>’</w:t>
      </w:r>
      <w:r w:rsidRPr="008D5BFD">
        <w:rPr>
          <w:lang w:val="fr-FR"/>
        </w:rPr>
        <w:t>éclairage et à la signalisation lumineuse</w:t>
      </w:r>
      <w:r w:rsidRPr="00FE08F2">
        <w:rPr>
          <w:b w:val="0"/>
          <w:sz w:val="20"/>
          <w:lang w:val="fr-FR"/>
        </w:rPr>
        <w:footnoteReference w:customMarkFollows="1" w:id="2"/>
        <w:t>*</w:t>
      </w:r>
    </w:p>
    <w:p w:rsidR="00FE08F2" w:rsidRPr="00FE08F2" w:rsidRDefault="00FE08F2" w:rsidP="00846567">
      <w:pPr>
        <w:pStyle w:val="SingleTxtG"/>
        <w:ind w:firstLine="567"/>
        <w:rPr>
          <w:lang w:val="fr-FR"/>
        </w:rPr>
      </w:pPr>
      <w:r w:rsidRPr="00FE08F2">
        <w:rPr>
          <w:lang w:val="fr-FR"/>
        </w:rPr>
        <w:t>Le texte ci-après, établi par le groupe de travail informel chargé de la simplification des Règlements relatifs à l</w:t>
      </w:r>
      <w:r w:rsidR="00BB2206">
        <w:rPr>
          <w:lang w:val="fr-FR"/>
        </w:rPr>
        <w:t>’</w:t>
      </w:r>
      <w:r w:rsidRPr="00FE08F2">
        <w:rPr>
          <w:lang w:val="fr-FR"/>
        </w:rPr>
        <w:t>éclairage et à la signalisation lumineuse sur la base du document informel GRE-78-12, vise à introduire dans la série 01 d</w:t>
      </w:r>
      <w:r w:rsidR="00BB2206">
        <w:rPr>
          <w:lang w:val="fr-FR"/>
        </w:rPr>
        <w:t>’</w:t>
      </w:r>
      <w:r w:rsidRPr="00FE08F2">
        <w:rPr>
          <w:lang w:val="fr-FR"/>
        </w:rPr>
        <w:t xml:space="preserve">amendements au Règlement </w:t>
      </w:r>
      <w:r w:rsidR="00846567" w:rsidRPr="00846567">
        <w:rPr>
          <w:rFonts w:eastAsia="MS Mincho"/>
          <w:szCs w:val="22"/>
          <w:lang w:val="fr-FR"/>
        </w:rPr>
        <w:t>n</w:t>
      </w:r>
      <w:r w:rsidR="00846567" w:rsidRPr="00846567">
        <w:rPr>
          <w:rFonts w:eastAsia="MS Mincho"/>
          <w:szCs w:val="22"/>
          <w:vertAlign w:val="superscript"/>
          <w:lang w:val="fr-FR"/>
        </w:rPr>
        <w:t>o</w:t>
      </w:r>
      <w:r w:rsidR="00846567">
        <w:rPr>
          <w:lang w:val="fr-FR"/>
        </w:rPr>
        <w:t> </w:t>
      </w:r>
      <w:r w:rsidRPr="00FE08F2">
        <w:rPr>
          <w:lang w:val="fr-FR"/>
        </w:rPr>
        <w:t>74 des références aux trois nouveaux Règlements simplifiés sur les dispositifs de signalisation lumineuse (LSD), les dispositifs d</w:t>
      </w:r>
      <w:r w:rsidR="00BB2206">
        <w:rPr>
          <w:lang w:val="fr-FR"/>
        </w:rPr>
        <w:t>’</w:t>
      </w:r>
      <w:r w:rsidRPr="00FE08F2">
        <w:rPr>
          <w:lang w:val="fr-FR"/>
        </w:rPr>
        <w:t>éclairage de la route (RID) et les dispositifs catadioptriques (RRD). Les modifications qu</w:t>
      </w:r>
      <w:r w:rsidR="00BB2206">
        <w:rPr>
          <w:lang w:val="fr-FR"/>
        </w:rPr>
        <w:t>’</w:t>
      </w:r>
      <w:r w:rsidRPr="00FE08F2">
        <w:rPr>
          <w:lang w:val="fr-FR"/>
        </w:rPr>
        <w:t>il est proposé d</w:t>
      </w:r>
      <w:r w:rsidR="00BB2206">
        <w:rPr>
          <w:lang w:val="fr-FR"/>
        </w:rPr>
        <w:t>’</w:t>
      </w:r>
      <w:r w:rsidRPr="00FE08F2">
        <w:rPr>
          <w:lang w:val="fr-FR"/>
        </w:rPr>
        <w:t>apporter au texte actuel du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74 figurent en caractères gras pour les ajouts et biffés pour les suppressions. Les parties qui figurent entre crochets signifient que le texte concerné doit être examiné et faire l</w:t>
      </w:r>
      <w:r w:rsidR="00BB2206">
        <w:rPr>
          <w:lang w:val="fr-FR"/>
        </w:rPr>
        <w:t>’</w:t>
      </w:r>
      <w:r w:rsidRPr="00FE08F2">
        <w:rPr>
          <w:lang w:val="fr-FR"/>
        </w:rPr>
        <w:t>objet d</w:t>
      </w:r>
      <w:r w:rsidR="00BB2206">
        <w:rPr>
          <w:lang w:val="fr-FR"/>
        </w:rPr>
        <w:t>’</w:t>
      </w:r>
      <w:r w:rsidRPr="00FE08F2">
        <w:rPr>
          <w:lang w:val="fr-FR"/>
        </w:rPr>
        <w:t>une décision.</w:t>
      </w:r>
    </w:p>
    <w:p w:rsidR="00FE08F2" w:rsidRPr="00FE08F2" w:rsidRDefault="00FE08F2" w:rsidP="00FE08F2">
      <w:pPr>
        <w:pStyle w:val="HChG"/>
        <w:rPr>
          <w:lang w:val="fr-FR"/>
        </w:rPr>
      </w:pPr>
      <w:r w:rsidRPr="00FE08F2">
        <w:rPr>
          <w:lang w:val="fr-FR"/>
        </w:rPr>
        <w:br w:type="page"/>
      </w:r>
      <w:r w:rsidRPr="00FE08F2">
        <w:rPr>
          <w:lang w:val="fr-FR"/>
        </w:rPr>
        <w:lastRenderedPageBreak/>
        <w:tab/>
        <w:t>I.</w:t>
      </w:r>
      <w:r w:rsidRPr="00FE08F2">
        <w:rPr>
          <w:lang w:val="fr-FR"/>
        </w:rPr>
        <w:tab/>
        <w:t>Proposition</w:t>
      </w:r>
    </w:p>
    <w:p w:rsidR="00FE08F2" w:rsidRPr="00FE08F2" w:rsidRDefault="00FE08F2" w:rsidP="00FE08F2">
      <w:pPr>
        <w:pStyle w:val="SingleTxtG"/>
        <w:rPr>
          <w:lang w:val="fr-FR"/>
        </w:rPr>
      </w:pPr>
      <w:r w:rsidRPr="00FE08F2">
        <w:rPr>
          <w:i/>
          <w:lang w:val="fr-FR"/>
        </w:rPr>
        <w:t xml:space="preserve">Paragraphe 6.1.1, </w:t>
      </w:r>
      <w:r w:rsidRPr="00FE08F2">
        <w:rPr>
          <w:lang w:val="fr-FR"/>
        </w:rPr>
        <w:t>modifier comme suit</w:t>
      </w:r>
      <w:r w:rsidR="00BE0C4C">
        <w:rPr>
          <w:lang w:val="fr-FR"/>
        </w:rPr>
        <w:t> </w:t>
      </w:r>
      <w:r w:rsidRPr="00FE08F2">
        <w:rPr>
          <w:lang w:val="fr-FR"/>
        </w:rPr>
        <w:t>:</w:t>
      </w:r>
    </w:p>
    <w:p w:rsidR="00FE08F2" w:rsidRPr="00FE08F2" w:rsidRDefault="00BE0C4C" w:rsidP="00BE0C4C">
      <w:pPr>
        <w:pStyle w:val="SingleTxtG"/>
        <w:ind w:left="2268" w:hanging="1134"/>
        <w:rPr>
          <w:u w:val="single"/>
          <w:lang w:val="fr-FR"/>
        </w:rPr>
      </w:pPr>
      <w:r>
        <w:rPr>
          <w:lang w:val="fr-FR"/>
        </w:rPr>
        <w:t>« </w:t>
      </w:r>
      <w:r w:rsidR="00FE08F2" w:rsidRPr="00FE08F2">
        <w:rPr>
          <w:lang w:val="fr-FR"/>
        </w:rPr>
        <w:t>6.1.1</w:t>
      </w:r>
      <w:r>
        <w:rPr>
          <w:lang w:val="fr-FR"/>
        </w:rPr>
        <w:tab/>
      </w:r>
      <w:r w:rsidR="00FE08F2" w:rsidRPr="00FE08F2">
        <w:rPr>
          <w:lang w:val="fr-FR"/>
        </w:rPr>
        <w:tab/>
        <w:t>Nombre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Un ou deux du type homologué selon</w:t>
      </w:r>
      <w:r w:rsidR="00BE0C4C">
        <w:rPr>
          <w:lang w:val="fr-FR"/>
        </w:rPr>
        <w:t> </w:t>
      </w:r>
      <w:r w:rsidRPr="00FE08F2">
        <w:rPr>
          <w:lang w:val="fr-FR"/>
        </w:rPr>
        <w:t>: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a)</w:t>
      </w:r>
      <w:r w:rsidR="003A3594">
        <w:rPr>
          <w:lang w:val="fr-FR"/>
        </w:rPr>
        <w:tab/>
      </w:r>
      <w:r w:rsidRPr="00FE08F2">
        <w:rPr>
          <w:lang w:val="fr-FR"/>
        </w:rPr>
        <w:t>Le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113</w:t>
      </w:r>
      <w:r w:rsidR="003A3594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b)</w:t>
      </w:r>
      <w:r w:rsidR="003A3594">
        <w:rPr>
          <w:lang w:val="fr-FR"/>
        </w:rPr>
        <w:tab/>
      </w:r>
      <w:r w:rsidRPr="00FE08F2">
        <w:rPr>
          <w:lang w:val="fr-FR"/>
        </w:rPr>
        <w:t>La classe A du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112</w:t>
      </w:r>
      <w:r w:rsidR="003A3594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c)</w:t>
      </w:r>
      <w:r w:rsidR="003A3594">
        <w:rPr>
          <w:lang w:val="fr-FR"/>
        </w:rPr>
        <w:tab/>
      </w:r>
      <w:r w:rsidRPr="00FE08F2">
        <w:rPr>
          <w:lang w:val="fr-FR"/>
        </w:rPr>
        <w:t>Le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1</w:t>
      </w:r>
      <w:r w:rsidR="003A3594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d)</w:t>
      </w:r>
      <w:r w:rsidR="003A3594">
        <w:rPr>
          <w:lang w:val="fr-FR"/>
        </w:rPr>
        <w:tab/>
      </w:r>
      <w:r w:rsidRPr="00FE08F2">
        <w:rPr>
          <w:lang w:val="fr-FR"/>
        </w:rPr>
        <w:t>Le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57</w:t>
      </w:r>
      <w:r w:rsidR="003A3594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e)</w:t>
      </w:r>
      <w:r w:rsidR="003A3594">
        <w:rPr>
          <w:lang w:val="fr-FR"/>
        </w:rPr>
        <w:tab/>
      </w:r>
      <w:r w:rsidRPr="00FE08F2">
        <w:rPr>
          <w:lang w:val="fr-FR"/>
        </w:rPr>
        <w:t>Le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72</w:t>
      </w:r>
      <w:r w:rsidR="003A3594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3A3594" w:rsidRDefault="00FE08F2" w:rsidP="003A3594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f)</w:t>
      </w:r>
      <w:r w:rsidR="003A3594">
        <w:rPr>
          <w:lang w:val="fr-FR"/>
        </w:rPr>
        <w:tab/>
      </w:r>
      <w:r w:rsidRPr="003A3594">
        <w:rPr>
          <w:lang w:val="fr-FR"/>
        </w:rPr>
        <w:t>Le Règlement n</w:t>
      </w:r>
      <w:r w:rsidRPr="003A3594">
        <w:rPr>
          <w:vertAlign w:val="superscript"/>
          <w:lang w:val="fr-FR"/>
        </w:rPr>
        <w:t>o</w:t>
      </w:r>
      <w:r w:rsidRPr="003A3594">
        <w:rPr>
          <w:lang w:val="fr-FR"/>
        </w:rPr>
        <w:t> 76</w:t>
      </w:r>
      <w:r w:rsidR="003A3594" w:rsidRPr="003A3594">
        <w:rPr>
          <w:lang w:val="fr-FR"/>
        </w:rPr>
        <w:t> </w:t>
      </w:r>
      <w:r w:rsidRPr="003A3594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b/>
          <w:lang w:val="fr-FR"/>
        </w:rPr>
        <w:t>g)</w:t>
      </w:r>
      <w:r w:rsidR="00D17831">
        <w:rPr>
          <w:b/>
          <w:lang w:val="fr-FR"/>
        </w:rPr>
        <w:tab/>
      </w:r>
      <w:r w:rsidRPr="00FE08F2">
        <w:rPr>
          <w:b/>
          <w:lang w:val="fr-FR"/>
        </w:rPr>
        <w:t>La classe [A, BS, CS, DS ou ES] du Règlement n</w:t>
      </w:r>
      <w:r w:rsidRPr="00FE08F2">
        <w:rPr>
          <w:b/>
          <w:vertAlign w:val="superscript"/>
          <w:lang w:val="fr-FR"/>
        </w:rPr>
        <w:t>o</w:t>
      </w:r>
      <w:r w:rsidRPr="00FE08F2">
        <w:rPr>
          <w:b/>
          <w:lang w:val="fr-FR"/>
        </w:rPr>
        <w:t> [RID]</w:t>
      </w:r>
      <w:r w:rsidR="00D17831">
        <w:rPr>
          <w:lang w:val="fr-FR"/>
        </w:rPr>
        <w:t> »</w:t>
      </w:r>
      <w:r w:rsidRPr="00FE08F2">
        <w:rPr>
          <w:lang w:val="fr-FR"/>
        </w:rPr>
        <w:t>.</w:t>
      </w:r>
    </w:p>
    <w:p w:rsidR="00FE08F2" w:rsidRPr="00FE08F2" w:rsidRDefault="00FE08F2" w:rsidP="00FE08F2">
      <w:pPr>
        <w:pStyle w:val="SingleTxtG"/>
        <w:rPr>
          <w:lang w:val="fr-FR"/>
        </w:rPr>
      </w:pPr>
      <w:r w:rsidRPr="00FE08F2">
        <w:rPr>
          <w:i/>
          <w:lang w:val="fr-FR"/>
        </w:rPr>
        <w:t>Paragraphe 6.2.1 et note de bas de page</w:t>
      </w:r>
      <w:r w:rsidRPr="00D17831">
        <w:rPr>
          <w:lang w:val="fr-FR"/>
        </w:rPr>
        <w:t>*</w:t>
      </w:r>
      <w:r w:rsidRPr="00FE08F2">
        <w:rPr>
          <w:i/>
          <w:lang w:val="fr-FR"/>
        </w:rPr>
        <w:t xml:space="preserve">, </w:t>
      </w:r>
      <w:r w:rsidRPr="00FE08F2">
        <w:rPr>
          <w:lang w:val="fr-FR"/>
        </w:rPr>
        <w:t>modifier comme suit</w:t>
      </w:r>
      <w:r w:rsidR="00D17831">
        <w:rPr>
          <w:lang w:val="fr-FR"/>
        </w:rPr>
        <w:t> </w:t>
      </w:r>
      <w:r w:rsidRPr="00FE08F2">
        <w:rPr>
          <w:lang w:val="fr-FR"/>
        </w:rPr>
        <w:t>:</w:t>
      </w:r>
    </w:p>
    <w:p w:rsidR="00FE08F2" w:rsidRPr="00FE08F2" w:rsidRDefault="00D17831" w:rsidP="00D1783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FE08F2" w:rsidRPr="00FE08F2">
        <w:rPr>
          <w:lang w:val="fr-FR"/>
        </w:rPr>
        <w:t>6.2.1</w:t>
      </w:r>
      <w:r w:rsidR="00FE08F2" w:rsidRPr="00FE08F2">
        <w:rPr>
          <w:lang w:val="fr-FR"/>
        </w:rPr>
        <w:tab/>
        <w:t>Nombre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Un ou deux du type homologué selon</w:t>
      </w:r>
      <w:r w:rsidR="00D17831">
        <w:rPr>
          <w:lang w:val="fr-FR"/>
        </w:rPr>
        <w:t> </w:t>
      </w:r>
      <w:r w:rsidRPr="00FE08F2">
        <w:rPr>
          <w:lang w:val="fr-FR"/>
        </w:rPr>
        <w:t>: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a)</w:t>
      </w:r>
      <w:r w:rsidR="00D17831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D17831" w:rsidRPr="00D17831">
        <w:rPr>
          <w:rFonts w:eastAsia="MS Mincho"/>
          <w:szCs w:val="22"/>
          <w:lang w:val="fr-FR"/>
        </w:rPr>
        <w:t>n</w:t>
      </w:r>
      <w:r w:rsidR="00D17831" w:rsidRPr="00D17831">
        <w:rPr>
          <w:rFonts w:eastAsia="MS Mincho"/>
          <w:szCs w:val="22"/>
          <w:vertAlign w:val="superscript"/>
          <w:lang w:val="fr-FR"/>
        </w:rPr>
        <w:t>o</w:t>
      </w:r>
      <w:r w:rsidR="00D17831">
        <w:rPr>
          <w:lang w:val="fr-FR"/>
        </w:rPr>
        <w:t> </w:t>
      </w:r>
      <w:r w:rsidRPr="00FE08F2">
        <w:rPr>
          <w:lang w:val="fr-FR"/>
        </w:rPr>
        <w:t>113*</w:t>
      </w:r>
      <w:r w:rsidR="00D17831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b)</w:t>
      </w:r>
      <w:r w:rsidR="00D17831">
        <w:rPr>
          <w:lang w:val="fr-FR"/>
        </w:rPr>
        <w:tab/>
      </w:r>
      <w:r w:rsidRPr="00FE08F2">
        <w:rPr>
          <w:lang w:val="fr-FR"/>
        </w:rPr>
        <w:t xml:space="preserve">La classe A du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112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c)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1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d)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56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e)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57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f)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72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g)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76</w:t>
      </w:r>
      <w:r w:rsidR="00715AAE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D17831" w:rsidRDefault="00FE08F2" w:rsidP="00D1783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ab/>
        <w:t>h)</w:t>
      </w:r>
      <w:r w:rsidR="00715AAE">
        <w:rPr>
          <w:lang w:val="fr-FR"/>
        </w:rPr>
        <w:tab/>
      </w:r>
      <w:r w:rsidRPr="00FE08F2">
        <w:rPr>
          <w:lang w:val="fr-FR"/>
        </w:rPr>
        <w:t xml:space="preserve">Le Règlement </w:t>
      </w:r>
      <w:r w:rsidR="00715AAE" w:rsidRPr="00D17831">
        <w:rPr>
          <w:rFonts w:eastAsia="MS Mincho"/>
          <w:szCs w:val="22"/>
          <w:lang w:val="fr-FR"/>
        </w:rPr>
        <w:t>n</w:t>
      </w:r>
      <w:r w:rsidR="00715AAE" w:rsidRPr="00D17831">
        <w:rPr>
          <w:rFonts w:eastAsia="MS Mincho"/>
          <w:szCs w:val="22"/>
          <w:vertAlign w:val="superscript"/>
          <w:lang w:val="fr-FR"/>
        </w:rPr>
        <w:t>o</w:t>
      </w:r>
      <w:r w:rsidR="00715AAE">
        <w:rPr>
          <w:lang w:val="fr-FR"/>
        </w:rPr>
        <w:t> </w:t>
      </w:r>
      <w:r w:rsidRPr="00FE08F2">
        <w:rPr>
          <w:lang w:val="fr-FR"/>
        </w:rPr>
        <w:t>82</w:t>
      </w:r>
      <w:r w:rsidR="00715AAE">
        <w:rPr>
          <w:lang w:val="fr-FR"/>
        </w:rPr>
        <w:t> </w:t>
      </w:r>
      <w:r w:rsidRPr="00D17831">
        <w:rPr>
          <w:lang w:val="fr-FR"/>
        </w:rPr>
        <w:t>;</w:t>
      </w:r>
    </w:p>
    <w:p w:rsidR="00FE08F2" w:rsidRPr="00FE08F2" w:rsidRDefault="00FE08F2" w:rsidP="00D17831">
      <w:pPr>
        <w:pStyle w:val="SingleTxtG"/>
        <w:ind w:left="2268"/>
        <w:rPr>
          <w:lang w:val="fr-FR"/>
        </w:rPr>
      </w:pPr>
      <w:r w:rsidRPr="00D17831">
        <w:rPr>
          <w:lang w:val="fr-FR"/>
        </w:rPr>
        <w:t>i)</w:t>
      </w:r>
      <w:r w:rsidR="00715AAE">
        <w:rPr>
          <w:lang w:val="fr-FR"/>
        </w:rPr>
        <w:tab/>
      </w:r>
      <w:r w:rsidRPr="00B632F6">
        <w:rPr>
          <w:b/>
          <w:lang w:val="fr-FR"/>
        </w:rPr>
        <w:t>La classe [A, AS</w:t>
      </w:r>
      <w:r w:rsidRPr="00370589">
        <w:rPr>
          <w:lang w:val="fr-FR"/>
        </w:rPr>
        <w:t>*</w:t>
      </w:r>
      <w:r w:rsidRPr="00B632F6">
        <w:rPr>
          <w:b/>
          <w:lang w:val="fr-FR"/>
        </w:rPr>
        <w:t xml:space="preserve">, BS, CS, DS ou ES] du Règlement </w:t>
      </w:r>
      <w:r w:rsidR="00B632F6" w:rsidRPr="00B632F6">
        <w:rPr>
          <w:rFonts w:eastAsia="MS Mincho"/>
          <w:b/>
          <w:szCs w:val="22"/>
          <w:lang w:val="fr-FR"/>
        </w:rPr>
        <w:t>n</w:t>
      </w:r>
      <w:r w:rsidR="00B632F6" w:rsidRPr="00B632F6">
        <w:rPr>
          <w:rFonts w:eastAsia="MS Mincho"/>
          <w:b/>
          <w:szCs w:val="22"/>
          <w:vertAlign w:val="superscript"/>
          <w:lang w:val="fr-FR"/>
        </w:rPr>
        <w:t>o</w:t>
      </w:r>
      <w:r w:rsidR="00B632F6">
        <w:rPr>
          <w:b/>
          <w:lang w:val="fr-FR"/>
        </w:rPr>
        <w:t> </w:t>
      </w:r>
      <w:r w:rsidRPr="00B632F6">
        <w:rPr>
          <w:b/>
          <w:lang w:val="fr-FR"/>
        </w:rPr>
        <w:t>[RID]</w:t>
      </w:r>
      <w:r w:rsidRPr="00FE08F2">
        <w:rPr>
          <w:lang w:val="fr-FR"/>
        </w:rPr>
        <w:t>.</w:t>
      </w:r>
    </w:p>
    <w:p w:rsidR="00FE08F2" w:rsidRPr="00B632F6" w:rsidRDefault="00FE08F2" w:rsidP="00B632F6">
      <w:pPr>
        <w:pStyle w:val="SingleTxtG"/>
        <w:ind w:left="2268"/>
        <w:jc w:val="left"/>
        <w:rPr>
          <w:sz w:val="18"/>
          <w:szCs w:val="18"/>
          <w:lang w:val="fr-FR"/>
        </w:rPr>
      </w:pPr>
      <w:r w:rsidRPr="00FD1CD7">
        <w:rPr>
          <w:lang w:val="fr-FR"/>
        </w:rPr>
        <w:t>*</w:t>
      </w:r>
      <w:r w:rsidR="00B632F6" w:rsidRPr="00B632F6">
        <w:rPr>
          <w:sz w:val="18"/>
          <w:szCs w:val="18"/>
          <w:lang w:val="fr-FR"/>
        </w:rPr>
        <w:t xml:space="preserve"> </w:t>
      </w:r>
      <w:r w:rsidR="00370589">
        <w:rPr>
          <w:sz w:val="18"/>
          <w:szCs w:val="18"/>
          <w:lang w:val="fr-FR"/>
        </w:rPr>
        <w:t xml:space="preserve"> </w:t>
      </w:r>
      <w:r w:rsidRPr="00B632F6">
        <w:rPr>
          <w:sz w:val="18"/>
          <w:szCs w:val="18"/>
          <w:lang w:val="fr-FR"/>
        </w:rPr>
        <w:t>Projecteurs de la classe A du Règlement n</w:t>
      </w:r>
      <w:r w:rsidRPr="00B632F6">
        <w:rPr>
          <w:sz w:val="18"/>
          <w:szCs w:val="18"/>
          <w:vertAlign w:val="superscript"/>
          <w:lang w:val="fr-FR"/>
        </w:rPr>
        <w:t>o</w:t>
      </w:r>
      <w:r w:rsidRPr="00B632F6">
        <w:rPr>
          <w:sz w:val="18"/>
          <w:szCs w:val="18"/>
          <w:lang w:val="fr-FR"/>
        </w:rPr>
        <w:t> 113</w:t>
      </w:r>
      <w:r w:rsidRPr="00B632F6">
        <w:rPr>
          <w:b/>
          <w:sz w:val="18"/>
          <w:szCs w:val="18"/>
          <w:lang w:val="fr-FR"/>
        </w:rPr>
        <w:t xml:space="preserve"> à modules LED ou de la classe [AS] du Règlement n</w:t>
      </w:r>
      <w:r w:rsidRPr="00B632F6">
        <w:rPr>
          <w:b/>
          <w:sz w:val="18"/>
          <w:szCs w:val="18"/>
          <w:vertAlign w:val="superscript"/>
          <w:lang w:val="fr-FR"/>
        </w:rPr>
        <w:t>o</w:t>
      </w:r>
      <w:r w:rsidRPr="00B632F6">
        <w:rPr>
          <w:b/>
          <w:sz w:val="18"/>
          <w:szCs w:val="18"/>
          <w:lang w:val="fr-FR"/>
        </w:rPr>
        <w:t xml:space="preserve"> [RID] </w:t>
      </w:r>
      <w:r w:rsidRPr="00B632F6">
        <w:rPr>
          <w:sz w:val="18"/>
          <w:szCs w:val="18"/>
          <w:lang w:val="fr-FR"/>
        </w:rPr>
        <w:t>à modules LED seulement sur les véhicules dont la vitesse par construction ne dépasse pas 25</w:t>
      </w:r>
      <w:r w:rsidR="00B632F6">
        <w:rPr>
          <w:sz w:val="18"/>
          <w:szCs w:val="18"/>
          <w:lang w:val="fr-FR"/>
        </w:rPr>
        <w:t> </w:t>
      </w:r>
      <w:r w:rsidRPr="00B632F6">
        <w:rPr>
          <w:sz w:val="18"/>
          <w:szCs w:val="18"/>
          <w:lang w:val="fr-FR"/>
        </w:rPr>
        <w:t>km/h. ».</w:t>
      </w:r>
    </w:p>
    <w:p w:rsidR="00FE08F2" w:rsidRPr="00FE08F2" w:rsidRDefault="00FE08F2" w:rsidP="00FE08F2">
      <w:pPr>
        <w:pStyle w:val="SingleTxtG"/>
        <w:rPr>
          <w:lang w:val="fr-FR"/>
        </w:rPr>
      </w:pPr>
      <w:r w:rsidRPr="00FE08F2">
        <w:rPr>
          <w:i/>
          <w:lang w:val="fr-FR"/>
        </w:rPr>
        <w:t xml:space="preserve">Paragraphe 6.8.2 et note de bas de page 4, </w:t>
      </w:r>
      <w:r w:rsidRPr="00FE08F2">
        <w:rPr>
          <w:lang w:val="fr-FR"/>
        </w:rPr>
        <w:t>modifier comme suit</w:t>
      </w:r>
      <w:r w:rsidR="00924E21">
        <w:rPr>
          <w:lang w:val="fr-FR"/>
        </w:rPr>
        <w:t> </w:t>
      </w:r>
      <w:r w:rsidRPr="00FE08F2">
        <w:rPr>
          <w:lang w:val="fr-FR"/>
        </w:rPr>
        <w:t>:</w:t>
      </w:r>
    </w:p>
    <w:p w:rsidR="00FE08F2" w:rsidRPr="00FE08F2" w:rsidRDefault="00924E21" w:rsidP="00924E21">
      <w:pPr>
        <w:pStyle w:val="SingleTxtG"/>
        <w:ind w:left="2268" w:hanging="1134"/>
        <w:rPr>
          <w:u w:val="single"/>
          <w:lang w:val="fr-FR"/>
        </w:rPr>
      </w:pPr>
      <w:r>
        <w:rPr>
          <w:lang w:val="fr-FR"/>
        </w:rPr>
        <w:t>« </w:t>
      </w:r>
      <w:r w:rsidR="00FE08F2" w:rsidRPr="00FE08F2">
        <w:rPr>
          <w:lang w:val="fr-FR"/>
        </w:rPr>
        <w:t>6.8.2</w:t>
      </w:r>
      <w:r w:rsidR="00FE08F2" w:rsidRPr="00FE08F2">
        <w:rPr>
          <w:lang w:val="fr-FR"/>
        </w:rPr>
        <w:tab/>
        <w:t>Schéma de montage</w:t>
      </w:r>
    </w:p>
    <w:p w:rsidR="00FE08F2" w:rsidRPr="00FE08F2" w:rsidRDefault="00FE08F2" w:rsidP="00924E2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De</w:t>
      </w:r>
      <w:r w:rsidR="00924E21">
        <w:rPr>
          <w:lang w:val="fr-FR"/>
        </w:rPr>
        <w:t>ux indicateurs avant (catégorie </w:t>
      </w:r>
      <w:r w:rsidRPr="00FE08F2">
        <w:rPr>
          <w:lang w:val="fr-FR"/>
        </w:rPr>
        <w:t>11</w:t>
      </w:r>
      <w:r w:rsidR="00FD1CD7" w:rsidRPr="00FD1CD7">
        <w:rPr>
          <w:b/>
          <w:sz w:val="18"/>
          <w:szCs w:val="18"/>
          <w:vertAlign w:val="superscript"/>
          <w:lang w:val="fr-FR"/>
        </w:rPr>
        <w:t>4</w:t>
      </w:r>
      <w:r w:rsidRPr="00FE08F2">
        <w:rPr>
          <w:lang w:val="fr-FR"/>
        </w:rPr>
        <w:t>)</w:t>
      </w:r>
      <w:r w:rsidR="00924E21" w:rsidRPr="00924E21">
        <w:rPr>
          <w:lang w:val="fr-FR"/>
        </w:rPr>
        <w:t> </w:t>
      </w:r>
      <w:r w:rsidRPr="00FE08F2">
        <w:rPr>
          <w:lang w:val="fr-FR"/>
        </w:rPr>
        <w:t>;</w:t>
      </w:r>
    </w:p>
    <w:p w:rsidR="00FE08F2" w:rsidRPr="00FE08F2" w:rsidRDefault="00FE08F2" w:rsidP="00924E21">
      <w:pPr>
        <w:pStyle w:val="SingleTxtG"/>
        <w:ind w:left="2268"/>
        <w:rPr>
          <w:lang w:val="fr-FR"/>
        </w:rPr>
      </w:pPr>
      <w:r w:rsidRPr="00FE08F2">
        <w:rPr>
          <w:lang w:val="fr-FR"/>
        </w:rPr>
        <w:t>Deux indicateurs arrière (catégorie</w:t>
      </w:r>
      <w:r w:rsidR="00924E21">
        <w:rPr>
          <w:lang w:val="fr-FR"/>
        </w:rPr>
        <w:t> </w:t>
      </w:r>
      <w:r w:rsidRPr="00FE08F2">
        <w:rPr>
          <w:lang w:val="fr-FR"/>
        </w:rPr>
        <w:t>12</w:t>
      </w:r>
      <w:r w:rsidR="00FD1CD7" w:rsidRPr="00FD1CD7">
        <w:rPr>
          <w:b/>
          <w:sz w:val="18"/>
          <w:szCs w:val="18"/>
          <w:vertAlign w:val="superscript"/>
          <w:lang w:val="fr-FR"/>
        </w:rPr>
        <w:t>4</w:t>
      </w:r>
      <w:r w:rsidRPr="00FE08F2">
        <w:rPr>
          <w:lang w:val="fr-FR"/>
        </w:rPr>
        <w:t>).</w:t>
      </w:r>
    </w:p>
    <w:p w:rsidR="00FE08F2" w:rsidRPr="00320A27" w:rsidRDefault="00FE08F2" w:rsidP="00320A27">
      <w:pPr>
        <w:pStyle w:val="SingleTxtG"/>
        <w:ind w:left="2268"/>
        <w:jc w:val="left"/>
        <w:rPr>
          <w:sz w:val="18"/>
          <w:szCs w:val="18"/>
          <w:lang w:val="fr-FR"/>
        </w:rPr>
      </w:pPr>
      <w:r w:rsidRPr="00320A27">
        <w:rPr>
          <w:sz w:val="18"/>
          <w:szCs w:val="18"/>
          <w:vertAlign w:val="superscript"/>
          <w:lang w:val="fr-FR"/>
        </w:rPr>
        <w:t>4</w:t>
      </w:r>
      <w:r w:rsidR="00320A27">
        <w:rPr>
          <w:sz w:val="18"/>
          <w:szCs w:val="18"/>
          <w:lang w:val="fr-FR"/>
        </w:rPr>
        <w:t xml:space="preserve"> </w:t>
      </w:r>
      <w:r w:rsidR="00370589">
        <w:rPr>
          <w:sz w:val="18"/>
          <w:szCs w:val="18"/>
          <w:lang w:val="fr-FR"/>
        </w:rPr>
        <w:t xml:space="preserve"> </w:t>
      </w:r>
      <w:r w:rsidRPr="00320A27">
        <w:rPr>
          <w:sz w:val="18"/>
          <w:szCs w:val="18"/>
          <w:lang w:val="fr-FR"/>
        </w:rPr>
        <w:t>Peuvent être respectivement remplacés par les indicateurs des catégories</w:t>
      </w:r>
      <w:r w:rsidR="00BB2206">
        <w:rPr>
          <w:sz w:val="18"/>
          <w:szCs w:val="18"/>
          <w:lang w:val="fr-FR"/>
        </w:rPr>
        <w:t> </w:t>
      </w:r>
      <w:r w:rsidRPr="00320A27">
        <w:rPr>
          <w:sz w:val="18"/>
          <w:szCs w:val="18"/>
          <w:lang w:val="fr-FR"/>
        </w:rPr>
        <w:t xml:space="preserve">1 et 2 du Règlement </w:t>
      </w:r>
      <w:r w:rsidR="00BB2206" w:rsidRPr="00BB2206">
        <w:rPr>
          <w:rFonts w:eastAsia="MS Mincho"/>
          <w:sz w:val="18"/>
          <w:szCs w:val="22"/>
          <w:lang w:val="fr-FR"/>
        </w:rPr>
        <w:t>n</w:t>
      </w:r>
      <w:r w:rsidR="00BB2206" w:rsidRPr="00BB2206">
        <w:rPr>
          <w:rFonts w:eastAsia="MS Mincho"/>
          <w:sz w:val="18"/>
          <w:szCs w:val="22"/>
          <w:vertAlign w:val="superscript"/>
          <w:lang w:val="fr-FR"/>
        </w:rPr>
        <w:t>o</w:t>
      </w:r>
      <w:r w:rsidR="00BB2206">
        <w:rPr>
          <w:sz w:val="18"/>
          <w:szCs w:val="18"/>
          <w:lang w:val="fr-FR"/>
        </w:rPr>
        <w:t> </w:t>
      </w:r>
      <w:r w:rsidRPr="00320A27">
        <w:rPr>
          <w:sz w:val="18"/>
          <w:szCs w:val="18"/>
          <w:lang w:val="fr-FR"/>
        </w:rPr>
        <w:t xml:space="preserve">6 </w:t>
      </w:r>
      <w:r w:rsidRPr="00BB2206">
        <w:rPr>
          <w:b/>
          <w:sz w:val="18"/>
          <w:szCs w:val="18"/>
          <w:lang w:val="fr-FR"/>
        </w:rPr>
        <w:t>ou [LSD]</w:t>
      </w:r>
      <w:r w:rsidR="007B567C">
        <w:rPr>
          <w:sz w:val="18"/>
          <w:szCs w:val="18"/>
          <w:lang w:val="fr-FR"/>
        </w:rPr>
        <w:t>. </w:t>
      </w:r>
      <w:r w:rsidR="00320A27">
        <w:rPr>
          <w:sz w:val="18"/>
          <w:szCs w:val="18"/>
          <w:lang w:val="fr-FR"/>
        </w:rPr>
        <w:t>»</w:t>
      </w:r>
      <w:r w:rsidRPr="00320A27">
        <w:rPr>
          <w:sz w:val="18"/>
          <w:szCs w:val="18"/>
          <w:lang w:val="fr-FR"/>
        </w:rPr>
        <w:t>.</w:t>
      </w:r>
    </w:p>
    <w:p w:rsidR="00FE08F2" w:rsidRPr="00FE08F2" w:rsidRDefault="00FE08F2" w:rsidP="00FE08F2">
      <w:pPr>
        <w:pStyle w:val="HChG"/>
        <w:rPr>
          <w:lang w:val="fr-FR"/>
        </w:rPr>
      </w:pPr>
      <w:r w:rsidRPr="00FE08F2">
        <w:rPr>
          <w:lang w:val="fr-FR"/>
        </w:rPr>
        <w:br w:type="page"/>
      </w:r>
      <w:r w:rsidRPr="00FE08F2">
        <w:rPr>
          <w:lang w:val="fr-FR"/>
        </w:rPr>
        <w:lastRenderedPageBreak/>
        <w:tab/>
        <w:t>II.</w:t>
      </w:r>
      <w:r w:rsidRPr="00FE08F2">
        <w:rPr>
          <w:lang w:val="fr-FR"/>
        </w:rPr>
        <w:tab/>
        <w:t>Justification</w:t>
      </w:r>
    </w:p>
    <w:p w:rsidR="00FE08F2" w:rsidRDefault="00FE08F2" w:rsidP="00BB2206">
      <w:pPr>
        <w:pStyle w:val="SingleTxtG"/>
        <w:ind w:firstLine="567"/>
        <w:rPr>
          <w:lang w:val="fr-FR"/>
        </w:rPr>
      </w:pPr>
      <w:r w:rsidRPr="00FE08F2">
        <w:rPr>
          <w:lang w:val="fr-FR"/>
        </w:rPr>
        <w:t>Précédemment, des références aux Règlements relatifs aux dispositifs ont été ajoutées dans le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74, pour plus de précision. Maintenant que de nouveaux Règlements simplifiés sur les dispositifs de signalisation lumineuse (LSD), les dispositifs d</w:t>
      </w:r>
      <w:r w:rsidR="00BB2206">
        <w:rPr>
          <w:lang w:val="fr-FR"/>
        </w:rPr>
        <w:t>’</w:t>
      </w:r>
      <w:r w:rsidRPr="00FE08F2">
        <w:rPr>
          <w:lang w:val="fr-FR"/>
        </w:rPr>
        <w:t>éclairage de la route (RID) et les dispositifs catadioptriques (RRD) ont été élaborés par le groupe de travail informel chargé de la simplification des Règlements relatifs à l</w:t>
      </w:r>
      <w:r w:rsidR="00BB2206">
        <w:rPr>
          <w:lang w:val="fr-FR"/>
        </w:rPr>
        <w:t>’</w:t>
      </w:r>
      <w:r w:rsidRPr="00FE08F2">
        <w:rPr>
          <w:lang w:val="fr-FR"/>
        </w:rPr>
        <w:t>éclairage et à la signalisation lumineuse, il est nécessaire d</w:t>
      </w:r>
      <w:r w:rsidR="00BB2206">
        <w:rPr>
          <w:lang w:val="fr-FR"/>
        </w:rPr>
        <w:t>’</w:t>
      </w:r>
      <w:r w:rsidRPr="00FE08F2">
        <w:rPr>
          <w:lang w:val="fr-FR"/>
        </w:rPr>
        <w:t>ajouter des références à ces Règlements. La présente proposition vise à introduire ces références dans la série 01 d</w:t>
      </w:r>
      <w:r w:rsidR="00BB2206">
        <w:rPr>
          <w:lang w:val="fr-FR"/>
        </w:rPr>
        <w:t>’</w:t>
      </w:r>
      <w:r w:rsidRPr="00FE08F2">
        <w:rPr>
          <w:lang w:val="fr-FR"/>
        </w:rPr>
        <w:t>amendements au Règlement n</w:t>
      </w:r>
      <w:r w:rsidRPr="00FE08F2">
        <w:rPr>
          <w:vertAlign w:val="superscript"/>
          <w:lang w:val="fr-FR"/>
        </w:rPr>
        <w:t>o</w:t>
      </w:r>
      <w:r w:rsidRPr="00FE08F2">
        <w:rPr>
          <w:lang w:val="fr-FR"/>
        </w:rPr>
        <w:t> 74.</w:t>
      </w:r>
    </w:p>
    <w:p w:rsidR="00BB2206" w:rsidRPr="00BB2206" w:rsidRDefault="00BB2206" w:rsidP="00BB220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B2206" w:rsidRPr="00BB2206" w:rsidSect="00621D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39" w:rsidRDefault="007D5839" w:rsidP="00F95C08">
      <w:pPr>
        <w:spacing w:line="240" w:lineRule="auto"/>
      </w:pPr>
    </w:p>
  </w:endnote>
  <w:endnote w:type="continuationSeparator" w:id="0">
    <w:p w:rsidR="007D5839" w:rsidRPr="00AC3823" w:rsidRDefault="007D5839" w:rsidP="00AC3823">
      <w:pPr>
        <w:pStyle w:val="Footer"/>
      </w:pPr>
    </w:p>
  </w:endnote>
  <w:endnote w:type="continuationNotice" w:id="1">
    <w:p w:rsidR="007D5839" w:rsidRDefault="007D58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DD" w:rsidRPr="00621DDD" w:rsidRDefault="00621DDD" w:rsidP="00621DDD">
    <w:pPr>
      <w:pStyle w:val="Footer"/>
      <w:tabs>
        <w:tab w:val="right" w:pos="9638"/>
      </w:tabs>
    </w:pPr>
    <w:r w:rsidRPr="00621DDD">
      <w:rPr>
        <w:b/>
        <w:sz w:val="18"/>
      </w:rPr>
      <w:fldChar w:fldCharType="begin"/>
    </w:r>
    <w:r w:rsidRPr="00621DDD">
      <w:rPr>
        <w:b/>
        <w:sz w:val="18"/>
      </w:rPr>
      <w:instrText xml:space="preserve"> PAGE  \* MERGEFORMAT </w:instrText>
    </w:r>
    <w:r w:rsidRPr="00621DDD">
      <w:rPr>
        <w:b/>
        <w:sz w:val="18"/>
      </w:rPr>
      <w:fldChar w:fldCharType="separate"/>
    </w:r>
    <w:r w:rsidR="00E67908">
      <w:rPr>
        <w:b/>
        <w:noProof/>
        <w:sz w:val="18"/>
      </w:rPr>
      <w:t>2</w:t>
    </w:r>
    <w:r w:rsidRPr="00621DDD">
      <w:rPr>
        <w:b/>
        <w:sz w:val="18"/>
      </w:rPr>
      <w:fldChar w:fldCharType="end"/>
    </w:r>
    <w:r>
      <w:rPr>
        <w:b/>
        <w:sz w:val="18"/>
      </w:rPr>
      <w:tab/>
    </w:r>
    <w:r>
      <w:t>GE.18-01750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DD" w:rsidRPr="00621DDD" w:rsidRDefault="00621DDD" w:rsidP="00621DDD">
    <w:pPr>
      <w:pStyle w:val="Footer"/>
      <w:tabs>
        <w:tab w:val="right" w:pos="9638"/>
      </w:tabs>
      <w:rPr>
        <w:b/>
        <w:sz w:val="18"/>
      </w:rPr>
    </w:pPr>
    <w:r>
      <w:t>GE.18-01750</w:t>
    </w:r>
    <w:r>
      <w:tab/>
    </w:r>
    <w:r w:rsidRPr="00621DDD">
      <w:rPr>
        <w:b/>
        <w:sz w:val="18"/>
      </w:rPr>
      <w:fldChar w:fldCharType="begin"/>
    </w:r>
    <w:r w:rsidRPr="00621DDD">
      <w:rPr>
        <w:b/>
        <w:sz w:val="18"/>
      </w:rPr>
      <w:instrText xml:space="preserve"> PAGE  \* MERGEFORMAT </w:instrText>
    </w:r>
    <w:r w:rsidRPr="00621DDD">
      <w:rPr>
        <w:b/>
        <w:sz w:val="18"/>
      </w:rPr>
      <w:fldChar w:fldCharType="separate"/>
    </w:r>
    <w:r w:rsidR="00E67908">
      <w:rPr>
        <w:b/>
        <w:noProof/>
        <w:sz w:val="18"/>
      </w:rPr>
      <w:t>3</w:t>
    </w:r>
    <w:r w:rsidRPr="00621D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21DDD" w:rsidRDefault="00621DDD" w:rsidP="00621DD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18-01750  (F)</w:t>
    </w:r>
    <w:r w:rsidR="00FE08F2">
      <w:rPr>
        <w:sz w:val="20"/>
      </w:rPr>
      <w:t xml:space="preserve">    260218    260218</w:t>
    </w:r>
    <w:r>
      <w:rPr>
        <w:sz w:val="20"/>
      </w:rPr>
      <w:br/>
    </w:r>
    <w:r w:rsidRPr="00621DDD">
      <w:rPr>
        <w:rFonts w:ascii="C39T30Lfz" w:hAnsi="C39T30Lfz"/>
        <w:sz w:val="56"/>
      </w:rPr>
      <w:t></w:t>
    </w:r>
    <w:r w:rsidRPr="00621DDD">
      <w:rPr>
        <w:rFonts w:ascii="C39T30Lfz" w:hAnsi="C39T30Lfz"/>
        <w:sz w:val="56"/>
      </w:rPr>
      <w:t></w:t>
    </w:r>
    <w:r w:rsidRPr="00621DDD">
      <w:rPr>
        <w:rFonts w:ascii="C39T30Lfz" w:hAnsi="C39T30Lfz"/>
        <w:sz w:val="56"/>
      </w:rPr>
      <w:t></w:t>
    </w:r>
    <w:r w:rsidRPr="00621DDD">
      <w:rPr>
        <w:rFonts w:ascii="C39T30Lfz" w:hAnsi="C39T30Lfz"/>
        <w:sz w:val="56"/>
      </w:rPr>
      <w:t></w:t>
    </w:r>
    <w:r w:rsidRPr="00621DDD">
      <w:rPr>
        <w:rFonts w:ascii="C39T30Lfz" w:hAnsi="C39T30Lfz"/>
        <w:sz w:val="56"/>
      </w:rPr>
      <w:t></w:t>
    </w:r>
    <w:r w:rsidRPr="00621DDD">
      <w:rPr>
        <w:rFonts w:ascii="C39T30Lfz" w:hAnsi="C39T30Lfz"/>
        <w:sz w:val="56"/>
      </w:rPr>
      <w:t></w:t>
    </w:r>
    <w:r w:rsidRPr="00621DDD">
      <w:rPr>
        <w:rFonts w:ascii="C39T30Lfz" w:hAnsi="C39T30Lfz"/>
        <w:sz w:val="56"/>
      </w:rPr>
      <w:t></w:t>
    </w:r>
    <w:r w:rsidRPr="00621DDD">
      <w:rPr>
        <w:rFonts w:ascii="C39T30Lfz" w:hAnsi="C39T30Lfz"/>
        <w:sz w:val="56"/>
      </w:rPr>
      <w:t></w:t>
    </w:r>
    <w:r w:rsidRPr="00621DD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GRE/2018/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GRE/2018/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39" w:rsidRPr="00AC3823" w:rsidRDefault="007D58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5839" w:rsidRPr="00AC3823" w:rsidRDefault="007D58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D5839" w:rsidRPr="00AC3823" w:rsidRDefault="007D5839">
      <w:pPr>
        <w:spacing w:line="240" w:lineRule="auto"/>
        <w:rPr>
          <w:sz w:val="2"/>
          <w:szCs w:val="2"/>
        </w:rPr>
      </w:pPr>
    </w:p>
  </w:footnote>
  <w:footnote w:id="2">
    <w:p w:rsidR="00FE08F2" w:rsidRPr="00E71CA2" w:rsidRDefault="00FE08F2" w:rsidP="00FE08F2">
      <w:pPr>
        <w:pStyle w:val="FootnoteText"/>
        <w:rPr>
          <w:lang w:val="fr-FR"/>
        </w:rPr>
      </w:pPr>
      <w:r w:rsidRPr="00A90EA8">
        <w:tab/>
      </w:r>
      <w:r w:rsidRPr="00FE08F2">
        <w:rPr>
          <w:rStyle w:val="FootnoteReference"/>
          <w:sz w:val="20"/>
          <w:vertAlign w:val="baseline"/>
          <w:lang w:val="fr-FR"/>
        </w:rPr>
        <w:t>*</w:t>
      </w:r>
      <w:r w:rsidRPr="00E71CA2">
        <w:rPr>
          <w:sz w:val="20"/>
          <w:lang w:val="fr-FR"/>
        </w:rPr>
        <w:tab/>
      </w:r>
      <w:r w:rsidRPr="00FE08F2">
        <w:rPr>
          <w:spacing w:val="-2"/>
          <w:lang w:val="fr-FR"/>
        </w:rPr>
        <w:t>Conformément au programme de travail du Comité des transports intérieurs pour la période 2014-2018</w:t>
      </w:r>
      <w:r w:rsidRPr="00780858">
        <w:rPr>
          <w:lang w:val="fr-FR"/>
        </w:rPr>
        <w:t xml:space="preserve"> (ECE/TRANS/240, par.</w:t>
      </w:r>
      <w:r>
        <w:rPr>
          <w:lang w:val="fr-FR"/>
        </w:rPr>
        <w:t> </w:t>
      </w:r>
      <w:r w:rsidRPr="00780858">
        <w:rPr>
          <w:lang w:val="fr-FR"/>
        </w:rPr>
        <w:t xml:space="preserve">105, et ECE/TRANS/2014/26, </w:t>
      </w:r>
      <w:r>
        <w:rPr>
          <w:lang w:val="fr-FR"/>
        </w:rPr>
        <w:t>module</w:t>
      </w:r>
      <w:r w:rsidRPr="00780858">
        <w:rPr>
          <w:lang w:val="fr-FR"/>
        </w:rPr>
        <w:t> 02.4), le Forum mondial a pour mission d’élaborer, d’harmoniser et de mettre à jour les Règlements en vue d’améliorer les caractéristiques fonctionnelles des véhicules. Le présent document est soumis en vertu de ce mandat</w:t>
      </w:r>
      <w:r w:rsidRPr="00E71CA2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DD" w:rsidRPr="00621DDD" w:rsidRDefault="00E679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45BA">
      <w:t>ECE/TRANS/WP.29/GRE/2018/14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DD" w:rsidRPr="00621DDD" w:rsidRDefault="00E67908" w:rsidP="00621D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45BA">
      <w:t>ECE/TRANS/WP.29/GRE/2018/14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0A27"/>
    <w:rsid w:val="00370589"/>
    <w:rsid w:val="003916DE"/>
    <w:rsid w:val="003A3594"/>
    <w:rsid w:val="003A45BA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21DDD"/>
    <w:rsid w:val="00715AAE"/>
    <w:rsid w:val="0071601D"/>
    <w:rsid w:val="007A62E6"/>
    <w:rsid w:val="007B567C"/>
    <w:rsid w:val="007D5839"/>
    <w:rsid w:val="007F20FA"/>
    <w:rsid w:val="0080684C"/>
    <w:rsid w:val="00834021"/>
    <w:rsid w:val="00846567"/>
    <w:rsid w:val="00871C75"/>
    <w:rsid w:val="008776DC"/>
    <w:rsid w:val="00924E21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632F6"/>
    <w:rsid w:val="00B72FE6"/>
    <w:rsid w:val="00B765F7"/>
    <w:rsid w:val="00BA0CA9"/>
    <w:rsid w:val="00BB2206"/>
    <w:rsid w:val="00BE0C4C"/>
    <w:rsid w:val="00C02897"/>
    <w:rsid w:val="00C97039"/>
    <w:rsid w:val="00D17831"/>
    <w:rsid w:val="00D3439C"/>
    <w:rsid w:val="00DB1831"/>
    <w:rsid w:val="00DD3BFD"/>
    <w:rsid w:val="00DF6678"/>
    <w:rsid w:val="00E0299A"/>
    <w:rsid w:val="00E67908"/>
    <w:rsid w:val="00E85C74"/>
    <w:rsid w:val="00EA6547"/>
    <w:rsid w:val="00EF2E22"/>
    <w:rsid w:val="00F35BAF"/>
    <w:rsid w:val="00F660DF"/>
    <w:rsid w:val="00F94664"/>
    <w:rsid w:val="00F9573C"/>
    <w:rsid w:val="00F95C08"/>
    <w:rsid w:val="00FD1CD7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C64528-7888-478E-8F92-696FF67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, BVI fnr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E08F2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ECE/TRANS/WP.29/GRE/2018/14</vt:lpstr>
      <vt:lpstr>ECE/TRANS/WP.29/GRE/2018/14</vt:lpstr>
    </vt:vector>
  </TitlesOfParts>
  <Company>DCM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ECE/TRANS/WP.29/GRE/2018/14</dc:title>
  <dc:subject/>
  <dc:creator>Corinne ROBERT</dc:creator>
  <cp:keywords/>
  <cp:lastModifiedBy>Benedicte Boudol</cp:lastModifiedBy>
  <cp:revision>2</cp:revision>
  <cp:lastPrinted>2018-02-26T10:44:00Z</cp:lastPrinted>
  <dcterms:created xsi:type="dcterms:W3CDTF">2018-02-26T12:53:00Z</dcterms:created>
  <dcterms:modified xsi:type="dcterms:W3CDTF">2018-02-26T12:53:00Z</dcterms:modified>
</cp:coreProperties>
</file>