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530CC" w:rsidRPr="00DC1BF6" w:rsidTr="00DC1BF6">
        <w:tc>
          <w:tcPr>
            <w:tcW w:w="4785" w:type="dxa"/>
          </w:tcPr>
          <w:p w:rsidR="002C2FCA" w:rsidRDefault="00B530CC" w:rsidP="00DC1BF6">
            <w:pPr>
              <w:autoSpaceDE w:val="0"/>
              <w:autoSpaceDN w:val="0"/>
              <w:adjustRightInd w:val="0"/>
              <w:rPr>
                <w:rFonts w:ascii="Times New Roman" w:hAnsi="Times New Roman"/>
                <w:bCs/>
                <w:sz w:val="24"/>
                <w:szCs w:val="24"/>
              </w:rPr>
            </w:pPr>
            <w:r w:rsidRPr="00DE343D">
              <w:rPr>
                <w:rFonts w:ascii="Times New Roman" w:hAnsi="Times New Roman"/>
                <w:bCs/>
                <w:sz w:val="24"/>
                <w:szCs w:val="24"/>
              </w:rPr>
              <w:t xml:space="preserve">Transmitted by the </w:t>
            </w:r>
            <w:r w:rsidR="00DC1BF6">
              <w:rPr>
                <w:rFonts w:ascii="Times New Roman" w:hAnsi="Times New Roman"/>
                <w:bCs/>
                <w:sz w:val="24"/>
                <w:szCs w:val="24"/>
              </w:rPr>
              <w:br/>
            </w:r>
            <w:r w:rsidR="002C2FCA">
              <w:rPr>
                <w:rFonts w:ascii="Times New Roman" w:hAnsi="Times New Roman"/>
                <w:bCs/>
                <w:sz w:val="24"/>
                <w:szCs w:val="24"/>
              </w:rPr>
              <w:t xml:space="preserve">Co-Chairs of </w:t>
            </w:r>
            <w:r>
              <w:rPr>
                <w:rFonts w:ascii="Times New Roman" w:hAnsi="Times New Roman"/>
                <w:bCs/>
                <w:sz w:val="24"/>
                <w:szCs w:val="24"/>
              </w:rPr>
              <w:t xml:space="preserve">Informal Working </w:t>
            </w:r>
          </w:p>
          <w:p w:rsidR="00B530CC" w:rsidRPr="00DE343D" w:rsidRDefault="00B530CC" w:rsidP="00DC1BF6">
            <w:pPr>
              <w:autoSpaceDE w:val="0"/>
              <w:autoSpaceDN w:val="0"/>
              <w:adjustRightInd w:val="0"/>
              <w:rPr>
                <w:rFonts w:ascii="Times New Roman" w:hAnsi="Times New Roman"/>
                <w:bCs/>
                <w:sz w:val="24"/>
                <w:szCs w:val="24"/>
              </w:rPr>
            </w:pPr>
            <w:r>
              <w:rPr>
                <w:rFonts w:ascii="Times New Roman" w:hAnsi="Times New Roman"/>
                <w:bCs/>
                <w:sz w:val="24"/>
                <w:szCs w:val="24"/>
              </w:rPr>
              <w:t xml:space="preserve">Group on PTI </w:t>
            </w:r>
            <w:r w:rsidRPr="00DE343D">
              <w:rPr>
                <w:rFonts w:ascii="Times New Roman" w:hAnsi="Times New Roman"/>
                <w:bCs/>
                <w:sz w:val="24"/>
                <w:szCs w:val="24"/>
              </w:rPr>
              <w:t xml:space="preserve"> </w:t>
            </w:r>
          </w:p>
        </w:tc>
        <w:tc>
          <w:tcPr>
            <w:tcW w:w="4786" w:type="dxa"/>
          </w:tcPr>
          <w:p w:rsidR="00F01B5A" w:rsidRDefault="00DC1BF6" w:rsidP="00DC1BF6">
            <w:pPr>
              <w:autoSpaceDE w:val="0"/>
              <w:autoSpaceDN w:val="0"/>
              <w:adjustRightInd w:val="0"/>
              <w:rPr>
                <w:rFonts w:ascii="Times New Roman" w:hAnsi="Times New Roman"/>
                <w:b/>
                <w:bCs/>
                <w:sz w:val="24"/>
                <w:szCs w:val="24"/>
              </w:rPr>
            </w:pPr>
            <w:r w:rsidRPr="00503314">
              <w:rPr>
                <w:rFonts w:ascii="Times New Roman" w:hAnsi="Times New Roman"/>
                <w:bCs/>
                <w:sz w:val="24"/>
                <w:szCs w:val="24"/>
                <w:u w:val="single"/>
              </w:rPr>
              <w:t>Informal document</w:t>
            </w:r>
            <w:r w:rsidRPr="00503314">
              <w:rPr>
                <w:rFonts w:ascii="Times New Roman" w:hAnsi="Times New Roman"/>
                <w:bCs/>
                <w:sz w:val="24"/>
                <w:szCs w:val="24"/>
              </w:rPr>
              <w:t xml:space="preserve"> </w:t>
            </w:r>
            <w:r w:rsidRPr="00503314">
              <w:rPr>
                <w:rFonts w:ascii="Times New Roman" w:hAnsi="Times New Roman"/>
                <w:b/>
                <w:bCs/>
                <w:sz w:val="24"/>
                <w:szCs w:val="24"/>
              </w:rPr>
              <w:t>WP.29-17</w:t>
            </w:r>
            <w:r w:rsidR="00F01B5A" w:rsidRPr="00F01B5A">
              <w:rPr>
                <w:rFonts w:ascii="Times New Roman" w:hAnsi="Times New Roman"/>
                <w:b/>
                <w:bCs/>
                <w:sz w:val="24"/>
                <w:szCs w:val="24"/>
              </w:rPr>
              <w:t>5</w:t>
            </w:r>
            <w:r w:rsidRPr="00503314">
              <w:rPr>
                <w:rFonts w:ascii="Times New Roman" w:hAnsi="Times New Roman"/>
                <w:b/>
                <w:bCs/>
                <w:sz w:val="24"/>
                <w:szCs w:val="24"/>
              </w:rPr>
              <w:t>-</w:t>
            </w:r>
            <w:r w:rsidR="00AA3D65">
              <w:rPr>
                <w:rFonts w:ascii="Times New Roman" w:hAnsi="Times New Roman"/>
                <w:b/>
                <w:bCs/>
                <w:sz w:val="24"/>
                <w:szCs w:val="24"/>
              </w:rPr>
              <w:t>24</w:t>
            </w:r>
          </w:p>
          <w:p w:rsidR="00DC1BF6" w:rsidRPr="00503314" w:rsidRDefault="00DC1BF6" w:rsidP="00DC1BF6">
            <w:pPr>
              <w:autoSpaceDE w:val="0"/>
              <w:autoSpaceDN w:val="0"/>
              <w:adjustRightInd w:val="0"/>
              <w:rPr>
                <w:rFonts w:ascii="Times New Roman" w:hAnsi="Times New Roman"/>
                <w:bCs/>
                <w:sz w:val="24"/>
                <w:szCs w:val="24"/>
              </w:rPr>
            </w:pPr>
            <w:r w:rsidRPr="00503314">
              <w:rPr>
                <w:rFonts w:ascii="Times New Roman" w:hAnsi="Times New Roman"/>
                <w:bCs/>
                <w:sz w:val="24"/>
                <w:szCs w:val="24"/>
              </w:rPr>
              <w:t>17</w:t>
            </w:r>
            <w:r w:rsidR="00F01B5A">
              <w:rPr>
                <w:rFonts w:ascii="Times New Roman" w:hAnsi="Times New Roman"/>
                <w:bCs/>
                <w:sz w:val="24"/>
                <w:szCs w:val="24"/>
              </w:rPr>
              <w:t>5</w:t>
            </w:r>
            <w:r w:rsidR="00C850FC" w:rsidRPr="00503314">
              <w:rPr>
                <w:rFonts w:ascii="Times New Roman" w:hAnsi="Times New Roman"/>
                <w:bCs/>
                <w:sz w:val="24"/>
                <w:szCs w:val="24"/>
                <w:vertAlign w:val="superscript"/>
              </w:rPr>
              <w:t>th</w:t>
            </w:r>
            <w:r w:rsidRPr="00503314">
              <w:rPr>
                <w:rFonts w:ascii="Times New Roman" w:hAnsi="Times New Roman"/>
                <w:bCs/>
                <w:sz w:val="24"/>
                <w:szCs w:val="24"/>
              </w:rPr>
              <w:t xml:space="preserve"> WP.29, </w:t>
            </w:r>
            <w:r w:rsidR="00DB1477" w:rsidRPr="00DB1477">
              <w:rPr>
                <w:rFonts w:ascii="Times New Roman" w:hAnsi="Times New Roman"/>
                <w:bCs/>
                <w:sz w:val="24"/>
                <w:szCs w:val="24"/>
              </w:rPr>
              <w:t>1</w:t>
            </w:r>
            <w:r w:rsidR="00F01B5A">
              <w:rPr>
                <w:rFonts w:ascii="Times New Roman" w:hAnsi="Times New Roman"/>
                <w:bCs/>
                <w:sz w:val="24"/>
                <w:szCs w:val="24"/>
              </w:rPr>
              <w:t>9</w:t>
            </w:r>
            <w:r w:rsidRPr="00503314">
              <w:rPr>
                <w:rFonts w:ascii="Times New Roman" w:hAnsi="Times New Roman"/>
                <w:bCs/>
                <w:sz w:val="24"/>
                <w:szCs w:val="24"/>
              </w:rPr>
              <w:t>-</w:t>
            </w:r>
            <w:r w:rsidR="00F01B5A">
              <w:rPr>
                <w:rFonts w:ascii="Times New Roman" w:hAnsi="Times New Roman"/>
                <w:bCs/>
                <w:sz w:val="24"/>
                <w:szCs w:val="24"/>
              </w:rPr>
              <w:t>22</w:t>
            </w:r>
            <w:r w:rsidR="00DB1477" w:rsidRPr="00503314">
              <w:rPr>
                <w:rFonts w:ascii="Times New Roman" w:hAnsi="Times New Roman"/>
                <w:bCs/>
                <w:sz w:val="24"/>
                <w:szCs w:val="24"/>
              </w:rPr>
              <w:t xml:space="preserve"> </w:t>
            </w:r>
            <w:r w:rsidR="00F01B5A">
              <w:rPr>
                <w:rFonts w:ascii="Times New Roman" w:hAnsi="Times New Roman"/>
                <w:bCs/>
                <w:sz w:val="24"/>
                <w:szCs w:val="24"/>
              </w:rPr>
              <w:t>June</w:t>
            </w:r>
            <w:r w:rsidRPr="00503314">
              <w:rPr>
                <w:rFonts w:ascii="Times New Roman" w:hAnsi="Times New Roman"/>
                <w:bCs/>
                <w:sz w:val="24"/>
                <w:szCs w:val="24"/>
              </w:rPr>
              <w:t xml:space="preserve"> 201</w:t>
            </w:r>
            <w:r w:rsidR="00C850FC" w:rsidRPr="00503314">
              <w:rPr>
                <w:rFonts w:ascii="Times New Roman" w:hAnsi="Times New Roman"/>
                <w:bCs/>
                <w:sz w:val="24"/>
                <w:szCs w:val="24"/>
              </w:rPr>
              <w:t>8</w:t>
            </w:r>
          </w:p>
          <w:p w:rsidR="00DC1BF6" w:rsidRPr="00DC1BF6" w:rsidRDefault="00DC1BF6" w:rsidP="00DC1BF6">
            <w:pPr>
              <w:autoSpaceDE w:val="0"/>
              <w:autoSpaceDN w:val="0"/>
              <w:adjustRightInd w:val="0"/>
              <w:rPr>
                <w:rFonts w:ascii="Times New Roman" w:hAnsi="Times New Roman"/>
                <w:b/>
                <w:bCs/>
                <w:sz w:val="24"/>
                <w:szCs w:val="24"/>
                <w:lang w:val="fr-CH"/>
              </w:rPr>
            </w:pPr>
            <w:r w:rsidRPr="00DC1BF6">
              <w:rPr>
                <w:rFonts w:ascii="Times New Roman" w:hAnsi="Times New Roman"/>
                <w:bCs/>
                <w:sz w:val="24"/>
                <w:szCs w:val="24"/>
                <w:lang w:val="fr-CH"/>
              </w:rPr>
              <w:t xml:space="preserve">Agenda item </w:t>
            </w:r>
            <w:r>
              <w:rPr>
                <w:rFonts w:ascii="Times New Roman" w:hAnsi="Times New Roman"/>
                <w:bCs/>
                <w:sz w:val="24"/>
                <w:szCs w:val="24"/>
                <w:lang w:val="fr-CH"/>
              </w:rPr>
              <w:t>7</w:t>
            </w:r>
            <w:r w:rsidR="00AA3D65">
              <w:rPr>
                <w:rFonts w:ascii="Times New Roman" w:hAnsi="Times New Roman"/>
                <w:bCs/>
                <w:sz w:val="24"/>
                <w:szCs w:val="24"/>
                <w:lang w:val="fr-CH"/>
              </w:rPr>
              <w:t>.1</w:t>
            </w:r>
          </w:p>
        </w:tc>
      </w:tr>
    </w:tbl>
    <w:p w:rsidR="00014134" w:rsidRPr="00DC1BF6" w:rsidRDefault="00014134" w:rsidP="00016529">
      <w:pPr>
        <w:pStyle w:val="HChG"/>
        <w:rPr>
          <w:lang w:val="fr-CH"/>
        </w:rPr>
      </w:pPr>
    </w:p>
    <w:p w:rsidR="009B76AA" w:rsidRPr="008A118A" w:rsidRDefault="009B76AA" w:rsidP="00B530CC">
      <w:pPr>
        <w:pStyle w:val="HChG"/>
        <w:jc w:val="center"/>
      </w:pPr>
      <w:r w:rsidRPr="008A118A">
        <w:t xml:space="preserve">Report to WP.29 </w:t>
      </w:r>
      <w:r w:rsidR="003D7634" w:rsidRPr="008A118A">
        <w:t xml:space="preserve">about results of </w:t>
      </w:r>
      <w:r w:rsidR="003B25EC">
        <w:t xml:space="preserve">the </w:t>
      </w:r>
      <w:r w:rsidR="00C850FC">
        <w:t>1</w:t>
      </w:r>
      <w:r w:rsidR="00F01B5A">
        <w:t>1</w:t>
      </w:r>
      <w:r w:rsidRPr="008A118A">
        <w:rPr>
          <w:vertAlign w:val="superscript"/>
        </w:rPr>
        <w:t>th</w:t>
      </w:r>
      <w:r w:rsidRPr="008A118A">
        <w:t xml:space="preserve"> </w:t>
      </w:r>
      <w:r w:rsidR="003D7634" w:rsidRPr="008A118A">
        <w:t>meeting of Informal Group on Periodical Technical Inspections</w:t>
      </w:r>
    </w:p>
    <w:p w:rsidR="00B72F06" w:rsidRDefault="003B25EC" w:rsidP="00B72F06">
      <w:pPr>
        <w:pStyle w:val="SingleTxtG"/>
        <w:ind w:left="0" w:firstLine="675"/>
        <w:rPr>
          <w:rFonts w:cs="Arial"/>
          <w:color w:val="585858"/>
          <w:lang w:val="en"/>
        </w:rPr>
      </w:pPr>
      <w:r w:rsidRPr="00CD2FAD">
        <w:rPr>
          <w:sz w:val="24"/>
          <w:szCs w:val="24"/>
        </w:rPr>
        <w:t xml:space="preserve">The </w:t>
      </w:r>
      <w:r w:rsidR="00C850FC" w:rsidRPr="00CD2FAD">
        <w:rPr>
          <w:sz w:val="24"/>
          <w:szCs w:val="24"/>
        </w:rPr>
        <w:t>1</w:t>
      </w:r>
      <w:r w:rsidR="00F01B5A" w:rsidRPr="00CD2FAD">
        <w:rPr>
          <w:sz w:val="24"/>
          <w:szCs w:val="24"/>
          <w:lang w:val="en-US"/>
        </w:rPr>
        <w:t>1</w:t>
      </w:r>
      <w:proofErr w:type="spellStart"/>
      <w:r w:rsidR="003A2E93" w:rsidRPr="00CD2FAD">
        <w:rPr>
          <w:sz w:val="24"/>
          <w:szCs w:val="24"/>
          <w:vertAlign w:val="superscript"/>
        </w:rPr>
        <w:t>th</w:t>
      </w:r>
      <w:proofErr w:type="spellEnd"/>
      <w:r w:rsidR="003A2E93" w:rsidRPr="00CD2FAD">
        <w:rPr>
          <w:sz w:val="24"/>
          <w:szCs w:val="24"/>
        </w:rPr>
        <w:t xml:space="preserve"> IWG on PTI meeting was arranged with support of </w:t>
      </w:r>
      <w:r w:rsidR="006A4085" w:rsidRPr="00CD2FAD">
        <w:rPr>
          <w:sz w:val="24"/>
          <w:szCs w:val="24"/>
        </w:rPr>
        <w:t>I</w:t>
      </w:r>
      <w:r w:rsidR="006A4085" w:rsidRPr="00CD2FAD">
        <w:rPr>
          <w:rStyle w:val="Strong"/>
          <w:rFonts w:cs="Helvetica"/>
          <w:b w:val="0"/>
          <w:sz w:val="24"/>
          <w:szCs w:val="24"/>
          <w:lang w:val="en-GB"/>
        </w:rPr>
        <w:t xml:space="preserve">nternational </w:t>
      </w:r>
      <w:r w:rsidR="008630E1">
        <w:rPr>
          <w:rStyle w:val="Strong"/>
          <w:rFonts w:cs="Helvetica"/>
          <w:b w:val="0"/>
          <w:sz w:val="24"/>
          <w:szCs w:val="24"/>
          <w:lang w:val="en-GB"/>
        </w:rPr>
        <w:t>Organisation of Motor V</w:t>
      </w:r>
      <w:r w:rsidR="006A4085" w:rsidRPr="00CD2FAD">
        <w:rPr>
          <w:rStyle w:val="Strong"/>
          <w:rFonts w:cs="Helvetica"/>
          <w:b w:val="0"/>
          <w:sz w:val="24"/>
          <w:szCs w:val="24"/>
          <w:lang w:val="en-GB"/>
        </w:rPr>
        <w:t xml:space="preserve">ehicle </w:t>
      </w:r>
      <w:r w:rsidR="008630E1">
        <w:rPr>
          <w:rStyle w:val="Strong"/>
          <w:rFonts w:cs="Helvetica"/>
          <w:b w:val="0"/>
          <w:sz w:val="24"/>
          <w:szCs w:val="24"/>
          <w:lang w:val="en-GB"/>
        </w:rPr>
        <w:t>Manufacturers</w:t>
      </w:r>
      <w:r w:rsidR="000D580F" w:rsidRPr="00CD2FAD">
        <w:rPr>
          <w:color w:val="000000"/>
          <w:sz w:val="24"/>
          <w:szCs w:val="24"/>
        </w:rPr>
        <w:t xml:space="preserve"> </w:t>
      </w:r>
      <w:r w:rsidR="00014134" w:rsidRPr="00CD2FAD">
        <w:rPr>
          <w:color w:val="000000"/>
          <w:sz w:val="24"/>
          <w:szCs w:val="24"/>
        </w:rPr>
        <w:t>(</w:t>
      </w:r>
      <w:r w:rsidR="00CD2FAD" w:rsidRPr="00CD2FAD">
        <w:rPr>
          <w:color w:val="000000"/>
          <w:sz w:val="24"/>
          <w:szCs w:val="24"/>
          <w:lang w:val="en-US"/>
        </w:rPr>
        <w:t>O</w:t>
      </w:r>
      <w:r w:rsidR="006A4085" w:rsidRPr="00CD2FAD">
        <w:rPr>
          <w:color w:val="000000"/>
          <w:sz w:val="24"/>
          <w:szCs w:val="24"/>
        </w:rPr>
        <w:t>I</w:t>
      </w:r>
      <w:r w:rsidR="00CD2FAD" w:rsidRPr="00CD2FAD">
        <w:rPr>
          <w:color w:val="000000"/>
          <w:sz w:val="24"/>
          <w:szCs w:val="24"/>
          <w:lang w:val="en-US"/>
        </w:rPr>
        <w:t>C</w:t>
      </w:r>
      <w:r w:rsidR="006A4085" w:rsidRPr="00CD2FAD">
        <w:rPr>
          <w:color w:val="000000"/>
          <w:sz w:val="24"/>
          <w:szCs w:val="24"/>
        </w:rPr>
        <w:t>A</w:t>
      </w:r>
      <w:r w:rsidR="00014134" w:rsidRPr="00CD2FAD">
        <w:rPr>
          <w:color w:val="000000"/>
          <w:sz w:val="24"/>
          <w:szCs w:val="24"/>
        </w:rPr>
        <w:t xml:space="preserve">) </w:t>
      </w:r>
      <w:r w:rsidR="003A2E93" w:rsidRPr="00CD2FAD">
        <w:rPr>
          <w:sz w:val="24"/>
          <w:szCs w:val="24"/>
          <w:lang w:val="en-GB"/>
        </w:rPr>
        <w:t xml:space="preserve">and held on </w:t>
      </w:r>
      <w:r w:rsidR="00CD2FAD" w:rsidRPr="00CD2FAD">
        <w:rPr>
          <w:sz w:val="24"/>
          <w:szCs w:val="24"/>
          <w:lang w:val="en-US"/>
        </w:rPr>
        <w:t>6</w:t>
      </w:r>
      <w:r w:rsidR="003A2E93" w:rsidRPr="00CD2FAD">
        <w:rPr>
          <w:sz w:val="24"/>
          <w:szCs w:val="24"/>
          <w:lang w:val="en-GB"/>
        </w:rPr>
        <w:t xml:space="preserve"> </w:t>
      </w:r>
      <w:r w:rsidR="00CD2FAD" w:rsidRPr="00CD2FAD">
        <w:rPr>
          <w:sz w:val="24"/>
          <w:szCs w:val="24"/>
          <w:lang w:val="en-US"/>
        </w:rPr>
        <w:t>June</w:t>
      </w:r>
      <w:r w:rsidR="003A2E93" w:rsidRPr="00CD2FAD">
        <w:rPr>
          <w:sz w:val="24"/>
          <w:szCs w:val="24"/>
          <w:lang w:val="en-GB"/>
        </w:rPr>
        <w:t xml:space="preserve"> 201</w:t>
      </w:r>
      <w:r w:rsidR="00C850FC" w:rsidRPr="00CD2FAD">
        <w:rPr>
          <w:sz w:val="24"/>
          <w:szCs w:val="24"/>
          <w:lang w:val="en-GB"/>
        </w:rPr>
        <w:t>8</w:t>
      </w:r>
      <w:r w:rsidR="003A2E93" w:rsidRPr="00CD2FAD">
        <w:rPr>
          <w:sz w:val="24"/>
          <w:szCs w:val="24"/>
          <w:lang w:val="en-GB"/>
        </w:rPr>
        <w:t xml:space="preserve"> in </w:t>
      </w:r>
      <w:proofErr w:type="spellStart"/>
      <w:r w:rsidR="00CD2FAD" w:rsidRPr="00CD2FAD">
        <w:rPr>
          <w:sz w:val="24"/>
          <w:szCs w:val="24"/>
          <w:lang w:val="en-US"/>
        </w:rPr>
        <w:t>Pari</w:t>
      </w:r>
      <w:proofErr w:type="spellEnd"/>
      <w:r w:rsidR="00DB1477" w:rsidRPr="00CD2FAD">
        <w:rPr>
          <w:sz w:val="24"/>
          <w:szCs w:val="24"/>
          <w:lang w:val="en-GB"/>
        </w:rPr>
        <w:t>s</w:t>
      </w:r>
      <w:r w:rsidR="006A4085" w:rsidRPr="00CD2FAD">
        <w:rPr>
          <w:sz w:val="24"/>
          <w:szCs w:val="24"/>
          <w:lang w:val="en-GB"/>
        </w:rPr>
        <w:t xml:space="preserve"> (</w:t>
      </w:r>
      <w:r w:rsidR="00CD2FAD" w:rsidRPr="00CD2FAD">
        <w:rPr>
          <w:sz w:val="24"/>
          <w:szCs w:val="24"/>
          <w:lang w:val="en-GB"/>
        </w:rPr>
        <w:t>France</w:t>
      </w:r>
      <w:r w:rsidR="006A4085" w:rsidRPr="00CD2FAD">
        <w:rPr>
          <w:sz w:val="24"/>
          <w:szCs w:val="24"/>
          <w:lang w:val="en-GB"/>
        </w:rPr>
        <w:t>)</w:t>
      </w:r>
      <w:r w:rsidR="003A2E93" w:rsidRPr="00CD2FAD">
        <w:rPr>
          <w:sz w:val="24"/>
          <w:szCs w:val="24"/>
          <w:lang w:val="en-GB"/>
        </w:rPr>
        <w:t>.</w:t>
      </w:r>
      <w:r w:rsidR="008630E1" w:rsidRPr="008630E1">
        <w:rPr>
          <w:rFonts w:cs="Arial"/>
          <w:color w:val="585858"/>
          <w:lang w:val="en"/>
        </w:rPr>
        <w:t xml:space="preserve"> </w:t>
      </w:r>
    </w:p>
    <w:p w:rsidR="00CD2FAD" w:rsidRPr="00CD2FAD" w:rsidRDefault="00B72F06" w:rsidP="00B72F06">
      <w:pPr>
        <w:pStyle w:val="SingleTxtG"/>
        <w:ind w:left="0" w:firstLine="675"/>
        <w:rPr>
          <w:b/>
          <w:sz w:val="24"/>
          <w:szCs w:val="24"/>
        </w:rPr>
      </w:pPr>
      <w:r w:rsidRPr="00B72F06">
        <w:rPr>
          <w:rFonts w:cs="Arial"/>
          <w:b/>
          <w:color w:val="585858"/>
          <w:sz w:val="24"/>
          <w:szCs w:val="24"/>
          <w:lang w:val="en"/>
        </w:rPr>
        <w:t>1.</w:t>
      </w:r>
      <w:r>
        <w:rPr>
          <w:rFonts w:cs="Arial"/>
          <w:color w:val="585858"/>
          <w:sz w:val="24"/>
          <w:szCs w:val="24"/>
          <w:lang w:val="en"/>
        </w:rPr>
        <w:t xml:space="preserve"> </w:t>
      </w:r>
      <w:r w:rsidR="00CD2FAD" w:rsidRPr="00CD2FAD">
        <w:rPr>
          <w:b/>
          <w:sz w:val="24"/>
          <w:szCs w:val="24"/>
        </w:rPr>
        <w:t>The updated Terms of Reference</w:t>
      </w:r>
    </w:p>
    <w:p w:rsidR="00F746B8" w:rsidRDefault="00B72F06" w:rsidP="00F746B8">
      <w:pPr>
        <w:pStyle w:val="SingleTxtG"/>
        <w:tabs>
          <w:tab w:val="right" w:pos="709"/>
        </w:tabs>
        <w:suppressAutoHyphens w:val="0"/>
        <w:ind w:left="0" w:right="1041"/>
        <w:rPr>
          <w:sz w:val="24"/>
          <w:szCs w:val="24"/>
          <w:lang w:val="en-US"/>
        </w:rPr>
      </w:pPr>
      <w:r>
        <w:rPr>
          <w:sz w:val="24"/>
          <w:szCs w:val="24"/>
          <w:lang w:val="en-US"/>
        </w:rPr>
        <w:tab/>
        <w:t xml:space="preserve">           </w:t>
      </w:r>
      <w:r w:rsidR="00CD2FAD" w:rsidRPr="00CD2FAD">
        <w:rPr>
          <w:sz w:val="24"/>
          <w:szCs w:val="24"/>
          <w:lang w:val="en-US"/>
        </w:rPr>
        <w:t>T</w:t>
      </w:r>
      <w:r w:rsidR="00CD2FAD" w:rsidRPr="00CD2FAD">
        <w:rPr>
          <w:sz w:val="24"/>
          <w:szCs w:val="24"/>
        </w:rPr>
        <w:t>he draft revised Terms of Reference (</w:t>
      </w:r>
      <w:proofErr w:type="spellStart"/>
      <w:r w:rsidR="00CD2FAD" w:rsidRPr="00CD2FAD">
        <w:rPr>
          <w:sz w:val="24"/>
          <w:szCs w:val="24"/>
        </w:rPr>
        <w:t>ToR</w:t>
      </w:r>
      <w:proofErr w:type="spellEnd"/>
      <w:r w:rsidR="00CD2FAD" w:rsidRPr="00CD2FAD">
        <w:rPr>
          <w:sz w:val="24"/>
          <w:szCs w:val="24"/>
        </w:rPr>
        <w:t>) for the IWG on PTI</w:t>
      </w:r>
      <w:r w:rsidR="00CD2FAD" w:rsidRPr="00CD2FAD">
        <w:rPr>
          <w:sz w:val="24"/>
          <w:szCs w:val="24"/>
          <w:lang w:val="en-US"/>
        </w:rPr>
        <w:t xml:space="preserve"> was </w:t>
      </w:r>
      <w:r w:rsidR="00CD2FAD" w:rsidRPr="00CD2FAD">
        <w:rPr>
          <w:sz w:val="24"/>
          <w:szCs w:val="24"/>
        </w:rPr>
        <w:t>presented</w:t>
      </w:r>
      <w:r w:rsidR="00CD2FAD" w:rsidRPr="00CD2FAD">
        <w:rPr>
          <w:sz w:val="24"/>
          <w:szCs w:val="24"/>
          <w:lang w:val="en-US"/>
        </w:rPr>
        <w:t xml:space="preserve"> at the 174</w:t>
      </w:r>
      <w:r w:rsidR="00CD2FAD" w:rsidRPr="00CD2FAD">
        <w:rPr>
          <w:sz w:val="24"/>
          <w:szCs w:val="24"/>
          <w:vertAlign w:val="superscript"/>
          <w:lang w:val="en-US"/>
        </w:rPr>
        <w:t>th</w:t>
      </w:r>
      <w:r w:rsidR="00CD2FAD" w:rsidRPr="00CD2FAD">
        <w:rPr>
          <w:sz w:val="24"/>
          <w:szCs w:val="24"/>
          <w:lang w:val="en-US"/>
        </w:rPr>
        <w:t xml:space="preserve"> session of WP.29</w:t>
      </w:r>
      <w:r w:rsidR="00CD2FAD" w:rsidRPr="00CD2FAD">
        <w:rPr>
          <w:sz w:val="24"/>
          <w:szCs w:val="24"/>
        </w:rPr>
        <w:t xml:space="preserve"> (WP.29-174-07). As these </w:t>
      </w:r>
      <w:proofErr w:type="spellStart"/>
      <w:r w:rsidR="00CD2FAD" w:rsidRPr="00CD2FAD">
        <w:rPr>
          <w:sz w:val="24"/>
          <w:szCs w:val="24"/>
        </w:rPr>
        <w:t>ToR</w:t>
      </w:r>
      <w:proofErr w:type="spellEnd"/>
      <w:r w:rsidR="00CD2FAD" w:rsidRPr="00CD2FAD">
        <w:rPr>
          <w:sz w:val="24"/>
          <w:szCs w:val="24"/>
        </w:rPr>
        <w:t xml:space="preserve"> contained several provisions that have been scrutinised by the representatives from Sweden, United Kingdom and OICA, WP.29 referred the document back to the IWG on PTI for further development. A revised version was expected for consideration and potential adoption at the June 2018 session.</w:t>
      </w:r>
    </w:p>
    <w:p w:rsidR="00D10248" w:rsidRDefault="003A1A5A" w:rsidP="00F746B8">
      <w:pPr>
        <w:pStyle w:val="SingleTxtG"/>
        <w:tabs>
          <w:tab w:val="right" w:pos="709"/>
        </w:tabs>
        <w:suppressAutoHyphens w:val="0"/>
        <w:ind w:left="0" w:right="1041"/>
        <w:rPr>
          <w:sz w:val="24"/>
          <w:szCs w:val="24"/>
          <w:lang w:val="en-GB"/>
        </w:rPr>
      </w:pPr>
      <w:r>
        <w:rPr>
          <w:sz w:val="24"/>
          <w:szCs w:val="24"/>
          <w:lang w:val="en-US"/>
        </w:rPr>
        <w:tab/>
        <w:t xml:space="preserve">            </w:t>
      </w:r>
      <w:r w:rsidR="00F746B8" w:rsidRPr="003A1A5A">
        <w:rPr>
          <w:sz w:val="24"/>
          <w:szCs w:val="24"/>
          <w:lang w:val="en-US"/>
        </w:rPr>
        <w:t xml:space="preserve">The group </w:t>
      </w:r>
      <w:r w:rsidRPr="003A1A5A">
        <w:rPr>
          <w:sz w:val="24"/>
          <w:szCs w:val="24"/>
          <w:lang w:val="en-GB"/>
        </w:rPr>
        <w:t>reviewed the document WP.29-174-07 with the comments made by OICA</w:t>
      </w:r>
      <w:r>
        <w:rPr>
          <w:sz w:val="24"/>
          <w:szCs w:val="24"/>
          <w:lang w:val="en-GB"/>
        </w:rPr>
        <w:t>.</w:t>
      </w:r>
    </w:p>
    <w:p w:rsidR="00D10248" w:rsidRPr="00D10248" w:rsidRDefault="00D10248" w:rsidP="00F746B8">
      <w:pPr>
        <w:pStyle w:val="SingleTxtG"/>
        <w:tabs>
          <w:tab w:val="right" w:pos="709"/>
        </w:tabs>
        <w:suppressAutoHyphens w:val="0"/>
        <w:ind w:left="0" w:right="1041"/>
        <w:rPr>
          <w:sz w:val="24"/>
          <w:szCs w:val="24"/>
          <w:lang w:val="en-US"/>
        </w:rPr>
      </w:pPr>
      <w:r>
        <w:rPr>
          <w:sz w:val="24"/>
          <w:szCs w:val="24"/>
          <w:lang w:val="en-GB"/>
        </w:rPr>
        <w:tab/>
        <w:t xml:space="preserve">             It was clarified and agreed that the IWG on PTI deals with in service compliance of vehicles, their systems and components. </w:t>
      </w:r>
      <w:r w:rsidRPr="00D10248">
        <w:rPr>
          <w:sz w:val="24"/>
          <w:szCs w:val="24"/>
        </w:rPr>
        <w:t>In-service compliance includes certain requirements that are laid down by type-approval requirements at the date of first registration or first entry into service as well as retrofitting obligations or national legislation</w:t>
      </w:r>
      <w:r>
        <w:rPr>
          <w:sz w:val="24"/>
          <w:szCs w:val="24"/>
          <w:lang w:val="en-US"/>
        </w:rPr>
        <w:t>.</w:t>
      </w:r>
    </w:p>
    <w:p w:rsidR="003A1A5A" w:rsidRDefault="00F746B8" w:rsidP="00F746B8">
      <w:pPr>
        <w:pStyle w:val="SingleTxtG"/>
        <w:tabs>
          <w:tab w:val="right" w:pos="709"/>
        </w:tabs>
        <w:suppressAutoHyphens w:val="0"/>
        <w:ind w:left="0" w:right="1041"/>
        <w:rPr>
          <w:sz w:val="24"/>
          <w:szCs w:val="24"/>
          <w:lang w:val="en-US"/>
        </w:rPr>
      </w:pPr>
      <w:r>
        <w:rPr>
          <w:sz w:val="24"/>
          <w:szCs w:val="24"/>
          <w:lang w:val="en-US"/>
        </w:rPr>
        <w:tab/>
        <w:t xml:space="preserve">          </w:t>
      </w:r>
      <w:r w:rsidR="00D10248">
        <w:rPr>
          <w:sz w:val="24"/>
          <w:szCs w:val="24"/>
          <w:lang w:val="en-US"/>
        </w:rPr>
        <w:t xml:space="preserve">   </w:t>
      </w:r>
      <w:r w:rsidR="003A1A5A">
        <w:rPr>
          <w:sz w:val="24"/>
          <w:szCs w:val="24"/>
          <w:lang w:val="en-US"/>
        </w:rPr>
        <w:t>It was agreed that:</w:t>
      </w:r>
    </w:p>
    <w:p w:rsidR="003A1A5A" w:rsidRDefault="00D10248" w:rsidP="003A1A5A">
      <w:pPr>
        <w:pStyle w:val="SingleTxtG"/>
        <w:numPr>
          <w:ilvl w:val="0"/>
          <w:numId w:val="17"/>
        </w:numPr>
        <w:tabs>
          <w:tab w:val="right" w:pos="709"/>
        </w:tabs>
        <w:suppressAutoHyphens w:val="0"/>
        <w:ind w:right="1041"/>
        <w:rPr>
          <w:sz w:val="24"/>
          <w:szCs w:val="24"/>
          <w:lang w:val="en-GB"/>
        </w:rPr>
      </w:pPr>
      <w:r>
        <w:rPr>
          <w:sz w:val="24"/>
          <w:szCs w:val="24"/>
          <w:lang w:val="en-GB"/>
        </w:rPr>
        <w:t xml:space="preserve"> </w:t>
      </w:r>
      <w:r w:rsidR="00F746B8">
        <w:rPr>
          <w:sz w:val="24"/>
          <w:szCs w:val="24"/>
          <w:lang w:val="en-GB"/>
        </w:rPr>
        <w:t>UN</w:t>
      </w:r>
      <w:r w:rsidR="00F746B8" w:rsidRPr="00F746B8">
        <w:rPr>
          <w:sz w:val="24"/>
          <w:szCs w:val="24"/>
          <w:lang w:val="en-GB"/>
        </w:rPr>
        <w:t xml:space="preserve"> </w:t>
      </w:r>
      <w:r w:rsidR="00F746B8">
        <w:rPr>
          <w:sz w:val="24"/>
          <w:szCs w:val="24"/>
          <w:lang w:val="en-GB"/>
        </w:rPr>
        <w:t>R</w:t>
      </w:r>
      <w:r w:rsidR="00F746B8" w:rsidRPr="00F746B8">
        <w:rPr>
          <w:sz w:val="24"/>
          <w:szCs w:val="24"/>
          <w:lang w:val="en-GB"/>
        </w:rPr>
        <w:t xml:space="preserve">egulations developed by the respective working parties </w:t>
      </w:r>
      <w:r w:rsidR="00F746B8">
        <w:rPr>
          <w:sz w:val="24"/>
          <w:szCs w:val="24"/>
          <w:lang w:val="en-GB"/>
        </w:rPr>
        <w:t>(</w:t>
      </w:r>
      <w:r w:rsidR="00F746B8" w:rsidRPr="00F746B8">
        <w:rPr>
          <w:sz w:val="24"/>
          <w:szCs w:val="24"/>
          <w:lang w:val="en-GB"/>
        </w:rPr>
        <w:t>GR</w:t>
      </w:r>
      <w:r w:rsidR="00F746B8">
        <w:rPr>
          <w:sz w:val="24"/>
          <w:szCs w:val="24"/>
          <w:lang w:val="en-GB"/>
        </w:rPr>
        <w:t xml:space="preserve">) </w:t>
      </w:r>
      <w:r w:rsidR="00F746B8" w:rsidRPr="00F746B8">
        <w:rPr>
          <w:sz w:val="24"/>
          <w:szCs w:val="24"/>
          <w:lang w:val="en-GB"/>
        </w:rPr>
        <w:t xml:space="preserve"> may indeed foresee technical means to enable PTI assessment of the safety and environmental performance of vehicles in use, and this should allow PTI fulfil its role at a reasonable cost, well balanced with the expected sa</w:t>
      </w:r>
      <w:r w:rsidR="003A1A5A">
        <w:rPr>
          <w:sz w:val="24"/>
          <w:szCs w:val="24"/>
          <w:lang w:val="en-GB"/>
        </w:rPr>
        <w:t>fety and environmental benefits;</w:t>
      </w:r>
    </w:p>
    <w:p w:rsidR="003A1A5A" w:rsidRPr="003A1A5A" w:rsidRDefault="00D10248" w:rsidP="003A1A5A">
      <w:pPr>
        <w:pStyle w:val="SingleTxtG"/>
        <w:numPr>
          <w:ilvl w:val="0"/>
          <w:numId w:val="17"/>
        </w:numPr>
        <w:tabs>
          <w:tab w:val="right" w:pos="709"/>
        </w:tabs>
        <w:suppressAutoHyphens w:val="0"/>
        <w:ind w:right="1041"/>
        <w:rPr>
          <w:sz w:val="24"/>
          <w:szCs w:val="24"/>
          <w:lang w:val="en-GB"/>
        </w:rPr>
      </w:pPr>
      <w:r>
        <w:rPr>
          <w:sz w:val="24"/>
          <w:szCs w:val="24"/>
          <w:lang w:val="en-GB"/>
        </w:rPr>
        <w:t xml:space="preserve">  </w:t>
      </w:r>
      <w:r w:rsidR="003A1A5A" w:rsidRPr="003A1A5A">
        <w:rPr>
          <w:sz w:val="24"/>
          <w:szCs w:val="24"/>
          <w:lang w:val="en-GB"/>
        </w:rPr>
        <w:t>development of future options for in service compliance enforcement requires particular attention to:</w:t>
      </w:r>
    </w:p>
    <w:p w:rsidR="003A1A5A" w:rsidRDefault="003A1A5A" w:rsidP="003A1A5A">
      <w:pPr>
        <w:pStyle w:val="ListParagraph"/>
        <w:numPr>
          <w:ilvl w:val="1"/>
          <w:numId w:val="17"/>
        </w:numPr>
        <w:autoSpaceDE w:val="0"/>
        <w:autoSpaceDN w:val="0"/>
        <w:adjustRightInd w:val="0"/>
        <w:spacing w:line="240" w:lineRule="auto"/>
        <w:ind w:leftChars="0"/>
        <w:jc w:val="both"/>
        <w:rPr>
          <w:sz w:val="24"/>
          <w:szCs w:val="24"/>
          <w:lang w:val="en-GB"/>
        </w:rPr>
      </w:pPr>
      <w:r w:rsidRPr="00606BE5">
        <w:rPr>
          <w:sz w:val="24"/>
          <w:szCs w:val="24"/>
          <w:lang w:val="en-GB"/>
        </w:rPr>
        <w:t xml:space="preserve">measures to ensure in </w:t>
      </w:r>
      <w:r>
        <w:rPr>
          <w:sz w:val="24"/>
          <w:szCs w:val="24"/>
          <w:lang w:val="en-GB"/>
        </w:rPr>
        <w:t>service</w:t>
      </w:r>
      <w:r w:rsidRPr="00606BE5">
        <w:rPr>
          <w:sz w:val="24"/>
          <w:szCs w:val="24"/>
          <w:lang w:val="en-GB"/>
        </w:rPr>
        <w:t xml:space="preserve"> compliance of vehicles or their systems and components, including those that are type approved under the UN Regulations, attached to the 1958</w:t>
      </w:r>
      <w:r>
        <w:rPr>
          <w:sz w:val="24"/>
          <w:szCs w:val="24"/>
          <w:lang w:val="en-GB"/>
        </w:rPr>
        <w:t xml:space="preserve"> and 1998</w:t>
      </w:r>
      <w:r w:rsidRPr="00606BE5">
        <w:rPr>
          <w:sz w:val="24"/>
          <w:szCs w:val="24"/>
          <w:lang w:val="en-GB"/>
        </w:rPr>
        <w:t xml:space="preserve"> Geneva Agreement</w:t>
      </w:r>
      <w:r>
        <w:rPr>
          <w:sz w:val="24"/>
          <w:szCs w:val="24"/>
          <w:lang w:val="en-GB"/>
        </w:rPr>
        <w:t>s</w:t>
      </w:r>
      <w:r w:rsidRPr="00606BE5">
        <w:rPr>
          <w:sz w:val="24"/>
          <w:szCs w:val="24"/>
          <w:lang w:val="en-GB"/>
        </w:rPr>
        <w:t>, as appropriate</w:t>
      </w:r>
      <w:r>
        <w:rPr>
          <w:sz w:val="24"/>
          <w:szCs w:val="24"/>
          <w:lang w:val="en-GB"/>
        </w:rPr>
        <w:t>;</w:t>
      </w:r>
    </w:p>
    <w:p w:rsidR="003A1A5A" w:rsidRDefault="003A1A5A" w:rsidP="003A1A5A">
      <w:pPr>
        <w:pStyle w:val="ListParagraph"/>
        <w:numPr>
          <w:ilvl w:val="1"/>
          <w:numId w:val="17"/>
        </w:numPr>
        <w:autoSpaceDE w:val="0"/>
        <w:autoSpaceDN w:val="0"/>
        <w:adjustRightInd w:val="0"/>
        <w:spacing w:line="240" w:lineRule="auto"/>
        <w:ind w:leftChars="0"/>
        <w:jc w:val="both"/>
        <w:rPr>
          <w:sz w:val="24"/>
          <w:szCs w:val="24"/>
          <w:lang w:val="en-GB"/>
        </w:rPr>
      </w:pPr>
      <w:r>
        <w:rPr>
          <w:sz w:val="24"/>
          <w:szCs w:val="24"/>
          <w:lang w:val="en-GB"/>
        </w:rPr>
        <w:t>w</w:t>
      </w:r>
      <w:r w:rsidRPr="00606BE5">
        <w:rPr>
          <w:sz w:val="24"/>
          <w:szCs w:val="24"/>
          <w:lang w:val="en-GB"/>
        </w:rPr>
        <w:t>hen necessary, to develop relevant requirements for the performance of systems and components including automated / autonomous driving systems for in service compliance</w:t>
      </w:r>
      <w:r w:rsidRPr="00BD0916">
        <w:rPr>
          <w:sz w:val="24"/>
          <w:szCs w:val="24"/>
        </w:rPr>
        <w:t>;</w:t>
      </w:r>
      <w:r w:rsidRPr="00606BE5">
        <w:rPr>
          <w:sz w:val="24"/>
          <w:szCs w:val="24"/>
          <w:lang w:val="en-GB"/>
        </w:rPr>
        <w:t xml:space="preserve"> </w:t>
      </w:r>
    </w:p>
    <w:p w:rsidR="003A1A5A" w:rsidRDefault="003A1A5A" w:rsidP="003A1A5A">
      <w:pPr>
        <w:pStyle w:val="ListParagraph"/>
        <w:numPr>
          <w:ilvl w:val="1"/>
          <w:numId w:val="17"/>
        </w:numPr>
        <w:autoSpaceDE w:val="0"/>
        <w:autoSpaceDN w:val="0"/>
        <w:adjustRightInd w:val="0"/>
        <w:spacing w:line="240" w:lineRule="auto"/>
        <w:ind w:leftChars="0"/>
        <w:jc w:val="both"/>
        <w:rPr>
          <w:sz w:val="24"/>
          <w:szCs w:val="24"/>
          <w:lang w:val="en-GB"/>
        </w:rPr>
      </w:pPr>
      <w:r>
        <w:rPr>
          <w:sz w:val="24"/>
          <w:szCs w:val="24"/>
          <w:lang w:val="en-GB"/>
        </w:rPr>
        <w:t>electronic vehicle interface</w:t>
      </w:r>
      <w:r w:rsidRPr="00F05C72">
        <w:rPr>
          <w:sz w:val="24"/>
          <w:szCs w:val="24"/>
          <w:lang w:val="en-GB"/>
        </w:rPr>
        <w:t xml:space="preserve">, measurement and </w:t>
      </w:r>
      <w:r>
        <w:rPr>
          <w:sz w:val="24"/>
          <w:szCs w:val="24"/>
          <w:lang w:val="en-GB"/>
        </w:rPr>
        <w:t>communication technologies.</w:t>
      </w:r>
    </w:p>
    <w:p w:rsidR="003A1A5A" w:rsidRDefault="003A1A5A" w:rsidP="003A1A5A">
      <w:pPr>
        <w:pStyle w:val="SingleTxtG"/>
        <w:suppressAutoHyphens w:val="0"/>
        <w:autoSpaceDE w:val="0"/>
        <w:autoSpaceDN w:val="0"/>
        <w:adjustRightInd w:val="0"/>
        <w:spacing w:after="0" w:line="240" w:lineRule="auto"/>
        <w:ind w:left="0" w:right="-1" w:firstLine="708"/>
        <w:rPr>
          <w:rFonts w:ascii="Times-Roman" w:eastAsia="SimSun" w:hAnsi="Times-Roman" w:cs="Times-Roman"/>
          <w:sz w:val="23"/>
          <w:szCs w:val="23"/>
          <w:lang w:val="en-GB" w:eastAsia="ja-JP"/>
        </w:rPr>
      </w:pPr>
      <w:r>
        <w:rPr>
          <w:rFonts w:ascii="Times-Roman" w:eastAsia="SimSun" w:hAnsi="Times-Roman" w:cs="Times-Roman"/>
          <w:sz w:val="23"/>
          <w:szCs w:val="23"/>
          <w:lang w:val="en-GB" w:eastAsia="ja-JP"/>
        </w:rPr>
        <w:lastRenderedPageBreak/>
        <w:t>It was supported that t</w:t>
      </w:r>
      <w:r w:rsidRPr="00660BA0">
        <w:rPr>
          <w:rFonts w:ascii="Times-Roman" w:eastAsia="SimSun" w:hAnsi="Times-Roman" w:cs="Times-Roman"/>
          <w:sz w:val="23"/>
          <w:szCs w:val="23"/>
          <w:lang w:val="en-GB" w:eastAsia="ja-JP"/>
        </w:rPr>
        <w:t xml:space="preserve">here shall be provided </w:t>
      </w:r>
      <w:r w:rsidRPr="00DE213F">
        <w:rPr>
          <w:rFonts w:ascii="Times-Roman" w:eastAsia="SimSun" w:hAnsi="Times-Roman" w:cs="Times-Roman"/>
          <w:sz w:val="23"/>
          <w:szCs w:val="23"/>
          <w:lang w:val="en-GB" w:eastAsia="ja-JP"/>
        </w:rPr>
        <w:t>the appropriate coordination between the 1958</w:t>
      </w:r>
      <w:r>
        <w:rPr>
          <w:rFonts w:ascii="Times-Roman" w:eastAsia="SimSun" w:hAnsi="Times-Roman" w:cs="Times-Roman"/>
          <w:sz w:val="23"/>
          <w:szCs w:val="23"/>
          <w:lang w:val="en-GB" w:eastAsia="ja-JP"/>
        </w:rPr>
        <w:t xml:space="preserve"> and 1998</w:t>
      </w:r>
      <w:r w:rsidRPr="00DE213F">
        <w:rPr>
          <w:rFonts w:ascii="Times-Roman" w:eastAsia="SimSun" w:hAnsi="Times-Roman" w:cs="Times-Roman"/>
          <w:sz w:val="23"/>
          <w:szCs w:val="23"/>
          <w:lang w:val="en-GB" w:eastAsia="ja-JP"/>
        </w:rPr>
        <w:t xml:space="preserve"> Geneva Agreement and the 1997 Vienna Agreement and measures to ensure in-service conformity of vehicles or their systems and components type approved under the UN Regulations, attached to the 1958 </w:t>
      </w:r>
      <w:r>
        <w:rPr>
          <w:rFonts w:ascii="Times-Roman" w:eastAsia="SimSun" w:hAnsi="Times-Roman" w:cs="Times-Roman"/>
          <w:sz w:val="23"/>
          <w:szCs w:val="23"/>
          <w:lang w:eastAsia="ja-JP"/>
        </w:rPr>
        <w:t xml:space="preserve">and 1998 </w:t>
      </w:r>
      <w:r w:rsidRPr="00DE213F">
        <w:rPr>
          <w:rFonts w:ascii="Times-Roman" w:eastAsia="SimSun" w:hAnsi="Times-Roman" w:cs="Times-Roman"/>
          <w:sz w:val="23"/>
          <w:szCs w:val="23"/>
          <w:lang w:val="en-GB" w:eastAsia="ja-JP"/>
        </w:rPr>
        <w:t>Geneva Agreement</w:t>
      </w:r>
      <w:r>
        <w:rPr>
          <w:rFonts w:ascii="Times-Roman" w:eastAsia="SimSun" w:hAnsi="Times-Roman" w:cs="Times-Roman"/>
          <w:sz w:val="23"/>
          <w:szCs w:val="23"/>
          <w:lang w:val="en-GB" w:eastAsia="ja-JP"/>
        </w:rPr>
        <w:t>s</w:t>
      </w:r>
      <w:r w:rsidRPr="00DE213F">
        <w:rPr>
          <w:rFonts w:ascii="Times-Roman" w:eastAsia="SimSun" w:hAnsi="Times-Roman" w:cs="Times-Roman"/>
          <w:sz w:val="23"/>
          <w:szCs w:val="23"/>
          <w:lang w:val="en-GB" w:eastAsia="ja-JP"/>
        </w:rPr>
        <w:t xml:space="preserve">. </w:t>
      </w:r>
      <w:r w:rsidRPr="00606BE5">
        <w:rPr>
          <w:rFonts w:ascii="Times-Roman" w:eastAsia="SimSun" w:hAnsi="Times-Roman" w:cs="Times-Roman"/>
          <w:sz w:val="23"/>
          <w:szCs w:val="23"/>
          <w:lang w:val="en-GB" w:eastAsia="ja-JP"/>
        </w:rPr>
        <w:t xml:space="preserve">Type approval regulations developed by the respective working parties </w:t>
      </w:r>
      <w:r>
        <w:rPr>
          <w:rFonts w:ascii="Times-Roman" w:eastAsia="SimSun" w:hAnsi="Times-Roman" w:cs="Times-Roman"/>
          <w:sz w:val="23"/>
          <w:szCs w:val="23"/>
          <w:lang w:val="en-GB" w:eastAsia="ja-JP"/>
        </w:rPr>
        <w:t>(</w:t>
      </w:r>
      <w:r w:rsidRPr="00606BE5">
        <w:rPr>
          <w:rFonts w:ascii="Times-Roman" w:eastAsia="SimSun" w:hAnsi="Times-Roman" w:cs="Times-Roman"/>
          <w:sz w:val="23"/>
          <w:szCs w:val="23"/>
          <w:lang w:val="en-GB" w:eastAsia="ja-JP"/>
        </w:rPr>
        <w:t>GR</w:t>
      </w:r>
      <w:r>
        <w:rPr>
          <w:rFonts w:ascii="Times-Roman" w:eastAsia="SimSun" w:hAnsi="Times-Roman" w:cs="Times-Roman"/>
          <w:sz w:val="23"/>
          <w:szCs w:val="23"/>
          <w:lang w:val="en-GB" w:eastAsia="ja-JP"/>
        </w:rPr>
        <w:t xml:space="preserve">) </w:t>
      </w:r>
      <w:r w:rsidRPr="00606BE5">
        <w:rPr>
          <w:rFonts w:ascii="Times-Roman" w:eastAsia="SimSun" w:hAnsi="Times-Roman" w:cs="Times-Roman"/>
          <w:sz w:val="23"/>
          <w:szCs w:val="23"/>
          <w:lang w:val="en-GB" w:eastAsia="ja-JP"/>
        </w:rPr>
        <w:t>may consider inputs of this group where they foresee technical means to enable PTI assessment of the compliance of vehicles in use. The role of PTI is to verify in service vehicle compliance.</w:t>
      </w:r>
    </w:p>
    <w:p w:rsidR="003A1A5A" w:rsidRDefault="003A1A5A" w:rsidP="003A1A5A">
      <w:pPr>
        <w:pStyle w:val="SingleTxtG"/>
        <w:spacing w:after="0" w:line="240" w:lineRule="auto"/>
        <w:ind w:left="0" w:right="0" w:firstLine="708"/>
        <w:rPr>
          <w:sz w:val="24"/>
          <w:szCs w:val="24"/>
          <w:lang w:val="en-GB"/>
        </w:rPr>
      </w:pPr>
      <w:r w:rsidRPr="00660BA0">
        <w:rPr>
          <w:sz w:val="24"/>
          <w:szCs w:val="24"/>
          <w:lang w:val="en-GB"/>
        </w:rPr>
        <w:t xml:space="preserve">The ways to identify tampering of safety and environment related components and systems have to be considered, </w:t>
      </w:r>
      <w:r>
        <w:rPr>
          <w:sz w:val="24"/>
          <w:szCs w:val="24"/>
          <w:lang w:val="en-GB"/>
        </w:rPr>
        <w:t xml:space="preserve">when appropriate, and taking into account cybersecurity and intellectual property rights, </w:t>
      </w:r>
      <w:r w:rsidRPr="00D91819">
        <w:rPr>
          <w:sz w:val="24"/>
          <w:szCs w:val="24"/>
          <w:lang w:val="en-GB"/>
        </w:rPr>
        <w:t>access to</w:t>
      </w:r>
      <w:r>
        <w:rPr>
          <w:sz w:val="24"/>
          <w:szCs w:val="24"/>
          <w:lang w:val="en-GB"/>
        </w:rPr>
        <w:t xml:space="preserve"> the relevant sensors’ readings and actuators.</w:t>
      </w:r>
    </w:p>
    <w:p w:rsidR="00D10248" w:rsidRPr="00D91819" w:rsidRDefault="00D10248" w:rsidP="00D10248">
      <w:pPr>
        <w:pStyle w:val="SingleTxtG"/>
        <w:spacing w:after="0" w:line="240" w:lineRule="auto"/>
        <w:ind w:left="420" w:right="0"/>
        <w:rPr>
          <w:sz w:val="24"/>
          <w:szCs w:val="24"/>
          <w:lang w:val="en-GB"/>
        </w:rPr>
      </w:pPr>
      <w:r w:rsidRPr="003342FF">
        <w:rPr>
          <w:sz w:val="24"/>
          <w:szCs w:val="24"/>
          <w:lang w:val="en-GB"/>
        </w:rPr>
        <w:t xml:space="preserve">The IWG should develop proposals for establishment of requirements for </w:t>
      </w:r>
      <w:r>
        <w:rPr>
          <w:sz w:val="24"/>
          <w:szCs w:val="24"/>
          <w:lang w:val="en-GB"/>
        </w:rPr>
        <w:t xml:space="preserve">in service compliance verification of </w:t>
      </w:r>
      <w:r w:rsidRPr="003342FF">
        <w:rPr>
          <w:sz w:val="24"/>
          <w:szCs w:val="24"/>
          <w:lang w:val="en-GB"/>
        </w:rPr>
        <w:t>the performance of equipment and systems, including automated/autonomous driving systems, in all the relevant driving conditions</w:t>
      </w:r>
      <w:r>
        <w:rPr>
          <w:sz w:val="24"/>
          <w:szCs w:val="24"/>
          <w:lang w:val="en-GB"/>
        </w:rPr>
        <w:t xml:space="preserve">, as well as </w:t>
      </w:r>
      <w:r w:rsidRPr="003342FF">
        <w:rPr>
          <w:sz w:val="24"/>
          <w:szCs w:val="24"/>
          <w:lang w:val="en-GB"/>
        </w:rPr>
        <w:t xml:space="preserve">other than those tested, </w:t>
      </w:r>
      <w:r>
        <w:rPr>
          <w:sz w:val="24"/>
          <w:szCs w:val="24"/>
          <w:lang w:val="en-GB"/>
        </w:rPr>
        <w:t>and</w:t>
      </w:r>
      <w:r w:rsidRPr="003342FF">
        <w:rPr>
          <w:sz w:val="24"/>
          <w:szCs w:val="24"/>
          <w:lang w:val="en-GB"/>
        </w:rPr>
        <w:t xml:space="preserve"> methods for their assessment.</w:t>
      </w:r>
    </w:p>
    <w:p w:rsidR="00D10248" w:rsidRDefault="00D10248" w:rsidP="003A1A5A">
      <w:pPr>
        <w:pStyle w:val="SingleTxtG"/>
        <w:spacing w:after="0" w:line="240" w:lineRule="auto"/>
        <w:ind w:left="0" w:right="0" w:firstLine="708"/>
        <w:rPr>
          <w:sz w:val="24"/>
          <w:szCs w:val="24"/>
          <w:lang w:val="en-GB"/>
        </w:rPr>
      </w:pPr>
      <w:r w:rsidRPr="00606BE5">
        <w:rPr>
          <w:sz w:val="24"/>
          <w:szCs w:val="24"/>
          <w:lang w:val="en-GB"/>
        </w:rPr>
        <w:t xml:space="preserve">Where necessary and possible, the rules for periodical technical inspections among the various Agreements, Conventions and Resolutions should be harmonised </w:t>
      </w:r>
      <w:r>
        <w:rPr>
          <w:sz w:val="24"/>
          <w:szCs w:val="24"/>
          <w:lang w:val="en-GB"/>
        </w:rPr>
        <w:t>to</w:t>
      </w:r>
      <w:r w:rsidRPr="00660BA0">
        <w:rPr>
          <w:sz w:val="24"/>
          <w:szCs w:val="24"/>
          <w:lang w:val="en-GB"/>
        </w:rPr>
        <w:t xml:space="preserve"> allow improve</w:t>
      </w:r>
      <w:r>
        <w:rPr>
          <w:sz w:val="24"/>
          <w:szCs w:val="24"/>
          <w:lang w:val="en-GB"/>
        </w:rPr>
        <w:t>d</w:t>
      </w:r>
      <w:r w:rsidRPr="00660BA0">
        <w:rPr>
          <w:sz w:val="24"/>
          <w:szCs w:val="24"/>
          <w:lang w:val="en-GB"/>
        </w:rPr>
        <w:t xml:space="preserve"> safety and sustainability of road transport and exclude legislative obstacles for technological developments.</w:t>
      </w:r>
    </w:p>
    <w:p w:rsidR="00D10248" w:rsidRDefault="00D10248" w:rsidP="00D10248">
      <w:pPr>
        <w:pStyle w:val="SingleTxtG"/>
        <w:spacing w:after="0" w:line="240" w:lineRule="auto"/>
        <w:ind w:left="0" w:right="0" w:firstLine="708"/>
        <w:rPr>
          <w:sz w:val="24"/>
          <w:szCs w:val="24"/>
          <w:lang w:val="en-GB"/>
        </w:rPr>
      </w:pPr>
      <w:r w:rsidRPr="00DE213F">
        <w:rPr>
          <w:sz w:val="24"/>
          <w:szCs w:val="24"/>
          <w:lang w:val="en-GB"/>
        </w:rPr>
        <w:t>WP.29 develop</w:t>
      </w:r>
      <w:r>
        <w:rPr>
          <w:sz w:val="24"/>
          <w:szCs w:val="24"/>
          <w:lang w:val="en-GB"/>
        </w:rPr>
        <w:t>s</w:t>
      </w:r>
      <w:r w:rsidRPr="00DE213F">
        <w:rPr>
          <w:sz w:val="24"/>
          <w:szCs w:val="24"/>
          <w:lang w:val="en-GB"/>
        </w:rPr>
        <w:t xml:space="preserve"> an approach for the approval of automated driving systems (ADS). It is a complex problem covering technical inspections of the systems in use.</w:t>
      </w:r>
      <w:r w:rsidRPr="00D10248">
        <w:rPr>
          <w:sz w:val="24"/>
          <w:szCs w:val="24"/>
          <w:lang w:val="en-GB"/>
        </w:rPr>
        <w:t xml:space="preserve"> </w:t>
      </w:r>
      <w:r>
        <w:rPr>
          <w:sz w:val="24"/>
          <w:szCs w:val="24"/>
          <w:lang w:val="en-GB"/>
        </w:rPr>
        <w:t>The IWG on PTI should consequently carefully follow-up the activities under the 1958 and 1998 Agreements and provide its expertise where needed.</w:t>
      </w:r>
    </w:p>
    <w:p w:rsidR="00152EBD" w:rsidRDefault="00D10248" w:rsidP="00D10248">
      <w:pPr>
        <w:pStyle w:val="SingleTxtG"/>
        <w:spacing w:after="0" w:line="240" w:lineRule="auto"/>
        <w:ind w:left="0" w:right="0" w:firstLine="708"/>
        <w:rPr>
          <w:sz w:val="24"/>
          <w:szCs w:val="24"/>
          <w:lang w:val="en-GB"/>
        </w:rPr>
      </w:pPr>
      <w:r>
        <w:rPr>
          <w:sz w:val="24"/>
          <w:szCs w:val="24"/>
          <w:lang w:val="en-GB"/>
        </w:rPr>
        <w:t xml:space="preserve">There was not </w:t>
      </w:r>
      <w:proofErr w:type="gramStart"/>
      <w:r>
        <w:rPr>
          <w:sz w:val="24"/>
          <w:szCs w:val="24"/>
          <w:lang w:val="en-GB"/>
        </w:rPr>
        <w:t xml:space="preserve">found </w:t>
      </w:r>
      <w:r w:rsidRPr="00D10248">
        <w:rPr>
          <w:sz w:val="24"/>
          <w:szCs w:val="24"/>
          <w:lang w:val="en-GB"/>
        </w:rPr>
        <w:t xml:space="preserve"> </w:t>
      </w:r>
      <w:bookmarkStart w:id="0" w:name="_GoBack"/>
      <w:bookmarkEnd w:id="0"/>
      <w:r w:rsidRPr="00D10248">
        <w:rPr>
          <w:sz w:val="24"/>
          <w:szCs w:val="24"/>
          <w:lang w:val="en-GB"/>
        </w:rPr>
        <w:t>an</w:t>
      </w:r>
      <w:proofErr w:type="gramEnd"/>
      <w:r w:rsidRPr="00D10248">
        <w:rPr>
          <w:sz w:val="24"/>
          <w:szCs w:val="24"/>
          <w:lang w:val="en-GB"/>
        </w:rPr>
        <w:t xml:space="preserve"> agreement</w:t>
      </w:r>
      <w:r>
        <w:rPr>
          <w:sz w:val="24"/>
          <w:szCs w:val="24"/>
          <w:lang w:val="en-GB"/>
        </w:rPr>
        <w:t xml:space="preserve"> on </w:t>
      </w:r>
      <w:r w:rsidR="002A6214">
        <w:rPr>
          <w:sz w:val="24"/>
          <w:szCs w:val="24"/>
          <w:lang w:val="en-GB"/>
        </w:rPr>
        <w:t xml:space="preserve">the aim of the </w:t>
      </w:r>
      <w:r w:rsidR="002A6214" w:rsidRPr="002638B6">
        <w:rPr>
          <w:sz w:val="24"/>
          <w:szCs w:val="24"/>
          <w:lang w:val="en-GB"/>
        </w:rPr>
        <w:t xml:space="preserve">objective verification of the safety </w:t>
      </w:r>
      <w:r w:rsidR="002A6214">
        <w:rPr>
          <w:sz w:val="24"/>
          <w:szCs w:val="24"/>
          <w:lang w:val="en-GB"/>
        </w:rPr>
        <w:t xml:space="preserve">and environment related systems. The IWG considers that </w:t>
      </w:r>
      <w:r w:rsidR="002A6214" w:rsidRPr="002638B6">
        <w:rPr>
          <w:sz w:val="24"/>
          <w:szCs w:val="24"/>
          <w:lang w:val="en-GB"/>
        </w:rPr>
        <w:t xml:space="preserve">the functionality of the safety </w:t>
      </w:r>
      <w:r w:rsidR="002A6214">
        <w:rPr>
          <w:sz w:val="24"/>
          <w:szCs w:val="24"/>
          <w:lang w:val="en-GB"/>
        </w:rPr>
        <w:t>and environment related systems</w:t>
      </w:r>
      <w:r w:rsidR="002A6214" w:rsidRPr="002638B6">
        <w:rPr>
          <w:sz w:val="24"/>
          <w:szCs w:val="24"/>
          <w:lang w:val="en-GB"/>
        </w:rPr>
        <w:t xml:space="preserve"> </w:t>
      </w:r>
      <w:r w:rsidR="002A6214">
        <w:rPr>
          <w:sz w:val="24"/>
          <w:szCs w:val="24"/>
          <w:lang w:val="en-GB"/>
        </w:rPr>
        <w:t xml:space="preserve">shall be verified, since according to </w:t>
      </w:r>
      <w:r w:rsidR="002A6214" w:rsidRPr="002A6214">
        <w:rPr>
          <w:rFonts w:ascii="Arial,Bold" w:eastAsia="SimSun" w:hAnsi="Arial,Bold" w:cs="Arial,Bold"/>
          <w:bCs/>
          <w:sz w:val="24"/>
          <w:szCs w:val="24"/>
          <w:lang w:val="en-US" w:eastAsia="ja-JP"/>
        </w:rPr>
        <w:t>ISO 19439:2006</w:t>
      </w:r>
      <w:r w:rsidR="002A6214">
        <w:rPr>
          <w:rFonts w:ascii="Arial,Bold" w:eastAsia="SimSun" w:hAnsi="Arial,Bold" w:cs="Arial,Bold"/>
          <w:b/>
          <w:bCs/>
          <w:sz w:val="24"/>
          <w:szCs w:val="24"/>
          <w:lang w:val="en-US" w:eastAsia="ja-JP"/>
        </w:rPr>
        <w:t xml:space="preserve"> “</w:t>
      </w:r>
      <w:r w:rsidR="002A6214" w:rsidRPr="002638B6">
        <w:rPr>
          <w:sz w:val="24"/>
          <w:szCs w:val="24"/>
          <w:lang w:val="en-GB"/>
        </w:rPr>
        <w:t>functionality</w:t>
      </w:r>
      <w:r w:rsidR="002A6214">
        <w:rPr>
          <w:sz w:val="24"/>
          <w:szCs w:val="24"/>
          <w:lang w:val="en-GB"/>
        </w:rPr>
        <w:t>” is</w:t>
      </w:r>
      <w:r w:rsidR="002A6214" w:rsidRPr="002A6214">
        <w:rPr>
          <w:rFonts w:ascii="Arial,Bold" w:eastAsia="SimSun" w:hAnsi="Arial,Bold" w:cs="Arial,Bold"/>
          <w:bCs/>
          <w:sz w:val="24"/>
          <w:szCs w:val="24"/>
          <w:lang w:val="en-US" w:eastAsia="ja-JP"/>
        </w:rPr>
        <w:t xml:space="preserve"> </w:t>
      </w:r>
      <w:r w:rsidR="002A6214">
        <w:rPr>
          <w:rFonts w:ascii="Arial,Bold" w:eastAsia="SimSun" w:hAnsi="Arial,Bold" w:cs="Arial,Bold"/>
          <w:bCs/>
          <w:sz w:val="24"/>
          <w:szCs w:val="24"/>
          <w:lang w:val="en-US" w:eastAsia="ja-JP"/>
        </w:rPr>
        <w:t>t</w:t>
      </w:r>
      <w:r w:rsidR="002A6214" w:rsidRPr="002A6214">
        <w:rPr>
          <w:rFonts w:ascii="Arial,Bold" w:eastAsia="SimSun" w:hAnsi="Arial,Bold" w:cs="Arial,Bold"/>
          <w:bCs/>
          <w:sz w:val="24"/>
          <w:szCs w:val="24"/>
          <w:lang w:val="en-US" w:eastAsia="ja-JP"/>
        </w:rPr>
        <w:t>he degree to which the system provides and facilitates the implementation of a set of tasks</w:t>
      </w:r>
      <w:r w:rsidR="002A6214">
        <w:rPr>
          <w:rFonts w:ascii="Arial,Bold" w:eastAsia="SimSun" w:hAnsi="Arial,Bold" w:cs="Arial,Bold"/>
          <w:bCs/>
          <w:sz w:val="24"/>
          <w:szCs w:val="24"/>
          <w:lang w:val="en-US" w:eastAsia="ja-JP"/>
        </w:rPr>
        <w:t>.</w:t>
      </w:r>
      <w:r w:rsidR="002A6214" w:rsidRPr="002A6214">
        <w:rPr>
          <w:rFonts w:ascii="Arial,Bold" w:eastAsia="SimSun" w:hAnsi="Arial,Bold" w:cs="Arial,Bold"/>
          <w:b/>
          <w:bCs/>
          <w:sz w:val="24"/>
          <w:szCs w:val="24"/>
          <w:lang w:val="en-US" w:eastAsia="ja-JP"/>
        </w:rPr>
        <w:t xml:space="preserve"> </w:t>
      </w:r>
      <w:r w:rsidR="00152EBD" w:rsidRPr="00152EBD">
        <w:rPr>
          <w:rFonts w:ascii="Arial,Bold" w:eastAsia="SimSun" w:hAnsi="Arial,Bold" w:cs="Arial,Bold"/>
          <w:bCs/>
          <w:sz w:val="24"/>
          <w:szCs w:val="24"/>
          <w:lang w:val="en-US" w:eastAsia="ja-JP"/>
        </w:rPr>
        <w:t>OICA</w:t>
      </w:r>
      <w:r w:rsidR="00152EBD">
        <w:rPr>
          <w:rFonts w:ascii="Arial,Bold" w:eastAsia="SimSun" w:hAnsi="Arial,Bold" w:cs="Arial,Bold"/>
          <w:b/>
          <w:bCs/>
          <w:sz w:val="24"/>
          <w:szCs w:val="24"/>
          <w:lang w:val="en-US" w:eastAsia="ja-JP"/>
        </w:rPr>
        <w:t xml:space="preserve"> </w:t>
      </w:r>
      <w:r w:rsidR="00152EBD" w:rsidRPr="00152EBD">
        <w:rPr>
          <w:rFonts w:ascii="Arial,Bold" w:eastAsia="SimSun" w:hAnsi="Arial,Bold" w:cs="Arial,Bold"/>
          <w:bCs/>
          <w:sz w:val="24"/>
          <w:szCs w:val="24"/>
          <w:lang w:val="en-US" w:eastAsia="ja-JP"/>
        </w:rPr>
        <w:t>proposes to verify</w:t>
      </w:r>
      <w:r w:rsidR="00152EBD">
        <w:rPr>
          <w:rFonts w:ascii="Arial,Bold" w:eastAsia="SimSun" w:hAnsi="Arial,Bold" w:cs="Arial,Bold"/>
          <w:b/>
          <w:bCs/>
          <w:sz w:val="24"/>
          <w:szCs w:val="24"/>
          <w:lang w:val="en-US" w:eastAsia="ja-JP"/>
        </w:rPr>
        <w:t xml:space="preserve"> “</w:t>
      </w:r>
      <w:r w:rsidR="00152EBD" w:rsidRPr="002638B6">
        <w:rPr>
          <w:sz w:val="24"/>
          <w:szCs w:val="24"/>
          <w:lang w:val="en-GB"/>
        </w:rPr>
        <w:t>functioning</w:t>
      </w:r>
      <w:r w:rsidR="00152EBD">
        <w:rPr>
          <w:sz w:val="24"/>
          <w:szCs w:val="24"/>
          <w:lang w:val="en-GB"/>
        </w:rPr>
        <w:t xml:space="preserve">” of the systems that covers incorrect </w:t>
      </w:r>
      <w:proofErr w:type="gramStart"/>
      <w:r w:rsidR="00152EBD">
        <w:rPr>
          <w:sz w:val="24"/>
          <w:szCs w:val="24"/>
          <w:lang w:val="en-GB"/>
        </w:rPr>
        <w:t>performance  of</w:t>
      </w:r>
      <w:proofErr w:type="gramEnd"/>
      <w:r w:rsidR="00152EBD">
        <w:rPr>
          <w:sz w:val="24"/>
          <w:szCs w:val="24"/>
          <w:lang w:val="en-GB"/>
        </w:rPr>
        <w:t xml:space="preserve"> the systems.</w:t>
      </w:r>
      <w:r w:rsidR="002A6214">
        <w:rPr>
          <w:sz w:val="24"/>
          <w:szCs w:val="24"/>
          <w:lang w:val="en-GB"/>
        </w:rPr>
        <w:t xml:space="preserve"> </w:t>
      </w:r>
      <w:r w:rsidR="002A6214" w:rsidRPr="002638B6">
        <w:rPr>
          <w:sz w:val="24"/>
          <w:szCs w:val="24"/>
          <w:lang w:val="en-GB"/>
        </w:rPr>
        <w:t xml:space="preserve"> </w:t>
      </w:r>
      <w:r w:rsidR="00152EBD">
        <w:rPr>
          <w:sz w:val="24"/>
          <w:szCs w:val="24"/>
          <w:lang w:val="en-GB"/>
        </w:rPr>
        <w:t>The group ask guidance of WP.29 on the subject.</w:t>
      </w:r>
    </w:p>
    <w:p w:rsidR="00D10248" w:rsidRDefault="00D10248" w:rsidP="00D10248">
      <w:pPr>
        <w:pStyle w:val="SingleTxtG"/>
        <w:spacing w:after="0" w:line="240" w:lineRule="auto"/>
        <w:ind w:left="0" w:right="0" w:firstLine="708"/>
        <w:rPr>
          <w:sz w:val="24"/>
          <w:szCs w:val="24"/>
          <w:lang w:val="en-US"/>
        </w:rPr>
      </w:pPr>
      <w:r w:rsidRPr="00D10248">
        <w:rPr>
          <w:sz w:val="24"/>
          <w:szCs w:val="24"/>
          <w:lang w:val="en-GB"/>
        </w:rPr>
        <w:t xml:space="preserve">The IWG on PTI </w:t>
      </w:r>
      <w:r w:rsidRPr="00D10248">
        <w:rPr>
          <w:sz w:val="24"/>
          <w:szCs w:val="24"/>
        </w:rPr>
        <w:t xml:space="preserve">outlines its plan (including </w:t>
      </w:r>
      <w:r w:rsidRPr="00D10248">
        <w:rPr>
          <w:sz w:val="24"/>
          <w:szCs w:val="24"/>
          <w:lang w:val="en-GB"/>
        </w:rPr>
        <w:t>working items to be covered,</w:t>
      </w:r>
      <w:r>
        <w:rPr>
          <w:sz w:val="24"/>
          <w:szCs w:val="24"/>
          <w:lang w:val="en-GB"/>
        </w:rPr>
        <w:t xml:space="preserve"> </w:t>
      </w:r>
      <w:r w:rsidRPr="00D10248">
        <w:rPr>
          <w:sz w:val="24"/>
          <w:szCs w:val="24"/>
        </w:rPr>
        <w:t>any steps, deliverables and expected timelines) to be approved by the WP.29.</w:t>
      </w:r>
    </w:p>
    <w:p w:rsidR="00152EBD" w:rsidRPr="00152EBD" w:rsidRDefault="00152EBD" w:rsidP="00D10248">
      <w:pPr>
        <w:pStyle w:val="SingleTxtG"/>
        <w:spacing w:after="0" w:line="240" w:lineRule="auto"/>
        <w:ind w:left="0" w:right="0" w:firstLine="708"/>
        <w:rPr>
          <w:sz w:val="24"/>
          <w:szCs w:val="24"/>
          <w:lang w:val="en-US"/>
        </w:rPr>
      </w:pPr>
      <w:r>
        <w:rPr>
          <w:sz w:val="24"/>
          <w:szCs w:val="24"/>
          <w:lang w:val="en-US"/>
        </w:rPr>
        <w:t>The group agreed to submit t</w:t>
      </w:r>
      <w:r w:rsidRPr="00CD2FAD">
        <w:rPr>
          <w:sz w:val="24"/>
          <w:szCs w:val="24"/>
        </w:rPr>
        <w:t>he draft revised Terms of Reference</w:t>
      </w:r>
      <w:r>
        <w:rPr>
          <w:sz w:val="24"/>
          <w:szCs w:val="24"/>
          <w:lang w:val="en-US"/>
        </w:rPr>
        <w:t xml:space="preserve"> to</w:t>
      </w:r>
      <w:r w:rsidRPr="00152EBD">
        <w:rPr>
          <w:sz w:val="24"/>
          <w:szCs w:val="24"/>
        </w:rPr>
        <w:t xml:space="preserve"> </w:t>
      </w:r>
      <w:r>
        <w:rPr>
          <w:sz w:val="24"/>
          <w:szCs w:val="24"/>
          <w:lang w:val="en-US"/>
        </w:rPr>
        <w:t xml:space="preserve">WP.29 </w:t>
      </w:r>
      <w:r w:rsidRPr="00CD2FAD">
        <w:rPr>
          <w:sz w:val="24"/>
          <w:szCs w:val="24"/>
        </w:rPr>
        <w:t xml:space="preserve">for consideration and </w:t>
      </w:r>
      <w:r>
        <w:rPr>
          <w:sz w:val="24"/>
          <w:szCs w:val="24"/>
          <w:lang w:val="en-US"/>
        </w:rPr>
        <w:t>approval</w:t>
      </w:r>
      <w:r w:rsidRPr="00CD2FAD">
        <w:rPr>
          <w:sz w:val="24"/>
          <w:szCs w:val="24"/>
        </w:rPr>
        <w:t xml:space="preserve"> at </w:t>
      </w:r>
      <w:r>
        <w:rPr>
          <w:sz w:val="24"/>
          <w:szCs w:val="24"/>
          <w:lang w:val="en-US"/>
        </w:rPr>
        <w:t xml:space="preserve">its </w:t>
      </w:r>
      <w:r w:rsidRPr="00CD2FAD">
        <w:rPr>
          <w:sz w:val="24"/>
          <w:szCs w:val="24"/>
        </w:rPr>
        <w:t xml:space="preserve">the </w:t>
      </w:r>
      <w:r>
        <w:rPr>
          <w:sz w:val="24"/>
          <w:szCs w:val="24"/>
          <w:lang w:val="en-US"/>
        </w:rPr>
        <w:t>175</w:t>
      </w:r>
      <w:r w:rsidRPr="00152EBD">
        <w:rPr>
          <w:sz w:val="24"/>
          <w:szCs w:val="24"/>
          <w:vertAlign w:val="superscript"/>
          <w:lang w:val="en-US"/>
        </w:rPr>
        <w:t>th</w:t>
      </w:r>
      <w:r>
        <w:rPr>
          <w:sz w:val="24"/>
          <w:szCs w:val="24"/>
          <w:lang w:val="en-US"/>
        </w:rPr>
        <w:t xml:space="preserve"> </w:t>
      </w:r>
      <w:r w:rsidRPr="00CD2FAD">
        <w:rPr>
          <w:sz w:val="24"/>
          <w:szCs w:val="24"/>
        </w:rPr>
        <w:t>session.</w:t>
      </w:r>
    </w:p>
    <w:p w:rsidR="00F746B8" w:rsidRPr="00152EBD" w:rsidRDefault="00F746B8" w:rsidP="00B72F06">
      <w:pPr>
        <w:pStyle w:val="SingleTxtG"/>
        <w:tabs>
          <w:tab w:val="right" w:pos="709"/>
        </w:tabs>
        <w:suppressAutoHyphens w:val="0"/>
        <w:ind w:left="0" w:right="1041"/>
        <w:rPr>
          <w:sz w:val="24"/>
          <w:szCs w:val="24"/>
          <w:lang w:val="en-US"/>
        </w:rPr>
      </w:pPr>
    </w:p>
    <w:p w:rsidR="00D850FE" w:rsidRPr="00467ED2" w:rsidRDefault="00B72F06" w:rsidP="00152EBD">
      <w:pPr>
        <w:pStyle w:val="SingleTxtG"/>
        <w:tabs>
          <w:tab w:val="right" w:pos="709"/>
        </w:tabs>
        <w:suppressAutoHyphens w:val="0"/>
        <w:ind w:left="0" w:right="1041"/>
        <w:rPr>
          <w:b/>
          <w:sz w:val="22"/>
          <w:szCs w:val="22"/>
          <w:lang w:val="en-GB"/>
        </w:rPr>
      </w:pPr>
      <w:r>
        <w:rPr>
          <w:sz w:val="24"/>
          <w:szCs w:val="24"/>
          <w:lang w:val="en-US"/>
        </w:rPr>
        <w:tab/>
      </w:r>
      <w:r w:rsidR="007C772A">
        <w:rPr>
          <w:sz w:val="24"/>
          <w:szCs w:val="24"/>
          <w:lang w:val="en-US"/>
        </w:rPr>
        <w:t xml:space="preserve">           </w:t>
      </w:r>
      <w:r w:rsidR="007C772A" w:rsidRPr="007C772A">
        <w:rPr>
          <w:b/>
          <w:sz w:val="24"/>
          <w:szCs w:val="24"/>
          <w:lang w:val="en-US"/>
        </w:rPr>
        <w:t>2.</w:t>
      </w:r>
      <w:r w:rsidR="007C772A">
        <w:rPr>
          <w:sz w:val="24"/>
          <w:szCs w:val="24"/>
          <w:lang w:val="en-US"/>
        </w:rPr>
        <w:t xml:space="preserve"> </w:t>
      </w:r>
      <w:r w:rsidR="00D674B3" w:rsidRPr="00467ED2">
        <w:rPr>
          <w:b/>
          <w:sz w:val="22"/>
          <w:szCs w:val="22"/>
        </w:rPr>
        <w:t>Development of inspection techniques against tampering practices</w:t>
      </w:r>
    </w:p>
    <w:p w:rsidR="007C772A" w:rsidRDefault="007C772A" w:rsidP="007C772A">
      <w:pPr>
        <w:pStyle w:val="HChG"/>
        <w:keepNext w:val="0"/>
        <w:keepLines w:val="0"/>
        <w:tabs>
          <w:tab w:val="clear" w:pos="851"/>
          <w:tab w:val="right" w:pos="709"/>
        </w:tabs>
        <w:suppressAutoHyphens w:val="0"/>
        <w:spacing w:before="0" w:after="0" w:line="240" w:lineRule="auto"/>
        <w:ind w:left="0" w:right="6" w:firstLine="0"/>
        <w:jc w:val="both"/>
        <w:rPr>
          <w:b w:val="0"/>
          <w:sz w:val="24"/>
          <w:szCs w:val="24"/>
        </w:rPr>
      </w:pPr>
      <w:r>
        <w:rPr>
          <w:b w:val="0"/>
          <w:sz w:val="22"/>
          <w:szCs w:val="22"/>
        </w:rPr>
        <w:tab/>
        <w:t xml:space="preserve">           </w:t>
      </w:r>
      <w:r w:rsidR="00A63A58" w:rsidRPr="007C772A">
        <w:rPr>
          <w:b w:val="0"/>
          <w:sz w:val="24"/>
          <w:szCs w:val="24"/>
        </w:rPr>
        <w:t>Following the request of WP.29</w:t>
      </w:r>
      <w:r w:rsidR="00ED7032" w:rsidRPr="007C772A">
        <w:rPr>
          <w:b w:val="0"/>
          <w:sz w:val="24"/>
          <w:szCs w:val="24"/>
        </w:rPr>
        <w:t xml:space="preserve"> t</w:t>
      </w:r>
      <w:r w:rsidR="00D674B3" w:rsidRPr="007C772A">
        <w:rPr>
          <w:b w:val="0"/>
          <w:sz w:val="24"/>
          <w:szCs w:val="24"/>
        </w:rPr>
        <w:t xml:space="preserve">he </w:t>
      </w:r>
      <w:r w:rsidRPr="007C772A">
        <w:rPr>
          <w:b w:val="0"/>
          <w:sz w:val="24"/>
          <w:szCs w:val="24"/>
        </w:rPr>
        <w:t>g</w:t>
      </w:r>
      <w:r w:rsidR="00D674B3" w:rsidRPr="007C772A">
        <w:rPr>
          <w:b w:val="0"/>
          <w:sz w:val="24"/>
          <w:szCs w:val="24"/>
        </w:rPr>
        <w:t xml:space="preserve">roup </w:t>
      </w:r>
      <w:r w:rsidR="00ED7032" w:rsidRPr="007C772A">
        <w:rPr>
          <w:b w:val="0"/>
          <w:sz w:val="24"/>
          <w:szCs w:val="24"/>
        </w:rPr>
        <w:t xml:space="preserve">continued </w:t>
      </w:r>
      <w:proofErr w:type="gramStart"/>
      <w:r w:rsidR="00D674B3" w:rsidRPr="007C772A">
        <w:rPr>
          <w:b w:val="0"/>
          <w:sz w:val="24"/>
          <w:szCs w:val="24"/>
        </w:rPr>
        <w:t>discuss</w:t>
      </w:r>
      <w:r w:rsidR="00ED7032" w:rsidRPr="007C772A">
        <w:rPr>
          <w:b w:val="0"/>
          <w:sz w:val="24"/>
          <w:szCs w:val="24"/>
        </w:rPr>
        <w:t xml:space="preserve">ion </w:t>
      </w:r>
      <w:r w:rsidR="00D674B3" w:rsidRPr="007C772A">
        <w:rPr>
          <w:b w:val="0"/>
          <w:sz w:val="24"/>
          <w:szCs w:val="24"/>
        </w:rPr>
        <w:t xml:space="preserve"> on</w:t>
      </w:r>
      <w:proofErr w:type="gramEnd"/>
      <w:r w:rsidR="00D674B3" w:rsidRPr="007C772A">
        <w:rPr>
          <w:b w:val="0"/>
          <w:sz w:val="24"/>
          <w:szCs w:val="24"/>
        </w:rPr>
        <w:t xml:space="preserve"> tamperi</w:t>
      </w:r>
      <w:r w:rsidR="00ED7032" w:rsidRPr="007C772A">
        <w:rPr>
          <w:b w:val="0"/>
          <w:sz w:val="24"/>
          <w:szCs w:val="24"/>
        </w:rPr>
        <w:t>ng.</w:t>
      </w:r>
      <w:r w:rsidRPr="007C772A">
        <w:rPr>
          <w:b w:val="0"/>
          <w:sz w:val="24"/>
          <w:szCs w:val="24"/>
        </w:rPr>
        <w:t xml:space="preserve"> T</w:t>
      </w:r>
      <w:r w:rsidR="008630E1" w:rsidRPr="007C772A">
        <w:rPr>
          <w:b w:val="0"/>
          <w:sz w:val="24"/>
          <w:szCs w:val="24"/>
        </w:rPr>
        <w:t xml:space="preserve">he </w:t>
      </w:r>
      <w:r>
        <w:rPr>
          <w:b w:val="0"/>
          <w:sz w:val="24"/>
          <w:szCs w:val="24"/>
        </w:rPr>
        <w:t xml:space="preserve">draft document containing the </w:t>
      </w:r>
      <w:r w:rsidR="008630E1" w:rsidRPr="007C772A">
        <w:rPr>
          <w:b w:val="0"/>
          <w:sz w:val="24"/>
          <w:szCs w:val="24"/>
        </w:rPr>
        <w:t>proposal</w:t>
      </w:r>
      <w:r w:rsidRPr="007C772A">
        <w:rPr>
          <w:b w:val="0"/>
          <w:sz w:val="24"/>
          <w:szCs w:val="24"/>
        </w:rPr>
        <w:t>s</w:t>
      </w:r>
      <w:r>
        <w:rPr>
          <w:b w:val="0"/>
          <w:sz w:val="24"/>
          <w:szCs w:val="24"/>
        </w:rPr>
        <w:t>,</w:t>
      </w:r>
      <w:r w:rsidR="008630E1" w:rsidRPr="007C772A">
        <w:rPr>
          <w:b w:val="0"/>
          <w:sz w:val="24"/>
          <w:szCs w:val="24"/>
        </w:rPr>
        <w:t xml:space="preserve"> prepared by CITA and CORTE</w:t>
      </w:r>
      <w:r>
        <w:rPr>
          <w:b w:val="0"/>
          <w:sz w:val="24"/>
          <w:szCs w:val="24"/>
        </w:rPr>
        <w:t>,</w:t>
      </w:r>
      <w:r w:rsidR="008630E1" w:rsidRPr="007C772A">
        <w:rPr>
          <w:b w:val="0"/>
          <w:sz w:val="24"/>
          <w:szCs w:val="24"/>
        </w:rPr>
        <w:t xml:space="preserve"> regarding </w:t>
      </w:r>
      <w:r w:rsidRPr="007C772A">
        <w:rPr>
          <w:b w:val="0"/>
          <w:sz w:val="24"/>
          <w:szCs w:val="24"/>
        </w:rPr>
        <w:t>measures</w:t>
      </w:r>
      <w:r w:rsidR="008630E1" w:rsidRPr="007C772A">
        <w:rPr>
          <w:b w:val="0"/>
          <w:sz w:val="24"/>
          <w:szCs w:val="24"/>
        </w:rPr>
        <w:t xml:space="preserve"> against emissions tampering</w:t>
      </w:r>
      <w:r w:rsidRPr="007C772A">
        <w:rPr>
          <w:b w:val="0"/>
          <w:sz w:val="24"/>
          <w:szCs w:val="24"/>
        </w:rPr>
        <w:t xml:space="preserve"> w</w:t>
      </w:r>
      <w:r>
        <w:rPr>
          <w:b w:val="0"/>
          <w:sz w:val="24"/>
          <w:szCs w:val="24"/>
        </w:rPr>
        <w:t>as</w:t>
      </w:r>
      <w:r w:rsidRPr="007C772A">
        <w:rPr>
          <w:b w:val="0"/>
          <w:sz w:val="24"/>
          <w:szCs w:val="24"/>
        </w:rPr>
        <w:t xml:space="preserve"> reviewed</w:t>
      </w:r>
      <w:r w:rsidR="008630E1" w:rsidRPr="007C772A">
        <w:rPr>
          <w:b w:val="0"/>
          <w:sz w:val="24"/>
          <w:szCs w:val="24"/>
        </w:rPr>
        <w:t>. The proposition is split in two parts, the first one identifying the solutions to be taken in the short-term to improve the inspection techniques to identify tampering, and the activities to undertake in the mid- and long-term to modify the design of vehicles to make them more tampering proof and to facilitate the detection of tampering if occurs.</w:t>
      </w:r>
    </w:p>
    <w:p w:rsidR="007C772A" w:rsidRDefault="007C772A" w:rsidP="007C772A">
      <w:pPr>
        <w:pStyle w:val="HChG"/>
        <w:keepNext w:val="0"/>
        <w:keepLines w:val="0"/>
        <w:tabs>
          <w:tab w:val="clear" w:pos="851"/>
          <w:tab w:val="right" w:pos="709"/>
        </w:tabs>
        <w:suppressAutoHyphens w:val="0"/>
        <w:spacing w:before="0" w:after="0" w:line="240" w:lineRule="auto"/>
        <w:ind w:left="0" w:right="6" w:firstLine="0"/>
        <w:jc w:val="both"/>
        <w:rPr>
          <w:b w:val="0"/>
          <w:sz w:val="24"/>
          <w:szCs w:val="24"/>
        </w:rPr>
      </w:pPr>
      <w:r>
        <w:rPr>
          <w:b w:val="0"/>
          <w:sz w:val="24"/>
          <w:szCs w:val="24"/>
        </w:rPr>
        <w:t xml:space="preserve">        </w:t>
      </w:r>
      <w:r w:rsidR="008630E1" w:rsidRPr="007C772A">
        <w:rPr>
          <w:b w:val="0"/>
          <w:sz w:val="24"/>
          <w:szCs w:val="24"/>
        </w:rPr>
        <w:t xml:space="preserve">The group </w:t>
      </w:r>
      <w:r>
        <w:rPr>
          <w:b w:val="0"/>
          <w:sz w:val="24"/>
          <w:szCs w:val="24"/>
        </w:rPr>
        <w:t xml:space="preserve">approved the document and </w:t>
      </w:r>
      <w:r w:rsidR="008630E1" w:rsidRPr="007C772A">
        <w:rPr>
          <w:b w:val="0"/>
          <w:sz w:val="24"/>
          <w:szCs w:val="24"/>
        </w:rPr>
        <w:t xml:space="preserve">decided to </w:t>
      </w:r>
      <w:r>
        <w:rPr>
          <w:b w:val="0"/>
          <w:sz w:val="24"/>
          <w:szCs w:val="24"/>
        </w:rPr>
        <w:t>submit it</w:t>
      </w:r>
      <w:r w:rsidR="008630E1" w:rsidRPr="007C772A">
        <w:rPr>
          <w:b w:val="0"/>
          <w:sz w:val="24"/>
          <w:szCs w:val="24"/>
        </w:rPr>
        <w:t xml:space="preserve"> to the </w:t>
      </w:r>
      <w:r>
        <w:rPr>
          <w:b w:val="0"/>
          <w:sz w:val="24"/>
          <w:szCs w:val="24"/>
        </w:rPr>
        <w:t>175</w:t>
      </w:r>
      <w:r w:rsidRPr="007C772A">
        <w:rPr>
          <w:b w:val="0"/>
          <w:sz w:val="24"/>
          <w:szCs w:val="24"/>
          <w:vertAlign w:val="superscript"/>
        </w:rPr>
        <w:t>th</w:t>
      </w:r>
      <w:r>
        <w:rPr>
          <w:b w:val="0"/>
          <w:sz w:val="24"/>
          <w:szCs w:val="24"/>
        </w:rPr>
        <w:t xml:space="preserve"> session </w:t>
      </w:r>
      <w:proofErr w:type="gramStart"/>
      <w:r>
        <w:rPr>
          <w:b w:val="0"/>
          <w:sz w:val="24"/>
          <w:szCs w:val="24"/>
        </w:rPr>
        <w:t xml:space="preserve">of </w:t>
      </w:r>
      <w:r w:rsidR="008630E1" w:rsidRPr="007C772A">
        <w:rPr>
          <w:b w:val="0"/>
          <w:sz w:val="24"/>
          <w:szCs w:val="24"/>
        </w:rPr>
        <w:t xml:space="preserve"> WP</w:t>
      </w:r>
      <w:proofErr w:type="gramEnd"/>
      <w:r w:rsidR="008630E1" w:rsidRPr="007C772A">
        <w:rPr>
          <w:b w:val="0"/>
          <w:sz w:val="24"/>
          <w:szCs w:val="24"/>
        </w:rPr>
        <w:t xml:space="preserve">.29 </w:t>
      </w:r>
      <w:r>
        <w:rPr>
          <w:b w:val="0"/>
          <w:sz w:val="24"/>
          <w:szCs w:val="24"/>
        </w:rPr>
        <w:t>for consideration</w:t>
      </w:r>
      <w:r w:rsidR="008630E1" w:rsidRPr="007C772A">
        <w:rPr>
          <w:b w:val="0"/>
          <w:sz w:val="24"/>
          <w:szCs w:val="24"/>
        </w:rPr>
        <w:t>.</w:t>
      </w:r>
    </w:p>
    <w:p w:rsidR="007C772A" w:rsidRPr="007C772A" w:rsidRDefault="007C772A" w:rsidP="007C772A">
      <w:pPr>
        <w:rPr>
          <w:lang w:val="en-GB"/>
        </w:rPr>
      </w:pPr>
    </w:p>
    <w:p w:rsidR="000B0728" w:rsidRDefault="007C772A" w:rsidP="000B0728">
      <w:pPr>
        <w:pStyle w:val="HChG"/>
        <w:keepNext w:val="0"/>
        <w:keepLines w:val="0"/>
        <w:tabs>
          <w:tab w:val="clear" w:pos="851"/>
          <w:tab w:val="right" w:pos="709"/>
        </w:tabs>
        <w:suppressAutoHyphens w:val="0"/>
        <w:spacing w:before="0" w:after="0" w:line="240" w:lineRule="auto"/>
        <w:ind w:left="0" w:right="6" w:firstLine="0"/>
        <w:jc w:val="both"/>
        <w:rPr>
          <w:sz w:val="24"/>
          <w:szCs w:val="24"/>
        </w:rPr>
      </w:pPr>
      <w:r w:rsidRPr="007C772A">
        <w:rPr>
          <w:b w:val="0"/>
          <w:sz w:val="24"/>
          <w:szCs w:val="24"/>
        </w:rPr>
        <w:lastRenderedPageBreak/>
        <w:t xml:space="preserve">         </w:t>
      </w:r>
      <w:r w:rsidRPr="007C772A">
        <w:rPr>
          <w:sz w:val="24"/>
          <w:szCs w:val="24"/>
        </w:rPr>
        <w:t>3</w:t>
      </w:r>
      <w:r w:rsidR="008630E1" w:rsidRPr="007C772A">
        <w:rPr>
          <w:sz w:val="24"/>
          <w:szCs w:val="24"/>
        </w:rPr>
        <w:t>. Coordination between the provisions of the 1968 Vienna Convention and 1997 Vienna Agreement</w:t>
      </w:r>
    </w:p>
    <w:p w:rsidR="008630E1" w:rsidRDefault="000B0728" w:rsidP="008630E1">
      <w:pPr>
        <w:pStyle w:val="SingleTxtG"/>
        <w:tabs>
          <w:tab w:val="left" w:pos="709"/>
        </w:tabs>
        <w:spacing w:after="0"/>
        <w:ind w:left="0" w:right="4"/>
        <w:rPr>
          <w:sz w:val="24"/>
          <w:szCs w:val="24"/>
          <w:lang w:val="en-GB"/>
        </w:rPr>
      </w:pPr>
      <w:r w:rsidRPr="000B0728">
        <w:rPr>
          <w:b/>
          <w:sz w:val="24"/>
          <w:szCs w:val="24"/>
        </w:rPr>
        <w:t xml:space="preserve">         </w:t>
      </w:r>
      <w:r w:rsidRPr="000B0728">
        <w:rPr>
          <w:sz w:val="24"/>
          <w:szCs w:val="24"/>
          <w:lang w:val="en-GB"/>
        </w:rPr>
        <w:t xml:space="preserve">The group follows the directive where necessary and possible, the rules for periodical technical inspections among the various Agreements, Conventions and Resolutions should be harmonised to allow improved safety and sustainability of road transport and exclude legislative obstacles for technological developments. </w:t>
      </w:r>
      <w:r w:rsidR="008630E1" w:rsidRPr="000B0728">
        <w:rPr>
          <w:sz w:val="24"/>
          <w:szCs w:val="24"/>
          <w:lang w:val="en-GB"/>
        </w:rPr>
        <w:t xml:space="preserve">Consolidated Resolution on Road Traffic </w:t>
      </w:r>
      <w:r w:rsidRPr="000B0728">
        <w:rPr>
          <w:sz w:val="24"/>
          <w:szCs w:val="24"/>
          <w:lang w:val="en-GB"/>
        </w:rPr>
        <w:t>(</w:t>
      </w:r>
      <w:r w:rsidR="008630E1" w:rsidRPr="000B0728">
        <w:rPr>
          <w:sz w:val="24"/>
          <w:szCs w:val="24"/>
          <w:lang w:val="en-GB"/>
        </w:rPr>
        <w:t>R.E.1</w:t>
      </w:r>
      <w:r w:rsidRPr="000B0728">
        <w:rPr>
          <w:sz w:val="24"/>
          <w:szCs w:val="24"/>
          <w:lang w:val="en-GB"/>
        </w:rPr>
        <w:t xml:space="preserve">) is referred as the document used for confirmation of vehicle roadworthiness. </w:t>
      </w:r>
      <w:r>
        <w:rPr>
          <w:sz w:val="24"/>
          <w:szCs w:val="24"/>
          <w:lang w:val="en-GB"/>
        </w:rPr>
        <w:t>It was agreed t</w:t>
      </w:r>
      <w:r w:rsidR="00F852B3">
        <w:rPr>
          <w:sz w:val="24"/>
          <w:szCs w:val="24"/>
          <w:lang w:val="en-GB"/>
        </w:rPr>
        <w:t xml:space="preserve">hat the document shall be </w:t>
      </w:r>
      <w:proofErr w:type="gramStart"/>
      <w:r w:rsidR="00F852B3">
        <w:rPr>
          <w:sz w:val="24"/>
          <w:szCs w:val="24"/>
          <w:lang w:val="en-GB"/>
        </w:rPr>
        <w:t>reviewed  and</w:t>
      </w:r>
      <w:proofErr w:type="gramEnd"/>
      <w:r w:rsidR="00F852B3">
        <w:rPr>
          <w:sz w:val="24"/>
          <w:szCs w:val="24"/>
          <w:lang w:val="en-GB"/>
        </w:rPr>
        <w:t xml:space="preserve"> modified, if necessary, to ensure consistency with the 1997 Vienna Agreement</w:t>
      </w:r>
      <w:r w:rsidR="001378E9">
        <w:rPr>
          <w:sz w:val="24"/>
          <w:szCs w:val="24"/>
          <w:lang w:val="en-GB"/>
        </w:rPr>
        <w:t>,</w:t>
      </w:r>
      <w:r w:rsidR="00F852B3">
        <w:rPr>
          <w:sz w:val="24"/>
          <w:szCs w:val="24"/>
          <w:lang w:val="en-GB"/>
        </w:rPr>
        <w:t xml:space="preserve"> the </w:t>
      </w:r>
      <w:r w:rsidR="00F852B3" w:rsidRPr="000B0728">
        <w:rPr>
          <w:sz w:val="24"/>
          <w:szCs w:val="24"/>
          <w:lang w:val="en-GB"/>
        </w:rPr>
        <w:t xml:space="preserve"> improved safety and sustainability of road transport and exclude legislative obstacles for technological developments.</w:t>
      </w:r>
      <w:r w:rsidR="00F852B3">
        <w:rPr>
          <w:sz w:val="24"/>
          <w:szCs w:val="24"/>
          <w:lang w:val="en-GB"/>
        </w:rPr>
        <w:t xml:space="preserve"> </w:t>
      </w:r>
      <w:r w:rsidR="001378E9">
        <w:rPr>
          <w:sz w:val="24"/>
          <w:szCs w:val="24"/>
          <w:lang w:val="en-GB"/>
        </w:rPr>
        <w:t>The proposals shall be submitted to the following meetings of the group.</w:t>
      </w:r>
      <w:r w:rsidRPr="007C772A">
        <w:rPr>
          <w:sz w:val="24"/>
          <w:szCs w:val="24"/>
          <w:lang w:val="en-GB"/>
        </w:rPr>
        <w:t xml:space="preserve"> </w:t>
      </w:r>
    </w:p>
    <w:p w:rsidR="001378E9" w:rsidRPr="007C772A" w:rsidRDefault="001378E9" w:rsidP="008630E1">
      <w:pPr>
        <w:pStyle w:val="SingleTxtG"/>
        <w:tabs>
          <w:tab w:val="left" w:pos="709"/>
        </w:tabs>
        <w:spacing w:after="0"/>
        <w:ind w:left="0" w:right="4"/>
        <w:rPr>
          <w:sz w:val="24"/>
          <w:szCs w:val="24"/>
          <w:lang w:val="en-GB"/>
        </w:rPr>
      </w:pPr>
    </w:p>
    <w:p w:rsidR="008630E1" w:rsidRPr="007C772A" w:rsidRDefault="001378E9" w:rsidP="008630E1">
      <w:pPr>
        <w:tabs>
          <w:tab w:val="right" w:pos="709"/>
        </w:tabs>
        <w:ind w:right="4"/>
        <w:jc w:val="both"/>
        <w:rPr>
          <w:rFonts w:ascii="Times New Roman" w:hAnsi="Times New Roman"/>
          <w:sz w:val="24"/>
          <w:szCs w:val="24"/>
          <w:lang w:val="en-GB" w:eastAsia="x-none"/>
        </w:rPr>
      </w:pPr>
      <w:r>
        <w:rPr>
          <w:rFonts w:ascii="Times New Roman" w:hAnsi="Times New Roman"/>
          <w:sz w:val="24"/>
          <w:szCs w:val="24"/>
          <w:lang w:val="en-GB" w:eastAsia="x-none"/>
        </w:rPr>
        <w:tab/>
        <w:t xml:space="preserve">         </w:t>
      </w:r>
      <w:r w:rsidR="008630E1" w:rsidRPr="007C772A">
        <w:rPr>
          <w:rFonts w:ascii="Times New Roman" w:hAnsi="Times New Roman"/>
          <w:sz w:val="24"/>
          <w:szCs w:val="24"/>
          <w:lang w:val="en-GB" w:eastAsia="x-none"/>
        </w:rPr>
        <w:t xml:space="preserve">The </w:t>
      </w:r>
      <w:r>
        <w:rPr>
          <w:rFonts w:ascii="Times New Roman" w:hAnsi="Times New Roman"/>
          <w:sz w:val="24"/>
          <w:szCs w:val="24"/>
          <w:lang w:val="en-GB" w:eastAsia="x-none"/>
        </w:rPr>
        <w:t>group</w:t>
      </w:r>
      <w:r w:rsidR="008630E1" w:rsidRPr="007C772A">
        <w:rPr>
          <w:rFonts w:ascii="Times New Roman" w:hAnsi="Times New Roman"/>
          <w:sz w:val="24"/>
          <w:szCs w:val="24"/>
          <w:lang w:val="en-GB" w:eastAsia="x-none"/>
        </w:rPr>
        <w:t xml:space="preserve"> thanked </w:t>
      </w:r>
      <w:r w:rsidRPr="007C772A">
        <w:rPr>
          <w:rFonts w:ascii="Times New Roman" w:hAnsi="Times New Roman"/>
          <w:sz w:val="24"/>
          <w:szCs w:val="24"/>
          <w:lang w:val="en-GB" w:eastAsia="x-none"/>
        </w:rPr>
        <w:t>OICA</w:t>
      </w:r>
      <w:r>
        <w:rPr>
          <w:rFonts w:ascii="Times New Roman" w:hAnsi="Times New Roman"/>
          <w:sz w:val="24"/>
          <w:szCs w:val="24"/>
          <w:lang w:val="en-GB" w:eastAsia="x-none"/>
        </w:rPr>
        <w:t xml:space="preserve"> and especially </w:t>
      </w:r>
      <w:proofErr w:type="spellStart"/>
      <w:r>
        <w:rPr>
          <w:rFonts w:ascii="Times New Roman" w:hAnsi="Times New Roman"/>
          <w:sz w:val="24"/>
          <w:szCs w:val="24"/>
          <w:lang w:val="en-GB" w:eastAsia="x-none"/>
        </w:rPr>
        <w:t>Mr.Van</w:t>
      </w:r>
      <w:proofErr w:type="spellEnd"/>
      <w:r>
        <w:rPr>
          <w:rFonts w:ascii="Times New Roman" w:hAnsi="Times New Roman"/>
          <w:sz w:val="24"/>
          <w:szCs w:val="24"/>
          <w:lang w:val="en-GB" w:eastAsia="x-none"/>
        </w:rPr>
        <w:t xml:space="preserve"> der </w:t>
      </w:r>
      <w:proofErr w:type="spellStart"/>
      <w:r>
        <w:rPr>
          <w:rFonts w:ascii="Times New Roman" w:hAnsi="Times New Roman"/>
          <w:sz w:val="24"/>
          <w:szCs w:val="24"/>
          <w:lang w:val="en-GB" w:eastAsia="x-none"/>
        </w:rPr>
        <w:t>Straaten</w:t>
      </w:r>
      <w:proofErr w:type="spellEnd"/>
      <w:r w:rsidRPr="007C772A">
        <w:rPr>
          <w:rFonts w:ascii="Times New Roman" w:hAnsi="Times New Roman"/>
          <w:sz w:val="24"/>
          <w:szCs w:val="24"/>
          <w:lang w:val="en-GB" w:eastAsia="x-none"/>
        </w:rPr>
        <w:t xml:space="preserve"> for hosting it </w:t>
      </w:r>
      <w:r>
        <w:rPr>
          <w:rFonts w:ascii="Times New Roman" w:hAnsi="Times New Roman"/>
          <w:sz w:val="24"/>
          <w:szCs w:val="24"/>
          <w:lang w:val="en-GB" w:eastAsia="x-none"/>
        </w:rPr>
        <w:t xml:space="preserve">and </w:t>
      </w:r>
      <w:r w:rsidR="008630E1" w:rsidRPr="007C772A">
        <w:rPr>
          <w:rFonts w:ascii="Times New Roman" w:hAnsi="Times New Roman"/>
          <w:sz w:val="24"/>
          <w:szCs w:val="24"/>
          <w:lang w:val="en-GB" w:eastAsia="x-none"/>
        </w:rPr>
        <w:t xml:space="preserve">fruitful </w:t>
      </w:r>
      <w:r>
        <w:rPr>
          <w:rFonts w:ascii="Times New Roman" w:hAnsi="Times New Roman"/>
          <w:sz w:val="24"/>
          <w:szCs w:val="24"/>
          <w:lang w:val="en-GB" w:eastAsia="x-none"/>
        </w:rPr>
        <w:t>discussion</w:t>
      </w:r>
      <w:r w:rsidR="008630E1" w:rsidRPr="007C772A">
        <w:rPr>
          <w:rFonts w:ascii="Times New Roman" w:hAnsi="Times New Roman"/>
          <w:sz w:val="24"/>
          <w:szCs w:val="24"/>
          <w:lang w:val="en-GB" w:eastAsia="x-none"/>
        </w:rPr>
        <w:t>.</w:t>
      </w:r>
    </w:p>
    <w:p w:rsidR="008630E1" w:rsidRPr="008630E1" w:rsidRDefault="008630E1" w:rsidP="008630E1">
      <w:pPr>
        <w:rPr>
          <w:lang w:val="en-GB"/>
        </w:rPr>
      </w:pPr>
    </w:p>
    <w:p w:rsidR="00D674B3" w:rsidRDefault="00D674B3" w:rsidP="00D674B3">
      <w:pPr>
        <w:pStyle w:val="SingleTxtG"/>
        <w:tabs>
          <w:tab w:val="right" w:pos="709"/>
        </w:tabs>
        <w:suppressAutoHyphens w:val="0"/>
        <w:ind w:left="1035" w:right="4"/>
        <w:rPr>
          <w:b/>
          <w:sz w:val="22"/>
          <w:szCs w:val="22"/>
          <w:lang w:val="en-GB"/>
        </w:rPr>
      </w:pPr>
    </w:p>
    <w:p w:rsidR="00865ADB" w:rsidRPr="008B3AE7" w:rsidRDefault="00865ADB" w:rsidP="008B3AE7">
      <w:pPr>
        <w:ind w:left="675"/>
        <w:rPr>
          <w:rFonts w:ascii="Times New Roman" w:hAnsi="Times New Roman"/>
        </w:rPr>
      </w:pPr>
    </w:p>
    <w:p w:rsidR="008B3AE7" w:rsidRPr="000757D4" w:rsidRDefault="008B3AE7" w:rsidP="008B3AE7">
      <w:pPr>
        <w:ind w:left="675"/>
        <w:rPr>
          <w:rFonts w:ascii="Times New Roman" w:hAnsi="Times New Roman"/>
        </w:rPr>
      </w:pPr>
    </w:p>
    <w:sectPr w:rsidR="008B3AE7" w:rsidRPr="000757D4" w:rsidSect="00884F75">
      <w:headerReference w:type="default" r:id="rId7"/>
      <w:footerReference w:type="even" r:id="rId8"/>
      <w:footerReference w:type="default" r:id="rId9"/>
      <w:footerReference w:type="first" r:id="rId10"/>
      <w:pgSz w:w="12240" w:h="15840" w:code="1"/>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540" w:rsidRDefault="00351540">
      <w:pPr>
        <w:spacing w:after="0" w:line="240" w:lineRule="auto"/>
      </w:pPr>
      <w:r>
        <w:separator/>
      </w:r>
    </w:p>
  </w:endnote>
  <w:endnote w:type="continuationSeparator" w:id="0">
    <w:p w:rsidR="00351540" w:rsidRDefault="00351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43"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Bold">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F75" w:rsidRPr="00884F75" w:rsidRDefault="006E6E75" w:rsidP="00884F75">
    <w:pPr>
      <w:suppressAutoHyphens/>
      <w:spacing w:after="0" w:line="240" w:lineRule="auto"/>
      <w:rPr>
        <w:rFonts w:ascii="Times New Roman" w:eastAsia="Times New Roman" w:hAnsi="Times New Roman"/>
        <w:b/>
        <w:sz w:val="20"/>
        <w:szCs w:val="20"/>
        <w:lang w:val="en-GB"/>
      </w:rPr>
    </w:pPr>
    <w:r w:rsidRPr="00884F75">
      <w:rPr>
        <w:rFonts w:ascii="Times New Roman" w:eastAsia="Times New Roman" w:hAnsi="Times New Roman"/>
        <w:b/>
        <w:sz w:val="20"/>
        <w:szCs w:val="20"/>
        <w:lang w:val="en-GB"/>
      </w:rPr>
      <w:fldChar w:fldCharType="begin"/>
    </w:r>
    <w:r w:rsidR="00884F75" w:rsidRPr="00884F75">
      <w:rPr>
        <w:rFonts w:ascii="Times New Roman" w:eastAsia="Times New Roman" w:hAnsi="Times New Roman"/>
        <w:b/>
        <w:sz w:val="20"/>
        <w:szCs w:val="20"/>
        <w:lang w:val="en-GB"/>
      </w:rPr>
      <w:instrText xml:space="preserve"> PAGE   \* MERGEFORMAT </w:instrText>
    </w:r>
    <w:r w:rsidRPr="00884F75">
      <w:rPr>
        <w:rFonts w:ascii="Times New Roman" w:eastAsia="Times New Roman" w:hAnsi="Times New Roman"/>
        <w:b/>
        <w:sz w:val="20"/>
        <w:szCs w:val="20"/>
        <w:lang w:val="en-GB"/>
      </w:rPr>
      <w:fldChar w:fldCharType="separate"/>
    </w:r>
    <w:r w:rsidR="00AA3D65">
      <w:rPr>
        <w:rFonts w:ascii="Times New Roman" w:eastAsia="Times New Roman" w:hAnsi="Times New Roman"/>
        <w:b/>
        <w:noProof/>
        <w:sz w:val="20"/>
        <w:szCs w:val="20"/>
        <w:lang w:val="en-GB"/>
      </w:rPr>
      <w:t>2</w:t>
    </w:r>
    <w:r w:rsidRPr="00884F75">
      <w:rPr>
        <w:rFonts w:ascii="Times New Roman" w:eastAsia="Times New Roman" w:hAnsi="Times New Roman"/>
        <w:b/>
        <w:sz w:val="20"/>
        <w:szCs w:val="20"/>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D59" w:rsidRPr="00884F75" w:rsidRDefault="006E6E75" w:rsidP="00884F75">
    <w:pPr>
      <w:suppressAutoHyphens/>
      <w:spacing w:after="0" w:line="240" w:lineRule="auto"/>
      <w:jc w:val="right"/>
      <w:rPr>
        <w:rFonts w:ascii="Times New Roman" w:eastAsia="Times New Roman" w:hAnsi="Times New Roman"/>
        <w:b/>
        <w:sz w:val="20"/>
        <w:szCs w:val="20"/>
        <w:lang w:val="en-GB"/>
      </w:rPr>
    </w:pPr>
    <w:r w:rsidRPr="00884F75">
      <w:rPr>
        <w:rFonts w:ascii="Times New Roman" w:eastAsia="Times New Roman" w:hAnsi="Times New Roman"/>
        <w:b/>
        <w:sz w:val="20"/>
        <w:szCs w:val="20"/>
        <w:lang w:val="en-GB"/>
      </w:rPr>
      <w:fldChar w:fldCharType="begin"/>
    </w:r>
    <w:r w:rsidR="00884F75" w:rsidRPr="00884F75">
      <w:rPr>
        <w:rFonts w:ascii="Times New Roman" w:eastAsia="Times New Roman" w:hAnsi="Times New Roman"/>
        <w:b/>
        <w:sz w:val="20"/>
        <w:szCs w:val="20"/>
        <w:lang w:val="en-GB"/>
      </w:rPr>
      <w:instrText xml:space="preserve"> PAGE   \* MERGEFORMAT </w:instrText>
    </w:r>
    <w:r w:rsidRPr="00884F75">
      <w:rPr>
        <w:rFonts w:ascii="Times New Roman" w:eastAsia="Times New Roman" w:hAnsi="Times New Roman"/>
        <w:b/>
        <w:sz w:val="20"/>
        <w:szCs w:val="20"/>
        <w:lang w:val="en-GB"/>
      </w:rPr>
      <w:fldChar w:fldCharType="separate"/>
    </w:r>
    <w:r w:rsidR="00AA3D65">
      <w:rPr>
        <w:rFonts w:ascii="Times New Roman" w:eastAsia="Times New Roman" w:hAnsi="Times New Roman"/>
        <w:b/>
        <w:noProof/>
        <w:sz w:val="20"/>
        <w:szCs w:val="20"/>
        <w:lang w:val="en-GB"/>
      </w:rPr>
      <w:t>3</w:t>
    </w:r>
    <w:r w:rsidRPr="00884F75">
      <w:rPr>
        <w:rFonts w:ascii="Times New Roman" w:eastAsia="Times New Roman" w:hAnsi="Times New Roman"/>
        <w:b/>
        <w:sz w:val="20"/>
        <w:szCs w:val="20"/>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D59" w:rsidRPr="00884F75" w:rsidRDefault="006E6E75" w:rsidP="00884F75">
    <w:pPr>
      <w:suppressAutoHyphens/>
      <w:spacing w:after="0" w:line="240" w:lineRule="auto"/>
      <w:jc w:val="right"/>
      <w:rPr>
        <w:rFonts w:ascii="Times New Roman" w:eastAsia="Times New Roman" w:hAnsi="Times New Roman"/>
        <w:b/>
        <w:sz w:val="20"/>
        <w:szCs w:val="20"/>
        <w:lang w:val="en-GB"/>
      </w:rPr>
    </w:pPr>
    <w:r w:rsidRPr="00884F75">
      <w:rPr>
        <w:rFonts w:ascii="Times New Roman" w:eastAsia="Times New Roman" w:hAnsi="Times New Roman"/>
        <w:b/>
        <w:sz w:val="20"/>
        <w:szCs w:val="20"/>
        <w:lang w:val="en-GB"/>
      </w:rPr>
      <w:fldChar w:fldCharType="begin"/>
    </w:r>
    <w:r w:rsidR="00884F75" w:rsidRPr="00884F75">
      <w:rPr>
        <w:rFonts w:ascii="Times New Roman" w:eastAsia="Times New Roman" w:hAnsi="Times New Roman"/>
        <w:b/>
        <w:sz w:val="20"/>
        <w:szCs w:val="20"/>
        <w:lang w:val="en-GB"/>
      </w:rPr>
      <w:instrText xml:space="preserve"> PAGE   \* MERGEFORMAT </w:instrText>
    </w:r>
    <w:r w:rsidRPr="00884F75">
      <w:rPr>
        <w:rFonts w:ascii="Times New Roman" w:eastAsia="Times New Roman" w:hAnsi="Times New Roman"/>
        <w:b/>
        <w:sz w:val="20"/>
        <w:szCs w:val="20"/>
        <w:lang w:val="en-GB"/>
      </w:rPr>
      <w:fldChar w:fldCharType="separate"/>
    </w:r>
    <w:r w:rsidR="00AA3D65">
      <w:rPr>
        <w:rFonts w:ascii="Times New Roman" w:eastAsia="Times New Roman" w:hAnsi="Times New Roman"/>
        <w:b/>
        <w:noProof/>
        <w:sz w:val="20"/>
        <w:szCs w:val="20"/>
        <w:lang w:val="en-GB"/>
      </w:rPr>
      <w:t>1</w:t>
    </w:r>
    <w:r w:rsidRPr="00884F75">
      <w:rPr>
        <w:rFonts w:ascii="Times New Roman" w:eastAsia="Times New Roman" w:hAnsi="Times New Roman"/>
        <w:b/>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540" w:rsidRDefault="00351540">
      <w:pPr>
        <w:spacing w:after="0" w:line="240" w:lineRule="auto"/>
      </w:pPr>
      <w:r>
        <w:separator/>
      </w:r>
    </w:p>
  </w:footnote>
  <w:footnote w:type="continuationSeparator" w:id="0">
    <w:p w:rsidR="00351540" w:rsidRDefault="003515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F75" w:rsidRPr="00884F75" w:rsidRDefault="00884F75" w:rsidP="00884F75">
    <w:pPr>
      <w:pBdr>
        <w:bottom w:val="single" w:sz="4" w:space="1" w:color="auto"/>
      </w:pBdr>
      <w:suppressAutoHyphens/>
      <w:spacing w:after="0" w:line="240" w:lineRule="auto"/>
      <w:jc w:val="right"/>
      <w:rPr>
        <w:rFonts w:ascii="Times New Roman" w:eastAsia="Times New Roman" w:hAnsi="Times New Roman"/>
        <w:b/>
        <w:sz w:val="18"/>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0000000A"/>
    <w:lvl w:ilvl="0">
      <w:start w:val="1"/>
      <w:numFmt w:val="upperRoman"/>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072D7836"/>
    <w:multiLevelType w:val="hybridMultilevel"/>
    <w:tmpl w:val="E5569272"/>
    <w:lvl w:ilvl="0" w:tplc="8990EAF2">
      <w:start w:val="13"/>
      <w:numFmt w:val="bullet"/>
      <w:lvlText w:val="-"/>
      <w:lvlJc w:val="left"/>
      <w:pPr>
        <w:ind w:left="1146" w:hanging="360"/>
      </w:pPr>
      <w:rPr>
        <w:rFonts w:ascii="Calibri" w:eastAsia="Calibri" w:hAnsi="Calibri"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495A78"/>
    <w:multiLevelType w:val="hybridMultilevel"/>
    <w:tmpl w:val="DFEE5A36"/>
    <w:lvl w:ilvl="0" w:tplc="2BD29E50">
      <w:start w:val="1"/>
      <w:numFmt w:val="bullet"/>
      <w:lvlText w:val="•"/>
      <w:lvlJc w:val="left"/>
      <w:pPr>
        <w:tabs>
          <w:tab w:val="num" w:pos="720"/>
        </w:tabs>
        <w:ind w:left="720" w:hanging="360"/>
      </w:pPr>
      <w:rPr>
        <w:rFonts w:ascii="Arial" w:hAnsi="Arial" w:hint="default"/>
      </w:rPr>
    </w:lvl>
    <w:lvl w:ilvl="1" w:tplc="D6726964" w:tentative="1">
      <w:start w:val="1"/>
      <w:numFmt w:val="bullet"/>
      <w:lvlText w:val="•"/>
      <w:lvlJc w:val="left"/>
      <w:pPr>
        <w:tabs>
          <w:tab w:val="num" w:pos="1440"/>
        </w:tabs>
        <w:ind w:left="1440" w:hanging="360"/>
      </w:pPr>
      <w:rPr>
        <w:rFonts w:ascii="Arial" w:hAnsi="Arial" w:hint="default"/>
      </w:rPr>
    </w:lvl>
    <w:lvl w:ilvl="2" w:tplc="90DE4036" w:tentative="1">
      <w:start w:val="1"/>
      <w:numFmt w:val="bullet"/>
      <w:lvlText w:val="•"/>
      <w:lvlJc w:val="left"/>
      <w:pPr>
        <w:tabs>
          <w:tab w:val="num" w:pos="2160"/>
        </w:tabs>
        <w:ind w:left="2160" w:hanging="360"/>
      </w:pPr>
      <w:rPr>
        <w:rFonts w:ascii="Arial" w:hAnsi="Arial" w:hint="default"/>
      </w:rPr>
    </w:lvl>
    <w:lvl w:ilvl="3" w:tplc="E9FE6402" w:tentative="1">
      <w:start w:val="1"/>
      <w:numFmt w:val="bullet"/>
      <w:lvlText w:val="•"/>
      <w:lvlJc w:val="left"/>
      <w:pPr>
        <w:tabs>
          <w:tab w:val="num" w:pos="2880"/>
        </w:tabs>
        <w:ind w:left="2880" w:hanging="360"/>
      </w:pPr>
      <w:rPr>
        <w:rFonts w:ascii="Arial" w:hAnsi="Arial" w:hint="default"/>
      </w:rPr>
    </w:lvl>
    <w:lvl w:ilvl="4" w:tplc="0A1C2FE8" w:tentative="1">
      <w:start w:val="1"/>
      <w:numFmt w:val="bullet"/>
      <w:lvlText w:val="•"/>
      <w:lvlJc w:val="left"/>
      <w:pPr>
        <w:tabs>
          <w:tab w:val="num" w:pos="3600"/>
        </w:tabs>
        <w:ind w:left="3600" w:hanging="360"/>
      </w:pPr>
      <w:rPr>
        <w:rFonts w:ascii="Arial" w:hAnsi="Arial" w:hint="default"/>
      </w:rPr>
    </w:lvl>
    <w:lvl w:ilvl="5" w:tplc="3A1C9610" w:tentative="1">
      <w:start w:val="1"/>
      <w:numFmt w:val="bullet"/>
      <w:lvlText w:val="•"/>
      <w:lvlJc w:val="left"/>
      <w:pPr>
        <w:tabs>
          <w:tab w:val="num" w:pos="4320"/>
        </w:tabs>
        <w:ind w:left="4320" w:hanging="360"/>
      </w:pPr>
      <w:rPr>
        <w:rFonts w:ascii="Arial" w:hAnsi="Arial" w:hint="default"/>
      </w:rPr>
    </w:lvl>
    <w:lvl w:ilvl="6" w:tplc="4CE4349A" w:tentative="1">
      <w:start w:val="1"/>
      <w:numFmt w:val="bullet"/>
      <w:lvlText w:val="•"/>
      <w:lvlJc w:val="left"/>
      <w:pPr>
        <w:tabs>
          <w:tab w:val="num" w:pos="5040"/>
        </w:tabs>
        <w:ind w:left="5040" w:hanging="360"/>
      </w:pPr>
      <w:rPr>
        <w:rFonts w:ascii="Arial" w:hAnsi="Arial" w:hint="default"/>
      </w:rPr>
    </w:lvl>
    <w:lvl w:ilvl="7" w:tplc="7A127AB2" w:tentative="1">
      <w:start w:val="1"/>
      <w:numFmt w:val="bullet"/>
      <w:lvlText w:val="•"/>
      <w:lvlJc w:val="left"/>
      <w:pPr>
        <w:tabs>
          <w:tab w:val="num" w:pos="5760"/>
        </w:tabs>
        <w:ind w:left="5760" w:hanging="360"/>
      </w:pPr>
      <w:rPr>
        <w:rFonts w:ascii="Arial" w:hAnsi="Arial" w:hint="default"/>
      </w:rPr>
    </w:lvl>
    <w:lvl w:ilvl="8" w:tplc="825C643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3B21EA"/>
    <w:multiLevelType w:val="hybridMultilevel"/>
    <w:tmpl w:val="278CB2BA"/>
    <w:lvl w:ilvl="0" w:tplc="3A6CA340">
      <w:start w:val="6"/>
      <w:numFmt w:val="decimal"/>
      <w:lvlText w:val="%1."/>
      <w:lvlJc w:val="left"/>
      <w:pPr>
        <w:ind w:left="1211" w:hanging="360"/>
      </w:pPr>
      <w:rPr>
        <w:rFonts w:hint="default"/>
        <w:sz w:val="22"/>
        <w:szCs w:val="22"/>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4" w15:restartNumberingAfterBreak="0">
    <w:nsid w:val="18815269"/>
    <w:multiLevelType w:val="hybridMultilevel"/>
    <w:tmpl w:val="BD306576"/>
    <w:lvl w:ilvl="0" w:tplc="4F6C4F3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5" w15:restartNumberingAfterBreak="0">
    <w:nsid w:val="264A0BB8"/>
    <w:multiLevelType w:val="hybridMultilevel"/>
    <w:tmpl w:val="583C575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8D171D"/>
    <w:multiLevelType w:val="hybridMultilevel"/>
    <w:tmpl w:val="4EFA295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37917DE4"/>
    <w:multiLevelType w:val="hybridMultilevel"/>
    <w:tmpl w:val="C9FA22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1784D84"/>
    <w:multiLevelType w:val="hybridMultilevel"/>
    <w:tmpl w:val="F4A4F288"/>
    <w:lvl w:ilvl="0" w:tplc="08090001">
      <w:start w:val="1"/>
      <w:numFmt w:val="bullet"/>
      <w:lvlText w:val=""/>
      <w:lvlJc w:val="left"/>
      <w:pPr>
        <w:ind w:left="2251" w:hanging="360"/>
      </w:pPr>
      <w:rPr>
        <w:rFonts w:ascii="Symbol" w:hAnsi="Symbol" w:hint="default"/>
      </w:rPr>
    </w:lvl>
    <w:lvl w:ilvl="1" w:tplc="08090003" w:tentative="1">
      <w:start w:val="1"/>
      <w:numFmt w:val="bullet"/>
      <w:lvlText w:val="o"/>
      <w:lvlJc w:val="left"/>
      <w:pPr>
        <w:ind w:left="2971" w:hanging="360"/>
      </w:pPr>
      <w:rPr>
        <w:rFonts w:ascii="Courier New" w:hAnsi="Courier New" w:cs="Courier New" w:hint="default"/>
      </w:rPr>
    </w:lvl>
    <w:lvl w:ilvl="2" w:tplc="08090005" w:tentative="1">
      <w:start w:val="1"/>
      <w:numFmt w:val="bullet"/>
      <w:lvlText w:val=""/>
      <w:lvlJc w:val="left"/>
      <w:pPr>
        <w:ind w:left="3691" w:hanging="360"/>
      </w:pPr>
      <w:rPr>
        <w:rFonts w:ascii="Wingdings" w:hAnsi="Wingdings" w:hint="default"/>
      </w:rPr>
    </w:lvl>
    <w:lvl w:ilvl="3" w:tplc="08090001" w:tentative="1">
      <w:start w:val="1"/>
      <w:numFmt w:val="bullet"/>
      <w:lvlText w:val=""/>
      <w:lvlJc w:val="left"/>
      <w:pPr>
        <w:ind w:left="4411" w:hanging="360"/>
      </w:pPr>
      <w:rPr>
        <w:rFonts w:ascii="Symbol" w:hAnsi="Symbol" w:hint="default"/>
      </w:rPr>
    </w:lvl>
    <w:lvl w:ilvl="4" w:tplc="08090003" w:tentative="1">
      <w:start w:val="1"/>
      <w:numFmt w:val="bullet"/>
      <w:lvlText w:val="o"/>
      <w:lvlJc w:val="left"/>
      <w:pPr>
        <w:ind w:left="5131" w:hanging="360"/>
      </w:pPr>
      <w:rPr>
        <w:rFonts w:ascii="Courier New" w:hAnsi="Courier New" w:cs="Courier New" w:hint="default"/>
      </w:rPr>
    </w:lvl>
    <w:lvl w:ilvl="5" w:tplc="08090005" w:tentative="1">
      <w:start w:val="1"/>
      <w:numFmt w:val="bullet"/>
      <w:lvlText w:val=""/>
      <w:lvlJc w:val="left"/>
      <w:pPr>
        <w:ind w:left="5851" w:hanging="360"/>
      </w:pPr>
      <w:rPr>
        <w:rFonts w:ascii="Wingdings" w:hAnsi="Wingdings" w:hint="default"/>
      </w:rPr>
    </w:lvl>
    <w:lvl w:ilvl="6" w:tplc="08090001" w:tentative="1">
      <w:start w:val="1"/>
      <w:numFmt w:val="bullet"/>
      <w:lvlText w:val=""/>
      <w:lvlJc w:val="left"/>
      <w:pPr>
        <w:ind w:left="6571" w:hanging="360"/>
      </w:pPr>
      <w:rPr>
        <w:rFonts w:ascii="Symbol" w:hAnsi="Symbol" w:hint="default"/>
      </w:rPr>
    </w:lvl>
    <w:lvl w:ilvl="7" w:tplc="08090003" w:tentative="1">
      <w:start w:val="1"/>
      <w:numFmt w:val="bullet"/>
      <w:lvlText w:val="o"/>
      <w:lvlJc w:val="left"/>
      <w:pPr>
        <w:ind w:left="7291" w:hanging="360"/>
      </w:pPr>
      <w:rPr>
        <w:rFonts w:ascii="Courier New" w:hAnsi="Courier New" w:cs="Courier New" w:hint="default"/>
      </w:rPr>
    </w:lvl>
    <w:lvl w:ilvl="8" w:tplc="08090005" w:tentative="1">
      <w:start w:val="1"/>
      <w:numFmt w:val="bullet"/>
      <w:lvlText w:val=""/>
      <w:lvlJc w:val="left"/>
      <w:pPr>
        <w:ind w:left="8011" w:hanging="360"/>
      </w:pPr>
      <w:rPr>
        <w:rFonts w:ascii="Wingdings" w:hAnsi="Wingdings" w:hint="default"/>
      </w:rPr>
    </w:lvl>
  </w:abstractNum>
  <w:abstractNum w:abstractNumId="9" w15:restartNumberingAfterBreak="0">
    <w:nsid w:val="49C72886"/>
    <w:multiLevelType w:val="hybridMultilevel"/>
    <w:tmpl w:val="9FC61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745E46"/>
    <w:multiLevelType w:val="hybridMultilevel"/>
    <w:tmpl w:val="EF0AFA40"/>
    <w:lvl w:ilvl="0" w:tplc="8990EAF2">
      <w:start w:val="13"/>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D31B11"/>
    <w:multiLevelType w:val="multilevel"/>
    <w:tmpl w:val="9B22EA08"/>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2" w15:restartNumberingAfterBreak="0">
    <w:nsid w:val="59C22050"/>
    <w:multiLevelType w:val="hybridMultilevel"/>
    <w:tmpl w:val="C9D0BE50"/>
    <w:lvl w:ilvl="0" w:tplc="1FCE96E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B3D6A5B"/>
    <w:multiLevelType w:val="hybridMultilevel"/>
    <w:tmpl w:val="FF0C25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F440042"/>
    <w:multiLevelType w:val="hybridMultilevel"/>
    <w:tmpl w:val="320C6844"/>
    <w:lvl w:ilvl="0" w:tplc="69C62B56">
      <w:start w:val="1"/>
      <w:numFmt w:val="bullet"/>
      <w:lvlText w:val="•"/>
      <w:lvlJc w:val="left"/>
      <w:pPr>
        <w:tabs>
          <w:tab w:val="num" w:pos="720"/>
        </w:tabs>
        <w:ind w:left="720" w:hanging="360"/>
      </w:pPr>
      <w:rPr>
        <w:rFonts w:ascii="Arial" w:hAnsi="Arial" w:hint="default"/>
      </w:rPr>
    </w:lvl>
    <w:lvl w:ilvl="1" w:tplc="063201D2" w:tentative="1">
      <w:start w:val="1"/>
      <w:numFmt w:val="bullet"/>
      <w:lvlText w:val="•"/>
      <w:lvlJc w:val="left"/>
      <w:pPr>
        <w:tabs>
          <w:tab w:val="num" w:pos="1440"/>
        </w:tabs>
        <w:ind w:left="1440" w:hanging="360"/>
      </w:pPr>
      <w:rPr>
        <w:rFonts w:ascii="Arial" w:hAnsi="Arial" w:hint="default"/>
      </w:rPr>
    </w:lvl>
    <w:lvl w:ilvl="2" w:tplc="1D640176" w:tentative="1">
      <w:start w:val="1"/>
      <w:numFmt w:val="bullet"/>
      <w:lvlText w:val="•"/>
      <w:lvlJc w:val="left"/>
      <w:pPr>
        <w:tabs>
          <w:tab w:val="num" w:pos="2160"/>
        </w:tabs>
        <w:ind w:left="2160" w:hanging="360"/>
      </w:pPr>
      <w:rPr>
        <w:rFonts w:ascii="Arial" w:hAnsi="Arial" w:hint="default"/>
      </w:rPr>
    </w:lvl>
    <w:lvl w:ilvl="3" w:tplc="468012FC" w:tentative="1">
      <w:start w:val="1"/>
      <w:numFmt w:val="bullet"/>
      <w:lvlText w:val="•"/>
      <w:lvlJc w:val="left"/>
      <w:pPr>
        <w:tabs>
          <w:tab w:val="num" w:pos="2880"/>
        </w:tabs>
        <w:ind w:left="2880" w:hanging="360"/>
      </w:pPr>
      <w:rPr>
        <w:rFonts w:ascii="Arial" w:hAnsi="Arial" w:hint="default"/>
      </w:rPr>
    </w:lvl>
    <w:lvl w:ilvl="4" w:tplc="BCAEE9F8" w:tentative="1">
      <w:start w:val="1"/>
      <w:numFmt w:val="bullet"/>
      <w:lvlText w:val="•"/>
      <w:lvlJc w:val="left"/>
      <w:pPr>
        <w:tabs>
          <w:tab w:val="num" w:pos="3600"/>
        </w:tabs>
        <w:ind w:left="3600" w:hanging="360"/>
      </w:pPr>
      <w:rPr>
        <w:rFonts w:ascii="Arial" w:hAnsi="Arial" w:hint="default"/>
      </w:rPr>
    </w:lvl>
    <w:lvl w:ilvl="5" w:tplc="60B09FCC" w:tentative="1">
      <w:start w:val="1"/>
      <w:numFmt w:val="bullet"/>
      <w:lvlText w:val="•"/>
      <w:lvlJc w:val="left"/>
      <w:pPr>
        <w:tabs>
          <w:tab w:val="num" w:pos="4320"/>
        </w:tabs>
        <w:ind w:left="4320" w:hanging="360"/>
      </w:pPr>
      <w:rPr>
        <w:rFonts w:ascii="Arial" w:hAnsi="Arial" w:hint="default"/>
      </w:rPr>
    </w:lvl>
    <w:lvl w:ilvl="6" w:tplc="018CDB1E" w:tentative="1">
      <w:start w:val="1"/>
      <w:numFmt w:val="bullet"/>
      <w:lvlText w:val="•"/>
      <w:lvlJc w:val="left"/>
      <w:pPr>
        <w:tabs>
          <w:tab w:val="num" w:pos="5040"/>
        </w:tabs>
        <w:ind w:left="5040" w:hanging="360"/>
      </w:pPr>
      <w:rPr>
        <w:rFonts w:ascii="Arial" w:hAnsi="Arial" w:hint="default"/>
      </w:rPr>
    </w:lvl>
    <w:lvl w:ilvl="7" w:tplc="ABA4638C" w:tentative="1">
      <w:start w:val="1"/>
      <w:numFmt w:val="bullet"/>
      <w:lvlText w:val="•"/>
      <w:lvlJc w:val="left"/>
      <w:pPr>
        <w:tabs>
          <w:tab w:val="num" w:pos="5760"/>
        </w:tabs>
        <w:ind w:left="5760" w:hanging="360"/>
      </w:pPr>
      <w:rPr>
        <w:rFonts w:ascii="Arial" w:hAnsi="Arial" w:hint="default"/>
      </w:rPr>
    </w:lvl>
    <w:lvl w:ilvl="8" w:tplc="5ED2F31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6B32644"/>
    <w:multiLevelType w:val="hybridMultilevel"/>
    <w:tmpl w:val="B4F0ECDC"/>
    <w:lvl w:ilvl="0" w:tplc="E87C7D7E">
      <w:numFmt w:val="bullet"/>
      <w:lvlText w:val="-"/>
      <w:lvlJc w:val="left"/>
      <w:pPr>
        <w:ind w:left="780" w:hanging="360"/>
      </w:pPr>
      <w:rPr>
        <w:rFonts w:ascii="Times New Roman" w:eastAsia="SimSun" w:hAnsi="Times New Roman"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6CAF3CA7"/>
    <w:multiLevelType w:val="multilevel"/>
    <w:tmpl w:val="CFF2F036"/>
    <w:lvl w:ilvl="0">
      <w:start w:val="2"/>
      <w:numFmt w:val="decimal"/>
      <w:lvlText w:val="%1."/>
      <w:lvlJc w:val="left"/>
      <w:pPr>
        <w:ind w:left="1800" w:hanging="360"/>
      </w:pPr>
      <w:rPr>
        <w:rFonts w:hint="default"/>
      </w:rPr>
    </w:lvl>
    <w:lvl w:ilvl="1">
      <w:start w:val="1"/>
      <w:numFmt w:val="decimal"/>
      <w:isLgl/>
      <w:lvlText w:val="%1.%2."/>
      <w:lvlJc w:val="left"/>
      <w:pPr>
        <w:ind w:left="2148" w:hanging="708"/>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7" w15:restartNumberingAfterBreak="0">
    <w:nsid w:val="7C3020F0"/>
    <w:multiLevelType w:val="hybridMultilevel"/>
    <w:tmpl w:val="7E2A6DBA"/>
    <w:lvl w:ilvl="0" w:tplc="08090001">
      <w:start w:val="1"/>
      <w:numFmt w:val="bullet"/>
      <w:lvlText w:val=""/>
      <w:lvlJc w:val="left"/>
      <w:pPr>
        <w:ind w:left="2251" w:hanging="360"/>
      </w:pPr>
      <w:rPr>
        <w:rFonts w:ascii="Symbol" w:hAnsi="Symbol" w:hint="default"/>
      </w:rPr>
    </w:lvl>
    <w:lvl w:ilvl="1" w:tplc="08090003" w:tentative="1">
      <w:start w:val="1"/>
      <w:numFmt w:val="bullet"/>
      <w:lvlText w:val="o"/>
      <w:lvlJc w:val="left"/>
      <w:pPr>
        <w:ind w:left="2971" w:hanging="360"/>
      </w:pPr>
      <w:rPr>
        <w:rFonts w:ascii="Courier New" w:hAnsi="Courier New" w:cs="Courier New" w:hint="default"/>
      </w:rPr>
    </w:lvl>
    <w:lvl w:ilvl="2" w:tplc="08090005" w:tentative="1">
      <w:start w:val="1"/>
      <w:numFmt w:val="bullet"/>
      <w:lvlText w:val=""/>
      <w:lvlJc w:val="left"/>
      <w:pPr>
        <w:ind w:left="3691" w:hanging="360"/>
      </w:pPr>
      <w:rPr>
        <w:rFonts w:ascii="Wingdings" w:hAnsi="Wingdings" w:hint="default"/>
      </w:rPr>
    </w:lvl>
    <w:lvl w:ilvl="3" w:tplc="08090001" w:tentative="1">
      <w:start w:val="1"/>
      <w:numFmt w:val="bullet"/>
      <w:lvlText w:val=""/>
      <w:lvlJc w:val="left"/>
      <w:pPr>
        <w:ind w:left="4411" w:hanging="360"/>
      </w:pPr>
      <w:rPr>
        <w:rFonts w:ascii="Symbol" w:hAnsi="Symbol" w:hint="default"/>
      </w:rPr>
    </w:lvl>
    <w:lvl w:ilvl="4" w:tplc="08090003" w:tentative="1">
      <w:start w:val="1"/>
      <w:numFmt w:val="bullet"/>
      <w:lvlText w:val="o"/>
      <w:lvlJc w:val="left"/>
      <w:pPr>
        <w:ind w:left="5131" w:hanging="360"/>
      </w:pPr>
      <w:rPr>
        <w:rFonts w:ascii="Courier New" w:hAnsi="Courier New" w:cs="Courier New" w:hint="default"/>
      </w:rPr>
    </w:lvl>
    <w:lvl w:ilvl="5" w:tplc="08090005" w:tentative="1">
      <w:start w:val="1"/>
      <w:numFmt w:val="bullet"/>
      <w:lvlText w:val=""/>
      <w:lvlJc w:val="left"/>
      <w:pPr>
        <w:ind w:left="5851" w:hanging="360"/>
      </w:pPr>
      <w:rPr>
        <w:rFonts w:ascii="Wingdings" w:hAnsi="Wingdings" w:hint="default"/>
      </w:rPr>
    </w:lvl>
    <w:lvl w:ilvl="6" w:tplc="08090001" w:tentative="1">
      <w:start w:val="1"/>
      <w:numFmt w:val="bullet"/>
      <w:lvlText w:val=""/>
      <w:lvlJc w:val="left"/>
      <w:pPr>
        <w:ind w:left="6571" w:hanging="360"/>
      </w:pPr>
      <w:rPr>
        <w:rFonts w:ascii="Symbol" w:hAnsi="Symbol" w:hint="default"/>
      </w:rPr>
    </w:lvl>
    <w:lvl w:ilvl="7" w:tplc="08090003" w:tentative="1">
      <w:start w:val="1"/>
      <w:numFmt w:val="bullet"/>
      <w:lvlText w:val="o"/>
      <w:lvlJc w:val="left"/>
      <w:pPr>
        <w:ind w:left="7291" w:hanging="360"/>
      </w:pPr>
      <w:rPr>
        <w:rFonts w:ascii="Courier New" w:hAnsi="Courier New" w:cs="Courier New" w:hint="default"/>
      </w:rPr>
    </w:lvl>
    <w:lvl w:ilvl="8" w:tplc="08090005" w:tentative="1">
      <w:start w:val="1"/>
      <w:numFmt w:val="bullet"/>
      <w:lvlText w:val=""/>
      <w:lvlJc w:val="left"/>
      <w:pPr>
        <w:ind w:left="8011" w:hanging="360"/>
      </w:pPr>
      <w:rPr>
        <w:rFonts w:ascii="Wingdings" w:hAnsi="Wingdings" w:hint="default"/>
      </w:rPr>
    </w:lvl>
  </w:abstractNum>
  <w:num w:numId="1">
    <w:abstractNumId w:val="7"/>
  </w:num>
  <w:num w:numId="2">
    <w:abstractNumId w:val="13"/>
  </w:num>
  <w:num w:numId="3">
    <w:abstractNumId w:val="2"/>
  </w:num>
  <w:num w:numId="4">
    <w:abstractNumId w:val="14"/>
  </w:num>
  <w:num w:numId="5">
    <w:abstractNumId w:val="8"/>
  </w:num>
  <w:num w:numId="6">
    <w:abstractNumId w:val="17"/>
  </w:num>
  <w:num w:numId="7">
    <w:abstractNumId w:val="15"/>
  </w:num>
  <w:num w:numId="8">
    <w:abstractNumId w:val="3"/>
  </w:num>
  <w:num w:numId="9">
    <w:abstractNumId w:val="16"/>
  </w:num>
  <w:num w:numId="10">
    <w:abstractNumId w:val="9"/>
  </w:num>
  <w:num w:numId="11">
    <w:abstractNumId w:val="4"/>
  </w:num>
  <w:num w:numId="12">
    <w:abstractNumId w:val="0"/>
  </w:num>
  <w:num w:numId="13">
    <w:abstractNumId w:val="11"/>
  </w:num>
  <w:num w:numId="14">
    <w:abstractNumId w:val="5"/>
  </w:num>
  <w:num w:numId="15">
    <w:abstractNumId w:val="12"/>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6AC"/>
    <w:rsid w:val="00014134"/>
    <w:rsid w:val="00016529"/>
    <w:rsid w:val="000225C9"/>
    <w:rsid w:val="0003647D"/>
    <w:rsid w:val="000757D4"/>
    <w:rsid w:val="00086E75"/>
    <w:rsid w:val="00091DA3"/>
    <w:rsid w:val="000B0728"/>
    <w:rsid w:val="000C2F32"/>
    <w:rsid w:val="000D250C"/>
    <w:rsid w:val="000D580F"/>
    <w:rsid w:val="000E0C85"/>
    <w:rsid w:val="000F245B"/>
    <w:rsid w:val="00104BDA"/>
    <w:rsid w:val="001142E7"/>
    <w:rsid w:val="001167C7"/>
    <w:rsid w:val="001252DC"/>
    <w:rsid w:val="001378E9"/>
    <w:rsid w:val="00152ADB"/>
    <w:rsid w:val="00152EBD"/>
    <w:rsid w:val="001577FE"/>
    <w:rsid w:val="001A092B"/>
    <w:rsid w:val="001D268F"/>
    <w:rsid w:val="001D3D87"/>
    <w:rsid w:val="001E48A0"/>
    <w:rsid w:val="002167CB"/>
    <w:rsid w:val="00222811"/>
    <w:rsid w:val="00245CA6"/>
    <w:rsid w:val="00293AFB"/>
    <w:rsid w:val="00296E4B"/>
    <w:rsid w:val="00297B7A"/>
    <w:rsid w:val="002A0D96"/>
    <w:rsid w:val="002A1092"/>
    <w:rsid w:val="002A6214"/>
    <w:rsid w:val="002C2FCA"/>
    <w:rsid w:val="002C6E1D"/>
    <w:rsid w:val="002F01A9"/>
    <w:rsid w:val="00326383"/>
    <w:rsid w:val="0033551D"/>
    <w:rsid w:val="00351540"/>
    <w:rsid w:val="00377C11"/>
    <w:rsid w:val="003A1A5A"/>
    <w:rsid w:val="003A2E93"/>
    <w:rsid w:val="003B25EC"/>
    <w:rsid w:val="003C642F"/>
    <w:rsid w:val="003C749F"/>
    <w:rsid w:val="003D30DA"/>
    <w:rsid w:val="003D7634"/>
    <w:rsid w:val="00437DE3"/>
    <w:rsid w:val="00452FAE"/>
    <w:rsid w:val="00467ED2"/>
    <w:rsid w:val="00491531"/>
    <w:rsid w:val="004A136B"/>
    <w:rsid w:val="004A3AA7"/>
    <w:rsid w:val="004B54BD"/>
    <w:rsid w:val="004C2791"/>
    <w:rsid w:val="004C39D4"/>
    <w:rsid w:val="004D3BFD"/>
    <w:rsid w:val="004E55FE"/>
    <w:rsid w:val="00503314"/>
    <w:rsid w:val="005709B5"/>
    <w:rsid w:val="00571394"/>
    <w:rsid w:val="00582977"/>
    <w:rsid w:val="00590DDE"/>
    <w:rsid w:val="005922AF"/>
    <w:rsid w:val="005C3B59"/>
    <w:rsid w:val="005D07D8"/>
    <w:rsid w:val="005F4C64"/>
    <w:rsid w:val="00662844"/>
    <w:rsid w:val="006A4085"/>
    <w:rsid w:val="006B0EA8"/>
    <w:rsid w:val="006D7462"/>
    <w:rsid w:val="006E5D10"/>
    <w:rsid w:val="006E6E75"/>
    <w:rsid w:val="00734CD0"/>
    <w:rsid w:val="0073698B"/>
    <w:rsid w:val="00756047"/>
    <w:rsid w:val="00761FE8"/>
    <w:rsid w:val="007C511B"/>
    <w:rsid w:val="007C57A4"/>
    <w:rsid w:val="007C772A"/>
    <w:rsid w:val="007F136D"/>
    <w:rsid w:val="00840533"/>
    <w:rsid w:val="0084655F"/>
    <w:rsid w:val="008610E7"/>
    <w:rsid w:val="008630E1"/>
    <w:rsid w:val="00863BC1"/>
    <w:rsid w:val="00864636"/>
    <w:rsid w:val="00865ADB"/>
    <w:rsid w:val="00884F75"/>
    <w:rsid w:val="008A118A"/>
    <w:rsid w:val="008B3AE7"/>
    <w:rsid w:val="008C3BC4"/>
    <w:rsid w:val="008C7955"/>
    <w:rsid w:val="00914361"/>
    <w:rsid w:val="00920BE8"/>
    <w:rsid w:val="00991A14"/>
    <w:rsid w:val="00997F7F"/>
    <w:rsid w:val="009A3E50"/>
    <w:rsid w:val="009B660D"/>
    <w:rsid w:val="009B76AA"/>
    <w:rsid w:val="00A20D2A"/>
    <w:rsid w:val="00A34048"/>
    <w:rsid w:val="00A500C9"/>
    <w:rsid w:val="00A63A58"/>
    <w:rsid w:val="00A834CE"/>
    <w:rsid w:val="00AA3D65"/>
    <w:rsid w:val="00AB4941"/>
    <w:rsid w:val="00AB544E"/>
    <w:rsid w:val="00AB6C0F"/>
    <w:rsid w:val="00AC6F95"/>
    <w:rsid w:val="00AE42DF"/>
    <w:rsid w:val="00B30BA9"/>
    <w:rsid w:val="00B530CC"/>
    <w:rsid w:val="00B63DA0"/>
    <w:rsid w:val="00B65905"/>
    <w:rsid w:val="00B72F06"/>
    <w:rsid w:val="00B926AC"/>
    <w:rsid w:val="00B97185"/>
    <w:rsid w:val="00BC1361"/>
    <w:rsid w:val="00BC221C"/>
    <w:rsid w:val="00C15611"/>
    <w:rsid w:val="00C23102"/>
    <w:rsid w:val="00C34E9E"/>
    <w:rsid w:val="00C658D0"/>
    <w:rsid w:val="00C850FC"/>
    <w:rsid w:val="00C87232"/>
    <w:rsid w:val="00C92E6F"/>
    <w:rsid w:val="00CD2FAD"/>
    <w:rsid w:val="00CD3D37"/>
    <w:rsid w:val="00CE0648"/>
    <w:rsid w:val="00CF448E"/>
    <w:rsid w:val="00D10248"/>
    <w:rsid w:val="00D602B6"/>
    <w:rsid w:val="00D674B3"/>
    <w:rsid w:val="00D7380F"/>
    <w:rsid w:val="00D74066"/>
    <w:rsid w:val="00D74E03"/>
    <w:rsid w:val="00D850FE"/>
    <w:rsid w:val="00DB1477"/>
    <w:rsid w:val="00DB377D"/>
    <w:rsid w:val="00DC1BF6"/>
    <w:rsid w:val="00DC2F89"/>
    <w:rsid w:val="00DD19A4"/>
    <w:rsid w:val="00DD6021"/>
    <w:rsid w:val="00DF2435"/>
    <w:rsid w:val="00E04683"/>
    <w:rsid w:val="00E07FAE"/>
    <w:rsid w:val="00E475E5"/>
    <w:rsid w:val="00E86ECB"/>
    <w:rsid w:val="00E91830"/>
    <w:rsid w:val="00E9566A"/>
    <w:rsid w:val="00EA3C85"/>
    <w:rsid w:val="00EC4E93"/>
    <w:rsid w:val="00ED7032"/>
    <w:rsid w:val="00EE48A0"/>
    <w:rsid w:val="00F01B5A"/>
    <w:rsid w:val="00F20D61"/>
    <w:rsid w:val="00F24DD0"/>
    <w:rsid w:val="00F6091B"/>
    <w:rsid w:val="00F72A89"/>
    <w:rsid w:val="00F746B8"/>
    <w:rsid w:val="00F76FDB"/>
    <w:rsid w:val="00F83662"/>
    <w:rsid w:val="00F851F7"/>
    <w:rsid w:val="00F852B3"/>
    <w:rsid w:val="00F93640"/>
    <w:rsid w:val="00FB68D9"/>
    <w:rsid w:val="00FD2428"/>
    <w:rsid w:val="00FE0B20"/>
    <w:rsid w:val="00FF1B0E"/>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D6E8CB"/>
  <w15:docId w15:val="{DA08C54F-98E6-4043-B6B6-ED732308F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26AC"/>
    <w:rPr>
      <w:rFonts w:ascii="Calibri" w:eastAsia="Calibri" w:hAnsi="Calibri" w:cs="Times New Roman"/>
      <w:lang w:val="en-US"/>
    </w:rPr>
  </w:style>
  <w:style w:type="paragraph" w:styleId="Heading2">
    <w:name w:val="heading 2"/>
    <w:basedOn w:val="Normal"/>
    <w:next w:val="Normal"/>
    <w:link w:val="Heading2Char"/>
    <w:qFormat/>
    <w:rsid w:val="001D3D87"/>
    <w:pPr>
      <w:keepNext/>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spacing w:after="0" w:line="240" w:lineRule="auto"/>
      <w:jc w:val="center"/>
      <w:outlineLvl w:val="1"/>
    </w:pPr>
    <w:rPr>
      <w:rFonts w:ascii="Times New Roman" w:eastAsia="Times New Roman" w:hAnsi="Times New Roman"/>
      <w:b/>
      <w:bCs/>
      <w:sz w:val="24"/>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B926AC"/>
    <w:pPr>
      <w:suppressAutoHyphens/>
      <w:spacing w:after="120" w:line="240" w:lineRule="atLeast"/>
      <w:ind w:left="1134" w:right="1134"/>
      <w:jc w:val="both"/>
    </w:pPr>
    <w:rPr>
      <w:rFonts w:ascii="Times New Roman" w:eastAsia="Times New Roman" w:hAnsi="Times New Roman"/>
      <w:sz w:val="20"/>
      <w:szCs w:val="20"/>
      <w:lang w:val="x-none"/>
    </w:rPr>
  </w:style>
  <w:style w:type="character" w:customStyle="1" w:styleId="SingleTxtGChar">
    <w:name w:val="_ Single Txt_G Char"/>
    <w:link w:val="SingleTxtG"/>
    <w:rsid w:val="00B926AC"/>
    <w:rPr>
      <w:rFonts w:ascii="Times New Roman" w:eastAsia="Times New Roman" w:hAnsi="Times New Roman" w:cs="Times New Roman"/>
      <w:sz w:val="20"/>
      <w:szCs w:val="20"/>
      <w:lang w:val="x-none"/>
    </w:rPr>
  </w:style>
  <w:style w:type="paragraph" w:customStyle="1" w:styleId="HChG">
    <w:name w:val="_ H _Ch_G"/>
    <w:basedOn w:val="Normal"/>
    <w:next w:val="Normal"/>
    <w:link w:val="HChGChar"/>
    <w:qFormat/>
    <w:rsid w:val="00B926AC"/>
    <w:pPr>
      <w:keepNext/>
      <w:keepLines/>
      <w:tabs>
        <w:tab w:val="right" w:pos="851"/>
      </w:tabs>
      <w:suppressAutoHyphens/>
      <w:spacing w:before="360" w:after="240" w:line="300" w:lineRule="exact"/>
      <w:ind w:left="1134" w:right="1134" w:hanging="1134"/>
    </w:pPr>
    <w:rPr>
      <w:rFonts w:ascii="Times New Roman" w:eastAsia="Times New Roman" w:hAnsi="Times New Roman"/>
      <w:b/>
      <w:sz w:val="28"/>
      <w:szCs w:val="20"/>
      <w:lang w:val="en-GB"/>
    </w:rPr>
  </w:style>
  <w:style w:type="character" w:customStyle="1" w:styleId="HChGChar">
    <w:name w:val="_ H _Ch_G Char"/>
    <w:link w:val="HChG"/>
    <w:rsid w:val="00B926AC"/>
    <w:rPr>
      <w:rFonts w:ascii="Times New Roman" w:eastAsia="Times New Roman" w:hAnsi="Times New Roman" w:cs="Times New Roman"/>
      <w:b/>
      <w:sz w:val="28"/>
      <w:szCs w:val="20"/>
      <w:lang w:val="en-GB"/>
    </w:rPr>
  </w:style>
  <w:style w:type="paragraph" w:styleId="Header">
    <w:name w:val="header"/>
    <w:basedOn w:val="Normal"/>
    <w:link w:val="HeaderChar"/>
    <w:uiPriority w:val="99"/>
    <w:unhideWhenUsed/>
    <w:rsid w:val="00B926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6AC"/>
    <w:rPr>
      <w:rFonts w:ascii="Calibri" w:eastAsia="Calibri" w:hAnsi="Calibri" w:cs="Times New Roman"/>
      <w:lang w:val="en-US"/>
    </w:rPr>
  </w:style>
  <w:style w:type="paragraph" w:styleId="Footer">
    <w:name w:val="footer"/>
    <w:basedOn w:val="Normal"/>
    <w:link w:val="FooterChar"/>
    <w:uiPriority w:val="99"/>
    <w:unhideWhenUsed/>
    <w:rsid w:val="00B92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6AC"/>
    <w:rPr>
      <w:rFonts w:ascii="Calibri" w:eastAsia="Calibri" w:hAnsi="Calibri" w:cs="Times New Roman"/>
      <w:lang w:val="en-US"/>
    </w:rPr>
  </w:style>
  <w:style w:type="table" w:styleId="TableGrid">
    <w:name w:val="Table Grid"/>
    <w:basedOn w:val="TableNormal"/>
    <w:uiPriority w:val="59"/>
    <w:rsid w:val="00B92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Char">
    <w:name w:val="_ Single Txt_G Char Char"/>
    <w:rsid w:val="009B76AA"/>
    <w:rPr>
      <w:lang w:val="en-US" w:eastAsia="en-US"/>
    </w:rPr>
  </w:style>
  <w:style w:type="character" w:customStyle="1" w:styleId="Heading2Char">
    <w:name w:val="Heading 2 Char"/>
    <w:basedOn w:val="DefaultParagraphFont"/>
    <w:link w:val="Heading2"/>
    <w:rsid w:val="001D3D87"/>
    <w:rPr>
      <w:rFonts w:ascii="Times New Roman" w:eastAsia="Times New Roman" w:hAnsi="Times New Roman" w:cs="Times New Roman"/>
      <w:b/>
      <w:bCs/>
      <w:sz w:val="24"/>
      <w:szCs w:val="20"/>
      <w:u w:val="single"/>
      <w:lang w:val="en-GB"/>
    </w:rPr>
  </w:style>
  <w:style w:type="paragraph" w:styleId="BodyText">
    <w:name w:val="Body Text"/>
    <w:basedOn w:val="Normal"/>
    <w:link w:val="BodyTextChar"/>
    <w:semiHidden/>
    <w:rsid w:val="001D3D87"/>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spacing w:after="0" w:line="240" w:lineRule="auto"/>
      <w:jc w:val="both"/>
    </w:pPr>
    <w:rPr>
      <w:rFonts w:ascii="Times New Roman" w:eastAsia="Times New Roman" w:hAnsi="Times New Roman"/>
      <w:sz w:val="24"/>
      <w:szCs w:val="20"/>
      <w:lang w:val="en-GB"/>
    </w:rPr>
  </w:style>
  <w:style w:type="character" w:customStyle="1" w:styleId="BodyTextChar">
    <w:name w:val="Body Text Char"/>
    <w:basedOn w:val="DefaultParagraphFont"/>
    <w:link w:val="BodyText"/>
    <w:semiHidden/>
    <w:rsid w:val="001D3D87"/>
    <w:rPr>
      <w:rFonts w:ascii="Times New Roman" w:eastAsia="Times New Roman" w:hAnsi="Times New Roman" w:cs="Times New Roman"/>
      <w:sz w:val="24"/>
      <w:szCs w:val="20"/>
      <w:lang w:val="en-GB"/>
    </w:rPr>
  </w:style>
  <w:style w:type="paragraph" w:customStyle="1" w:styleId="CM1">
    <w:name w:val="CM1"/>
    <w:basedOn w:val="Normal"/>
    <w:next w:val="Normal"/>
    <w:uiPriority w:val="99"/>
    <w:rsid w:val="001D3D87"/>
    <w:pPr>
      <w:autoSpaceDE w:val="0"/>
      <w:autoSpaceDN w:val="0"/>
      <w:adjustRightInd w:val="0"/>
      <w:spacing w:after="0" w:line="240" w:lineRule="auto"/>
    </w:pPr>
    <w:rPr>
      <w:rFonts w:ascii="EUAlbertina" w:eastAsia="Times New Roman" w:hAnsi="EUAlbertina"/>
      <w:sz w:val="24"/>
      <w:szCs w:val="24"/>
      <w:lang w:val="ru-RU" w:eastAsia="ru-RU"/>
    </w:rPr>
  </w:style>
  <w:style w:type="paragraph" w:customStyle="1" w:styleId="CM3">
    <w:name w:val="CM3"/>
    <w:basedOn w:val="Normal"/>
    <w:next w:val="Normal"/>
    <w:uiPriority w:val="99"/>
    <w:rsid w:val="001D3D87"/>
    <w:pPr>
      <w:autoSpaceDE w:val="0"/>
      <w:autoSpaceDN w:val="0"/>
      <w:adjustRightInd w:val="0"/>
      <w:spacing w:after="0" w:line="240" w:lineRule="auto"/>
    </w:pPr>
    <w:rPr>
      <w:rFonts w:ascii="EUAlbertina" w:eastAsia="Times New Roman" w:hAnsi="EUAlbertina"/>
      <w:sz w:val="24"/>
      <w:szCs w:val="24"/>
      <w:lang w:val="ru-RU" w:eastAsia="ru-RU"/>
    </w:rPr>
  </w:style>
  <w:style w:type="paragraph" w:customStyle="1" w:styleId="CM4">
    <w:name w:val="CM4"/>
    <w:basedOn w:val="Normal"/>
    <w:next w:val="Normal"/>
    <w:uiPriority w:val="99"/>
    <w:rsid w:val="001D3D87"/>
    <w:pPr>
      <w:autoSpaceDE w:val="0"/>
      <w:autoSpaceDN w:val="0"/>
      <w:adjustRightInd w:val="0"/>
      <w:spacing w:after="0" w:line="240" w:lineRule="auto"/>
    </w:pPr>
    <w:rPr>
      <w:rFonts w:ascii="EUAlbertina" w:eastAsia="Times New Roman" w:hAnsi="EUAlbertina"/>
      <w:sz w:val="24"/>
      <w:szCs w:val="24"/>
      <w:lang w:val="ru-RU" w:eastAsia="ru-RU"/>
    </w:rPr>
  </w:style>
  <w:style w:type="paragraph" w:styleId="BalloonText">
    <w:name w:val="Balloon Text"/>
    <w:basedOn w:val="Normal"/>
    <w:link w:val="BalloonTextChar"/>
    <w:uiPriority w:val="99"/>
    <w:semiHidden/>
    <w:unhideWhenUsed/>
    <w:rsid w:val="001D3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D87"/>
    <w:rPr>
      <w:rFonts w:ascii="Tahoma" w:eastAsia="Calibri" w:hAnsi="Tahoma" w:cs="Tahoma"/>
      <w:sz w:val="16"/>
      <w:szCs w:val="16"/>
      <w:lang w:val="en-US"/>
    </w:rPr>
  </w:style>
  <w:style w:type="paragraph" w:customStyle="1" w:styleId="Default">
    <w:name w:val="Default"/>
    <w:rsid w:val="00296E4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rsid w:val="00B97185"/>
    <w:rPr>
      <w:color w:val="auto"/>
      <w:u w:val="none"/>
    </w:rPr>
  </w:style>
  <w:style w:type="character" w:customStyle="1" w:styleId="hvr">
    <w:name w:val="hvr"/>
    <w:basedOn w:val="DefaultParagraphFont"/>
    <w:rsid w:val="00B30BA9"/>
  </w:style>
  <w:style w:type="paragraph" w:customStyle="1" w:styleId="H1G">
    <w:name w:val="_ H_1_G"/>
    <w:basedOn w:val="Normal"/>
    <w:next w:val="Normal"/>
    <w:link w:val="H1GChar"/>
    <w:rsid w:val="00016529"/>
    <w:pPr>
      <w:keepNext/>
      <w:keepLines/>
      <w:tabs>
        <w:tab w:val="right" w:pos="851"/>
      </w:tabs>
      <w:suppressAutoHyphens/>
      <w:spacing w:before="360" w:after="240" w:line="270" w:lineRule="exact"/>
      <w:ind w:left="1134" w:right="1134" w:hanging="1134"/>
    </w:pPr>
    <w:rPr>
      <w:rFonts w:ascii="Times New Roman" w:eastAsia="Times New Roman" w:hAnsi="Times New Roman"/>
      <w:b/>
      <w:sz w:val="24"/>
      <w:szCs w:val="20"/>
      <w:lang w:val="en-GB"/>
    </w:rPr>
  </w:style>
  <w:style w:type="character" w:customStyle="1" w:styleId="H1GChar">
    <w:name w:val="_ H_1_G Char"/>
    <w:link w:val="H1G"/>
    <w:rsid w:val="00016529"/>
    <w:rPr>
      <w:rFonts w:ascii="Times New Roman" w:eastAsia="Times New Roman" w:hAnsi="Times New Roman" w:cs="Times New Roman"/>
      <w:b/>
      <w:sz w:val="24"/>
      <w:szCs w:val="20"/>
      <w:lang w:val="en-GB"/>
    </w:rPr>
  </w:style>
  <w:style w:type="paragraph" w:customStyle="1" w:styleId="Bullet1G">
    <w:name w:val="_Bullet 1_G"/>
    <w:basedOn w:val="Normal"/>
    <w:rsid w:val="00016529"/>
    <w:pPr>
      <w:tabs>
        <w:tab w:val="num" w:pos="1701"/>
      </w:tabs>
      <w:suppressAutoHyphens/>
      <w:spacing w:after="120" w:line="240" w:lineRule="atLeast"/>
      <w:ind w:left="1701" w:right="1134" w:hanging="170"/>
      <w:jc w:val="both"/>
    </w:pPr>
    <w:rPr>
      <w:rFonts w:ascii="Times New Roman" w:eastAsia="Times New Roman" w:hAnsi="Times New Roman"/>
      <w:sz w:val="20"/>
      <w:szCs w:val="20"/>
      <w:lang w:val="en-GB"/>
    </w:rPr>
  </w:style>
  <w:style w:type="paragraph" w:styleId="ListParagraph">
    <w:name w:val="List Paragraph"/>
    <w:basedOn w:val="Normal"/>
    <w:uiPriority w:val="34"/>
    <w:qFormat/>
    <w:rsid w:val="00152ADB"/>
    <w:pPr>
      <w:suppressAutoHyphens/>
      <w:spacing w:after="0" w:line="240" w:lineRule="atLeast"/>
      <w:ind w:leftChars="400" w:left="840"/>
    </w:pPr>
    <w:rPr>
      <w:rFonts w:ascii="Times New Roman" w:eastAsia="MS Mincho" w:hAnsi="Times New Roman"/>
      <w:sz w:val="20"/>
      <w:szCs w:val="20"/>
    </w:rPr>
  </w:style>
  <w:style w:type="paragraph" w:styleId="FootnoteText">
    <w:name w:val="footnote text"/>
    <w:basedOn w:val="Normal"/>
    <w:link w:val="FootnoteTextChar"/>
    <w:unhideWhenUsed/>
    <w:rsid w:val="00864636"/>
    <w:rPr>
      <w:sz w:val="20"/>
      <w:szCs w:val="20"/>
    </w:rPr>
  </w:style>
  <w:style w:type="character" w:customStyle="1" w:styleId="FootnoteTextChar">
    <w:name w:val="Footnote Text Char"/>
    <w:basedOn w:val="DefaultParagraphFont"/>
    <w:link w:val="FootnoteText"/>
    <w:rsid w:val="00864636"/>
    <w:rPr>
      <w:rFonts w:ascii="Calibri" w:eastAsia="Calibri" w:hAnsi="Calibri" w:cs="Times New Roman"/>
      <w:sz w:val="20"/>
      <w:szCs w:val="20"/>
      <w:lang w:val="en-US"/>
    </w:rPr>
  </w:style>
  <w:style w:type="character" w:styleId="FootnoteReference">
    <w:name w:val="footnote reference"/>
    <w:unhideWhenUsed/>
    <w:rsid w:val="00864636"/>
    <w:rPr>
      <w:vertAlign w:val="superscript"/>
    </w:rPr>
  </w:style>
  <w:style w:type="character" w:styleId="Strong">
    <w:name w:val="Strong"/>
    <w:basedOn w:val="DefaultParagraphFont"/>
    <w:uiPriority w:val="22"/>
    <w:qFormat/>
    <w:rsid w:val="006A40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84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982</Words>
  <Characters>5599</Characters>
  <Application>Microsoft Office Word</Application>
  <DocSecurity>0</DocSecurity>
  <Lines>46</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Francois Guichard</cp:lastModifiedBy>
  <cp:revision>3</cp:revision>
  <cp:lastPrinted>2016-06-17T14:33:00Z</cp:lastPrinted>
  <dcterms:created xsi:type="dcterms:W3CDTF">2018-06-18T18:22:00Z</dcterms:created>
  <dcterms:modified xsi:type="dcterms:W3CDTF">2018-06-18T18:41:00Z</dcterms:modified>
</cp:coreProperties>
</file>