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C2" w:rsidRDefault="00EB35F6" w:rsidP="00853A32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51"/>
        </w:tabs>
        <w:ind w:left="0" w:right="21" w:firstLine="0"/>
        <w:jc w:val="center"/>
      </w:pPr>
      <w:r>
        <w:t>Proposal for amendments to the Consolidated Resolution R.E.3</w:t>
      </w:r>
    </w:p>
    <w:p w:rsidR="001F31C2" w:rsidRPr="00A13680" w:rsidRDefault="00911AE2" w:rsidP="00A90DB0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A13680">
        <w:tab/>
      </w:r>
      <w:r w:rsidR="00F53ECE">
        <w:t>I</w:t>
      </w:r>
      <w:r w:rsidR="00A13680" w:rsidRPr="00A13680">
        <w:t>.</w:t>
      </w:r>
      <w:r w:rsidR="00A13680" w:rsidRPr="00A13680">
        <w:tab/>
      </w:r>
      <w:r w:rsidR="00BD280A">
        <w:t>Introduction</w:t>
      </w:r>
    </w:p>
    <w:p w:rsidR="00937093" w:rsidRDefault="006D6C52" w:rsidP="00853A32">
      <w:pPr>
        <w:pStyle w:val="SingleTxtG"/>
        <w:ind w:left="851" w:right="871"/>
      </w:pPr>
      <w:r>
        <w:t>1</w:t>
      </w:r>
      <w:r w:rsidR="00911AE2" w:rsidRPr="00A13680">
        <w:t>.</w:t>
      </w:r>
      <w:r w:rsidR="00D058C0">
        <w:tab/>
      </w:r>
      <w:r w:rsidR="00EB35F6">
        <w:t xml:space="preserve">During its June 2017 session, WP.29 </w:t>
      </w:r>
      <w:r w:rsidR="00853A32">
        <w:t>thought</w:t>
      </w:r>
      <w:r w:rsidR="00EB35F6">
        <w:t xml:space="preserve"> about the need to define a new vehicle category related to vehicle automation</w:t>
      </w:r>
      <w:r w:rsidR="003708B9">
        <w:t xml:space="preserve"> (see </w:t>
      </w:r>
      <w:hyperlink r:id="rId8" w:history="1">
        <w:r w:rsidR="003708B9" w:rsidRPr="003708B9">
          <w:rPr>
            <w:rStyle w:val="Hyperlink"/>
          </w:rPr>
          <w:t>ECE/TRANS/WP.29/1131</w:t>
        </w:r>
      </w:hyperlink>
      <w:r w:rsidR="003708B9">
        <w:t xml:space="preserve">, para. 28) </w:t>
      </w:r>
      <w:r w:rsidR="00EB35F6">
        <w:t xml:space="preserve">. The GRRF Secretary presented a preparatory note for AC.2 which was then distributed </w:t>
      </w:r>
      <w:r w:rsidR="00853A32">
        <w:t xml:space="preserve">to the IWG on ITS/AD </w:t>
      </w:r>
      <w:r w:rsidR="00EB35F6">
        <w:t xml:space="preserve">as </w:t>
      </w:r>
      <w:hyperlink r:id="rId9" w:history="1">
        <w:r w:rsidR="00EB35F6" w:rsidRPr="003708B9">
          <w:rPr>
            <w:rStyle w:val="Hyperlink"/>
          </w:rPr>
          <w:t>Document No. ITS/AD-12-10</w:t>
        </w:r>
      </w:hyperlink>
      <w:r w:rsidR="00ED7350">
        <w:t>.</w:t>
      </w:r>
      <w:r w:rsidR="00EB35F6">
        <w:t xml:space="preserve"> The representative of the United Kingdom, Co-Chair of the IWG on ITS/AD presented the presentation with the symbol </w:t>
      </w:r>
      <w:hyperlink r:id="rId10" w:history="1">
        <w:r w:rsidR="008E7979" w:rsidRPr="008E7979">
          <w:rPr>
            <w:rStyle w:val="Hyperlink"/>
          </w:rPr>
          <w:t xml:space="preserve">Document No. </w:t>
        </w:r>
        <w:r w:rsidR="00EB35F6" w:rsidRPr="008E7979">
          <w:rPr>
            <w:rStyle w:val="Hyperlink"/>
          </w:rPr>
          <w:t>ITS/AD-12-12</w:t>
        </w:r>
      </w:hyperlink>
      <w:r w:rsidR="00EB35F6">
        <w:t xml:space="preserve">. Both documents provided justifications for developing a new category of vehicles for regulatory purposes. </w:t>
      </w:r>
    </w:p>
    <w:p w:rsidR="00691A16" w:rsidRDefault="00EB35F6" w:rsidP="00853A32">
      <w:pPr>
        <w:pStyle w:val="SingleTxtG"/>
        <w:keepLines/>
        <w:spacing w:line="240" w:lineRule="auto"/>
        <w:ind w:left="851" w:right="871"/>
      </w:pPr>
      <w:r>
        <w:t>2.</w:t>
      </w:r>
      <w:r>
        <w:tab/>
        <w:t xml:space="preserve">This document </w:t>
      </w:r>
      <w:r w:rsidR="008918DD">
        <w:t>was reviewed by AC.2 at its 127</w:t>
      </w:r>
      <w:r w:rsidR="008918DD" w:rsidRPr="008918DD">
        <w:rPr>
          <w:vertAlign w:val="superscript"/>
        </w:rPr>
        <w:t>th</w:t>
      </w:r>
      <w:r w:rsidR="008918DD">
        <w:t xml:space="preserve"> session. It </w:t>
      </w:r>
      <w:r>
        <w:t>is follow</w:t>
      </w:r>
      <w:r w:rsidR="00606FA1">
        <w:t>ing</w:t>
      </w:r>
      <w:r>
        <w:t xml:space="preserve">-up </w:t>
      </w:r>
      <w:r w:rsidR="00606FA1">
        <w:t xml:space="preserve">on </w:t>
      </w:r>
      <w:r>
        <w:t>the brainstorming</w:t>
      </w:r>
      <w:r w:rsidR="00C95472">
        <w:t>, building on the outcome of the discussion</w:t>
      </w:r>
      <w:r>
        <w:t xml:space="preserve">. </w:t>
      </w:r>
      <w:r w:rsidR="008918DD">
        <w:t>Its aim is to provide a document to WP.29 to initiate a follow up discussion on a new vehicle category related to vehicle automation.</w:t>
      </w:r>
    </w:p>
    <w:p w:rsidR="001F31C2" w:rsidRDefault="007B025E" w:rsidP="00A90DB0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A13680">
        <w:tab/>
      </w:r>
      <w:r w:rsidR="00F53ECE">
        <w:t>II</w:t>
      </w:r>
      <w:r w:rsidR="008B64C5">
        <w:t>.</w:t>
      </w:r>
      <w:r w:rsidR="008B64C5">
        <w:tab/>
      </w:r>
      <w:r w:rsidR="00EB35F6">
        <w:t>Proposal for amendments to R.E.</w:t>
      </w:r>
      <w:r w:rsidR="008E7979">
        <w:t>3</w:t>
      </w:r>
      <w:r w:rsidR="00EB35F6">
        <w:t>.</w:t>
      </w:r>
    </w:p>
    <w:p w:rsidR="008918DD" w:rsidRDefault="008918DD" w:rsidP="008918DD">
      <w:pPr>
        <w:pStyle w:val="SingleTxtG"/>
        <w:tabs>
          <w:tab w:val="clear" w:pos="1701"/>
        </w:tabs>
        <w:ind w:left="2268" w:hanging="1134"/>
      </w:pPr>
      <w:r>
        <w:t xml:space="preserve">Note: </w:t>
      </w:r>
      <w:r>
        <w:tab/>
        <w:t xml:space="preserve">Similar provisions could be developed for the Special Resolution No.1 if the Contracting Parties to the 1998 Agreement express this wish. </w:t>
      </w:r>
    </w:p>
    <w:p w:rsidR="00C95472" w:rsidRDefault="00C95472" w:rsidP="00C95472">
      <w:pPr>
        <w:pStyle w:val="SingleTxtG"/>
      </w:pPr>
      <w:r w:rsidRPr="006B0A19">
        <w:rPr>
          <w:i/>
          <w:iCs/>
        </w:rPr>
        <w:t>Insert a new paragraph 2</w:t>
      </w:r>
      <w:r w:rsidR="006B0A19">
        <w:rPr>
          <w:i/>
          <w:iCs/>
        </w:rPr>
        <w:t>.10</w:t>
      </w:r>
      <w:r w:rsidRPr="006B0A19">
        <w:rPr>
          <w:i/>
          <w:iCs/>
        </w:rPr>
        <w:t>.</w:t>
      </w:r>
      <w:r w:rsidR="003E11BC">
        <w:rPr>
          <w:i/>
          <w:iCs/>
        </w:rPr>
        <w:t xml:space="preserve"> (and its subparagraphs 2.10.1 to 2.10.3.)</w:t>
      </w:r>
      <w:r>
        <w:t>, to read:</w:t>
      </w:r>
    </w:p>
    <w:p w:rsidR="00C95472" w:rsidRDefault="006B0A19" w:rsidP="00C95472">
      <w:pPr>
        <w:pStyle w:val="SingleTxtG"/>
        <w:tabs>
          <w:tab w:val="clear" w:pos="1701"/>
        </w:tabs>
        <w:ind w:left="2268" w:hanging="1134"/>
      </w:pPr>
      <w:r>
        <w:t>"</w:t>
      </w:r>
      <w:r w:rsidR="00C95472">
        <w:t>2.</w:t>
      </w:r>
      <w:r>
        <w:t>10</w:t>
      </w:r>
      <w:r w:rsidR="00C95472">
        <w:t>.</w:t>
      </w:r>
      <w:r w:rsidR="00C95472">
        <w:tab/>
      </w:r>
      <w:r>
        <w:t xml:space="preserve">Category </w:t>
      </w:r>
      <w:r w:rsidR="003E11BC">
        <w:t>C</w:t>
      </w:r>
      <w:r>
        <w:t xml:space="preserve"> - </w:t>
      </w:r>
      <w:r w:rsidR="00C95472">
        <w:t>Automated vehicles</w:t>
      </w:r>
    </w:p>
    <w:p w:rsidR="00C95472" w:rsidRDefault="00EA0301" w:rsidP="00C95472">
      <w:pPr>
        <w:pStyle w:val="SingleTxtG"/>
        <w:tabs>
          <w:tab w:val="clear" w:pos="1701"/>
        </w:tabs>
        <w:ind w:left="2268" w:hanging="1134"/>
      </w:pPr>
      <w:r>
        <w:t>2.</w:t>
      </w:r>
      <w:r w:rsidR="006B0A19">
        <w:t>10</w:t>
      </w:r>
      <w:r>
        <w:t>.1.</w:t>
      </w:r>
      <w:r>
        <w:tab/>
        <w:t>Definition</w:t>
      </w:r>
      <w:r w:rsidR="00C95472">
        <w:t xml:space="preserve"> </w:t>
      </w:r>
    </w:p>
    <w:p w:rsidR="004E09EE" w:rsidRDefault="00EA0301" w:rsidP="00C95472">
      <w:pPr>
        <w:pStyle w:val="SingleTxtG"/>
        <w:tabs>
          <w:tab w:val="clear" w:pos="1701"/>
        </w:tabs>
        <w:ind w:left="2268" w:hanging="1134"/>
      </w:pPr>
      <w:r>
        <w:tab/>
        <w:t xml:space="preserve">An automated vehicle is a vehicle </w:t>
      </w:r>
      <w:r w:rsidR="00305784">
        <w:t xml:space="preserve">equipped with a system that is designed to </w:t>
      </w:r>
      <w:r w:rsidR="004E09EE">
        <w:t xml:space="preserve">continuously </w:t>
      </w:r>
      <w:r w:rsidR="00305784">
        <w:t>perform</w:t>
      </w:r>
      <w:r w:rsidR="004E09EE">
        <w:t>,</w:t>
      </w:r>
      <w:r w:rsidR="00305784">
        <w:t xml:space="preserve"> </w:t>
      </w:r>
      <w:r w:rsidR="004E09EE">
        <w:t xml:space="preserve">under certain circumstances, </w:t>
      </w:r>
      <w:r w:rsidR="0083444B">
        <w:t>a</w:t>
      </w:r>
      <w:r w:rsidR="004E09EE">
        <w:t xml:space="preserve"> driving task. </w:t>
      </w:r>
    </w:p>
    <w:p w:rsidR="004E09EE" w:rsidRDefault="004E09EE" w:rsidP="00C95472">
      <w:pPr>
        <w:pStyle w:val="SingleTxtG"/>
        <w:tabs>
          <w:tab w:val="clear" w:pos="1701"/>
        </w:tabs>
        <w:ind w:left="2268" w:hanging="1134"/>
      </w:pPr>
      <w:r>
        <w:tab/>
        <w:t xml:space="preserve">The performance of this driving task may be under the supervision of the driver or it may be performed without supervision, depending on the automation category. </w:t>
      </w:r>
    </w:p>
    <w:p w:rsidR="004E09EE" w:rsidRDefault="004E09EE" w:rsidP="00C95472">
      <w:pPr>
        <w:pStyle w:val="SingleTxtG"/>
        <w:tabs>
          <w:tab w:val="clear" w:pos="1701"/>
        </w:tabs>
        <w:ind w:left="2268" w:hanging="1134"/>
      </w:pPr>
      <w:r>
        <w:tab/>
        <w:t>A vehicle equipped with an ACSF function is an automated vehicle.</w:t>
      </w:r>
    </w:p>
    <w:p w:rsidR="004E09EE" w:rsidRDefault="004E09EE" w:rsidP="00C95472">
      <w:pPr>
        <w:pStyle w:val="SingleTxtG"/>
        <w:tabs>
          <w:tab w:val="clear" w:pos="1701"/>
        </w:tabs>
        <w:ind w:left="2268" w:hanging="1134"/>
      </w:pPr>
      <w:r>
        <w:tab/>
        <w:t xml:space="preserve">A vehicle equipped with </w:t>
      </w:r>
      <w:r w:rsidR="008918DD">
        <w:t>active safety systems</w:t>
      </w:r>
      <w:r>
        <w:t xml:space="preserve"> (e.g. an Electronic Stability Control or an Advanced Emergency Braking System) is not an automated vehicle as the function is not designed to perform a driving task on a continuous basis.</w:t>
      </w:r>
    </w:p>
    <w:p w:rsidR="00EA0301" w:rsidRDefault="004E09EE" w:rsidP="00C95472">
      <w:pPr>
        <w:pStyle w:val="SingleTxtG"/>
        <w:tabs>
          <w:tab w:val="clear" w:pos="1701"/>
        </w:tabs>
        <w:ind w:left="2268" w:hanging="1134"/>
      </w:pPr>
      <w:r>
        <w:t>2.</w:t>
      </w:r>
      <w:r w:rsidR="006B0A19">
        <w:t>10</w:t>
      </w:r>
      <w:r>
        <w:t>.2.</w:t>
      </w:r>
      <w:r>
        <w:tab/>
        <w:t>Classification</w:t>
      </w:r>
    </w:p>
    <w:p w:rsidR="004E09EE" w:rsidRDefault="004E09EE" w:rsidP="00C95472">
      <w:pPr>
        <w:pStyle w:val="SingleTxtG"/>
        <w:tabs>
          <w:tab w:val="clear" w:pos="1701"/>
        </w:tabs>
        <w:ind w:left="2268" w:hanging="1134"/>
      </w:pPr>
      <w:r>
        <w:tab/>
        <w:t>Some consideration</w:t>
      </w:r>
      <w:r w:rsidR="005C5AE5">
        <w:t>s</w:t>
      </w:r>
      <w:r>
        <w:t xml:space="preserve"> </w:t>
      </w:r>
      <w:r w:rsidR="005C5AE5">
        <w:t>on</w:t>
      </w:r>
      <w:r>
        <w:t xml:space="preserve"> classification of automated </w:t>
      </w:r>
      <w:r w:rsidR="005C5AE5">
        <w:t xml:space="preserve">vehicle </w:t>
      </w:r>
      <w:r>
        <w:t xml:space="preserve">technologies </w:t>
      </w:r>
      <w:r w:rsidR="005C5AE5">
        <w:t>are</w:t>
      </w:r>
      <w:r>
        <w:t xml:space="preserve"> provided in the reference document with definitions of Automated Driving under WP.29 and the General Principles for developing a UN Regulation on automated vehicles (</w:t>
      </w:r>
      <w:hyperlink r:id="rId11" w:history="1">
        <w:r w:rsidRPr="004E09EE">
          <w:rPr>
            <w:rStyle w:val="Hyperlink"/>
          </w:rPr>
          <w:t>ECE/TRANS/WP.29/11</w:t>
        </w:r>
        <w:r>
          <w:rPr>
            <w:rStyle w:val="Hyperlink"/>
          </w:rPr>
          <w:t>4</w:t>
        </w:r>
        <w:r w:rsidRPr="004E09EE">
          <w:rPr>
            <w:rStyle w:val="Hyperlink"/>
          </w:rPr>
          <w:t>0</w:t>
        </w:r>
      </w:hyperlink>
      <w:r>
        <w:t>).</w:t>
      </w:r>
    </w:p>
    <w:p w:rsidR="004E09EE" w:rsidRDefault="004E09EE" w:rsidP="00C95472">
      <w:pPr>
        <w:pStyle w:val="SingleTxtG"/>
        <w:tabs>
          <w:tab w:val="clear" w:pos="1701"/>
        </w:tabs>
        <w:ind w:left="2268" w:hanging="1134"/>
      </w:pPr>
      <w:r>
        <w:t>2.</w:t>
      </w:r>
      <w:r w:rsidR="006B0A19">
        <w:t>10</w:t>
      </w:r>
      <w:r>
        <w:t>.3.</w:t>
      </w:r>
      <w:r>
        <w:tab/>
      </w:r>
      <w:r w:rsidR="006B0A19">
        <w:t>Combined designation</w:t>
      </w:r>
    </w:p>
    <w:p w:rsidR="00EA3479" w:rsidRDefault="006B0A19" w:rsidP="004B0485">
      <w:pPr>
        <w:pStyle w:val="SingleTxtG"/>
        <w:tabs>
          <w:tab w:val="clear" w:pos="1701"/>
        </w:tabs>
        <w:ind w:left="2268" w:hanging="1134"/>
      </w:pPr>
      <w:r>
        <w:tab/>
        <w:t>Symbols M, N, L, O</w:t>
      </w:r>
      <w:r w:rsidR="004B0485">
        <w:t xml:space="preserve">, T, R and S </w:t>
      </w:r>
      <w:r>
        <w:t xml:space="preserve">may be combined with symbol </w:t>
      </w:r>
      <w:r w:rsidR="003E11BC">
        <w:t>C</w:t>
      </w:r>
      <w:r>
        <w:t>. For example, a vehicle of category N</w:t>
      </w:r>
      <w:r>
        <w:rPr>
          <w:vertAlign w:val="subscript"/>
        </w:rPr>
        <w:t>1</w:t>
      </w:r>
      <w:r>
        <w:t xml:space="preserve"> which is an automated vehicle may be designated as N</w:t>
      </w:r>
      <w:r>
        <w:rPr>
          <w:vertAlign w:val="subscript"/>
        </w:rPr>
        <w:t>1</w:t>
      </w:r>
      <w:r w:rsidR="003E11BC">
        <w:t>C</w:t>
      </w:r>
      <w:r>
        <w:t>."</w:t>
      </w:r>
      <w:r w:rsidR="00EA3479">
        <w:t xml:space="preserve"> </w:t>
      </w:r>
    </w:p>
    <w:p w:rsidR="00AF28F8" w:rsidRDefault="00AF28F8" w:rsidP="00AF28F8">
      <w:pPr>
        <w:pStyle w:val="HCh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ab/>
        <w:t>IV.</w:t>
      </w:r>
      <w:r>
        <w:tab/>
      </w:r>
      <w:r w:rsidR="00EB35F6">
        <w:t>Justification</w:t>
      </w:r>
    </w:p>
    <w:p w:rsidR="00AF28F8" w:rsidRDefault="004B0485" w:rsidP="008918DD">
      <w:pPr>
        <w:pStyle w:val="SingleTxtG"/>
        <w:ind w:left="851" w:right="851"/>
      </w:pPr>
      <w:r>
        <w:t>3</w:t>
      </w:r>
      <w:r w:rsidR="00DA4F46">
        <w:t>.</w:t>
      </w:r>
      <w:r w:rsidR="00DA4F46">
        <w:tab/>
      </w:r>
      <w:r w:rsidR="008E7979">
        <w:t xml:space="preserve">The above proposal is defining an </w:t>
      </w:r>
      <w:r w:rsidR="008E7979" w:rsidRPr="006B0A19">
        <w:rPr>
          <w:i/>
          <w:iCs/>
        </w:rPr>
        <w:t>automated vehicle</w:t>
      </w:r>
      <w:r w:rsidR="008E7979">
        <w:t xml:space="preserve"> category on the model of the Category G (Off-road vehicle)</w:t>
      </w:r>
      <w:r w:rsidR="005F3ADB">
        <w:t>- see para. 2.10.3</w:t>
      </w:r>
      <w:r w:rsidR="008E7979">
        <w:t xml:space="preserve">. </w:t>
      </w:r>
      <w:r w:rsidR="006B0A19">
        <w:t>If</w:t>
      </w:r>
      <w:r w:rsidR="00DA4F46">
        <w:t xml:space="preserve"> </w:t>
      </w:r>
      <w:r w:rsidR="006B0A19">
        <w:t xml:space="preserve">the </w:t>
      </w:r>
      <w:r w:rsidR="00DA4F46">
        <w:t>automated vehicle</w:t>
      </w:r>
      <w:r w:rsidR="00193D52">
        <w:t xml:space="preserve"> category was</w:t>
      </w:r>
      <w:r w:rsidR="00DA4F46">
        <w:t xml:space="preserve"> a </w:t>
      </w:r>
      <w:r w:rsidR="006B0A19">
        <w:t xml:space="preserve">fully </w:t>
      </w:r>
      <w:r w:rsidR="00DA4F46">
        <w:t xml:space="preserve">new </w:t>
      </w:r>
      <w:r w:rsidR="00193D52">
        <w:t>independent</w:t>
      </w:r>
      <w:r w:rsidR="006B0A19">
        <w:t xml:space="preserve"> </w:t>
      </w:r>
      <w:r w:rsidR="00DA4F46">
        <w:t>vehicle category</w:t>
      </w:r>
      <w:r w:rsidR="006B0A19">
        <w:t xml:space="preserve">, </w:t>
      </w:r>
      <w:r w:rsidR="00DA4F46">
        <w:t xml:space="preserve">it </w:t>
      </w:r>
      <w:r w:rsidR="006B0A19">
        <w:t>would mean</w:t>
      </w:r>
      <w:r w:rsidR="00DA4F46">
        <w:t xml:space="preserve"> that none of the existing regulations (e.g. passive safety, </w:t>
      </w:r>
      <w:r w:rsidR="00DA4F46">
        <w:lastRenderedPageBreak/>
        <w:t>active safety</w:t>
      </w:r>
      <w:r w:rsidR="006B0A19">
        <w:t>, emissions</w:t>
      </w:r>
      <w:r w:rsidR="00DA4F46">
        <w:t xml:space="preserve"> related ones) would include these vehicles in their scope. A manufacturer could not get an approval according to a steering or braking regulation, nor a seat belt regulation or a crash test regulation.</w:t>
      </w:r>
      <w:r w:rsidR="008E7979">
        <w:t xml:space="preserve"> </w:t>
      </w:r>
      <w:r w:rsidR="002F0F0E">
        <w:t>Therefore,</w:t>
      </w:r>
      <w:r w:rsidR="008E7979">
        <w:t xml:space="preserve"> it was found that the Category G model </w:t>
      </w:r>
      <w:r w:rsidR="005F3ADB">
        <w:t>can</w:t>
      </w:r>
      <w:r w:rsidR="008E7979">
        <w:t xml:space="preserve"> </w:t>
      </w:r>
      <w:r w:rsidR="005F3ADB">
        <w:t xml:space="preserve">be </w:t>
      </w:r>
      <w:r w:rsidR="008E7979">
        <w:t>replica</w:t>
      </w:r>
      <w:r w:rsidR="005F3ADB">
        <w:t>ted</w:t>
      </w:r>
      <w:r w:rsidR="008E7979">
        <w:t xml:space="preserve"> in this case and that it provides the necessary flexibility for regulatory activities while limiting the potential draw backs due to the creation of a new independent category.</w:t>
      </w:r>
      <w:r w:rsidR="005F3ADB">
        <w:t xml:space="preserve"> </w:t>
      </w:r>
    </w:p>
    <w:p w:rsidR="008918DD" w:rsidRDefault="008918DD" w:rsidP="008918DD">
      <w:pPr>
        <w:pStyle w:val="SingleTxtG"/>
        <w:ind w:left="851" w:right="851"/>
      </w:pPr>
      <w:r>
        <w:t>4</w:t>
      </w:r>
      <w:r w:rsidR="00DA4F46">
        <w:t>.</w:t>
      </w:r>
      <w:r w:rsidR="00DA4F46">
        <w:tab/>
      </w:r>
      <w:r w:rsidR="00193D52">
        <w:t xml:space="preserve">By reproducing the model of the Category G, the Category </w:t>
      </w:r>
      <w:r w:rsidR="003E11BC">
        <w:t>C</w:t>
      </w:r>
      <w:r w:rsidR="00193D52">
        <w:t xml:space="preserve"> is part of the other </w:t>
      </w:r>
      <w:r w:rsidR="003E11BC">
        <w:t>C</w:t>
      </w:r>
      <w:r w:rsidR="00193D52">
        <w:t xml:space="preserve">ategories </w:t>
      </w:r>
      <w:r w:rsidR="004B0485">
        <w:t>M, N, L, O, T, R and S</w:t>
      </w:r>
      <w:r w:rsidR="00DA4F46">
        <w:t>.</w:t>
      </w:r>
      <w:r w:rsidR="00193D52">
        <w:t xml:space="preserve"> </w:t>
      </w:r>
      <w:r w:rsidR="005F3ADB">
        <w:t xml:space="preserve">With para. 2.10.3. (drafted on the model of the existing para. 2.8.4.), for example, </w:t>
      </w:r>
      <w:r w:rsidR="003E11BC">
        <w:t>a</w:t>
      </w:r>
      <w:r w:rsidR="00193D52">
        <w:t xml:space="preserve"> vehicle</w:t>
      </w:r>
      <w:r w:rsidR="003E11BC">
        <w:t xml:space="preserve"> </w:t>
      </w:r>
      <w:r w:rsidR="00193D52">
        <w:t>of Category M</w:t>
      </w:r>
      <w:r w:rsidR="00193D52" w:rsidRPr="00193D52">
        <w:rPr>
          <w:vertAlign w:val="subscript"/>
        </w:rPr>
        <w:t>1</w:t>
      </w:r>
      <w:r w:rsidR="003E11BC">
        <w:t>C</w:t>
      </w:r>
      <w:r w:rsidR="00193D52">
        <w:t xml:space="preserve"> </w:t>
      </w:r>
      <w:r w:rsidR="003E11BC">
        <w:t>is</w:t>
      </w:r>
      <w:r w:rsidR="00193D52">
        <w:t xml:space="preserve"> also </w:t>
      </w:r>
      <w:r w:rsidR="003E11BC">
        <w:t xml:space="preserve">a </w:t>
      </w:r>
      <w:r w:rsidR="00193D52">
        <w:t>vehicle of Category M</w:t>
      </w:r>
      <w:r w:rsidR="00193D52" w:rsidRPr="00193D52">
        <w:rPr>
          <w:vertAlign w:val="subscript"/>
        </w:rPr>
        <w:t>1</w:t>
      </w:r>
      <w:r w:rsidR="00193D52" w:rsidRPr="00193D52">
        <w:t>.</w:t>
      </w:r>
      <w:r w:rsidR="00193D52">
        <w:t xml:space="preserve"> It also means that </w:t>
      </w:r>
      <w:r w:rsidR="003E11BC">
        <w:t xml:space="preserve">a </w:t>
      </w:r>
      <w:r w:rsidR="00193D52">
        <w:t>vehicle</w:t>
      </w:r>
      <w:r w:rsidR="003E11BC">
        <w:t xml:space="preserve"> </w:t>
      </w:r>
      <w:r w:rsidR="00193D52">
        <w:t xml:space="preserve">of Category </w:t>
      </w:r>
      <w:r w:rsidR="003E11BC">
        <w:t>C</w:t>
      </w:r>
      <w:r w:rsidR="00193D52">
        <w:t xml:space="preserve"> </w:t>
      </w:r>
      <w:r w:rsidR="003E11BC">
        <w:t>is</w:t>
      </w:r>
      <w:r w:rsidR="00193D52">
        <w:t xml:space="preserve"> </w:t>
      </w:r>
      <w:r w:rsidR="004B0485">
        <w:t xml:space="preserve">also </w:t>
      </w:r>
      <w:r w:rsidR="003E11BC">
        <w:t xml:space="preserve">a </w:t>
      </w:r>
      <w:r w:rsidR="00193D52">
        <w:t xml:space="preserve">vehicle of Category </w:t>
      </w:r>
      <w:r w:rsidR="004B0485">
        <w:t>M, N, L, O, T, R or S</w:t>
      </w:r>
      <w:r w:rsidR="00193D52">
        <w:t>.</w:t>
      </w:r>
      <w:r w:rsidR="00910CAA">
        <w:t xml:space="preserve"> It provides the possibility to identify automated vehicles as a subgroup of a vehicle Category and </w:t>
      </w:r>
      <w:r w:rsidR="005F3ADB">
        <w:t xml:space="preserve">to </w:t>
      </w:r>
      <w:r w:rsidR="00910CAA">
        <w:t>define specific provisions for this specific subgroup. It provides the possibility to define provisions for the whole Category C.</w:t>
      </w:r>
    </w:p>
    <w:p w:rsidR="00252A60" w:rsidRPr="00252A60" w:rsidRDefault="00252A60" w:rsidP="00252A60">
      <w:pPr>
        <w:pStyle w:val="SingleTxtG"/>
        <w:spacing w:before="240" w:after="0"/>
        <w:jc w:val="center"/>
        <w:rPr>
          <w:rFonts w:hAnsi="Times New Roman" w:cs="Times New Roman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52A60" w:rsidRPr="00252A60" w:rsidSect="00EA34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67" w:right="1106" w:bottom="1134" w:left="1134" w:header="567" w:footer="10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EAB" w:rsidRDefault="00C07EAB">
      <w:r>
        <w:separator/>
      </w:r>
    </w:p>
  </w:endnote>
  <w:endnote w:type="continuationSeparator" w:id="0">
    <w:p w:rsidR="00C07EAB" w:rsidRDefault="00C0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52" w:rsidRDefault="00941F4B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870A00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52" w:rsidRDefault="00941F4B" w:rsidP="00A13680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EA3479">
      <w:rPr>
        <w:b/>
        <w:bCs/>
        <w:noProof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52" w:rsidRDefault="00941F4B">
    <w:pPr>
      <w:pStyle w:val="Footer"/>
      <w:jc w:val="center"/>
    </w:pPr>
    <w:r>
      <w:rPr>
        <w:b/>
        <w:bCs/>
        <w:sz w:val="18"/>
        <w:szCs w:val="18"/>
      </w:rPr>
      <w:fldChar w:fldCharType="begin"/>
    </w:r>
    <w:r w:rsidR="00517952"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870A00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EAB" w:rsidRDefault="00C07EAB">
      <w:r>
        <w:separator/>
      </w:r>
    </w:p>
  </w:footnote>
  <w:footnote w:type="continuationSeparator" w:id="0">
    <w:p w:rsidR="00C07EAB" w:rsidRDefault="00C0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00" w:rsidRDefault="00870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A00" w:rsidRDefault="00870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9EC" w:rsidRDefault="004B7F39" w:rsidP="00853A32">
    <w:pPr>
      <w:tabs>
        <w:tab w:val="right" w:pos="9639"/>
      </w:tabs>
      <w:wordWrap w:val="0"/>
      <w:autoSpaceDE w:val="0"/>
      <w:autoSpaceDN w:val="0"/>
      <w:adjustRightInd w:val="0"/>
      <w:rPr>
        <w:rFonts w:cs="Century"/>
        <w:szCs w:val="21"/>
        <w:lang w:val="en-GB"/>
      </w:rPr>
    </w:pPr>
    <w:r>
      <w:rPr>
        <w:rFonts w:cs="Century"/>
        <w:szCs w:val="21"/>
        <w:lang w:val="en-GB"/>
      </w:rPr>
      <w:t>N</w:t>
    </w:r>
    <w:r w:rsidR="00853A32">
      <w:rPr>
        <w:rFonts w:cs="Century"/>
        <w:szCs w:val="21"/>
        <w:lang w:val="en-GB"/>
      </w:rPr>
      <w:t xml:space="preserve">ote by the </w:t>
    </w:r>
    <w:r w:rsidR="008918DD">
      <w:rPr>
        <w:rFonts w:cs="Century"/>
        <w:szCs w:val="21"/>
        <w:lang w:val="en-GB"/>
      </w:rPr>
      <w:t>secretariat</w:t>
    </w:r>
    <w:r w:rsidR="009909EC" w:rsidRPr="002E2521">
      <w:rPr>
        <w:rFonts w:cs="Century"/>
        <w:szCs w:val="21"/>
        <w:lang w:val="en-GB"/>
      </w:rPr>
      <w:tab/>
    </w:r>
    <w:r>
      <w:rPr>
        <w:rFonts w:cs="Century"/>
        <w:szCs w:val="21"/>
        <w:lang w:val="en-GB"/>
      </w:rPr>
      <w:t xml:space="preserve">Informal document </w:t>
    </w:r>
    <w:r w:rsidR="008918DD">
      <w:rPr>
        <w:rFonts w:cs="Century"/>
        <w:b/>
        <w:bCs/>
        <w:szCs w:val="21"/>
        <w:lang w:val="en-GB"/>
      </w:rPr>
      <w:t>WP.29-175-</w:t>
    </w:r>
    <w:r w:rsidR="00870A00">
      <w:rPr>
        <w:rFonts w:cs="Century"/>
        <w:b/>
        <w:bCs/>
        <w:szCs w:val="21"/>
        <w:lang w:val="en-GB"/>
      </w:rPr>
      <w:t>20</w:t>
    </w:r>
  </w:p>
  <w:p w:rsidR="00870A00" w:rsidRPr="006D5871" w:rsidRDefault="004B7F39" w:rsidP="00870A00">
    <w:pPr>
      <w:autoSpaceDE w:val="0"/>
      <w:autoSpaceDN w:val="0"/>
      <w:adjustRightInd w:val="0"/>
      <w:jc w:val="right"/>
      <w:rPr>
        <w:rFonts w:hAnsi="Times New Roman"/>
        <w:bCs/>
        <w:lang w:val="en-US"/>
      </w:rPr>
    </w:pPr>
    <w:r>
      <w:rPr>
        <w:rFonts w:cs="Century"/>
        <w:szCs w:val="21"/>
        <w:lang w:val="en-GB"/>
      </w:rPr>
      <w:tab/>
    </w:r>
    <w:r w:rsidR="00870A00" w:rsidRPr="006D5871">
      <w:rPr>
        <w:rFonts w:hAnsi="Times New Roman"/>
        <w:bCs/>
        <w:lang w:val="en-US"/>
      </w:rPr>
      <w:t>17</w:t>
    </w:r>
    <w:r w:rsidR="00870A00">
      <w:rPr>
        <w:rFonts w:hAnsi="Times New Roman"/>
        <w:bCs/>
        <w:lang w:val="en-US"/>
      </w:rPr>
      <w:t>5</w:t>
    </w:r>
    <w:r w:rsidR="00870A00" w:rsidRPr="006D5871">
      <w:rPr>
        <w:rFonts w:hAnsi="Times New Roman"/>
        <w:bCs/>
        <w:vertAlign w:val="superscript"/>
        <w:lang w:val="en-US"/>
      </w:rPr>
      <w:t>th</w:t>
    </w:r>
    <w:r w:rsidR="00870A00" w:rsidRPr="006D5871">
      <w:rPr>
        <w:rFonts w:hAnsi="Times New Roman"/>
        <w:bCs/>
        <w:lang w:val="en-US"/>
      </w:rPr>
      <w:t xml:space="preserve"> WP.29, 1</w:t>
    </w:r>
    <w:r w:rsidR="00870A00">
      <w:rPr>
        <w:rFonts w:hAnsi="Times New Roman"/>
        <w:bCs/>
        <w:lang w:val="en-US"/>
      </w:rPr>
      <w:t>9</w:t>
    </w:r>
    <w:r w:rsidR="00870A00" w:rsidRPr="006D5871">
      <w:rPr>
        <w:rFonts w:hAnsi="Times New Roman"/>
        <w:bCs/>
        <w:lang w:val="en-US"/>
      </w:rPr>
      <w:t>-</w:t>
    </w:r>
    <w:r w:rsidR="00870A00">
      <w:rPr>
        <w:rFonts w:hAnsi="Times New Roman"/>
        <w:bCs/>
        <w:lang w:val="en-US"/>
      </w:rPr>
      <w:t>22</w:t>
    </w:r>
    <w:r w:rsidR="00870A00" w:rsidRPr="006D5871">
      <w:rPr>
        <w:rFonts w:hAnsi="Times New Roman"/>
        <w:bCs/>
        <w:lang w:val="en-US"/>
      </w:rPr>
      <w:t xml:space="preserve"> </w:t>
    </w:r>
    <w:r w:rsidR="00870A00">
      <w:rPr>
        <w:rFonts w:hAnsi="Times New Roman"/>
        <w:bCs/>
        <w:lang w:val="en-US"/>
      </w:rPr>
      <w:t>June</w:t>
    </w:r>
    <w:r w:rsidR="00870A00" w:rsidRPr="006D5871">
      <w:rPr>
        <w:rFonts w:hAnsi="Times New Roman"/>
        <w:bCs/>
        <w:lang w:val="en-US"/>
      </w:rPr>
      <w:t xml:space="preserve"> 2018</w:t>
    </w:r>
  </w:p>
  <w:p w:rsidR="004B7F39" w:rsidRDefault="00870A00" w:rsidP="00870A00">
    <w:pPr>
      <w:tabs>
        <w:tab w:val="right" w:pos="9639"/>
      </w:tabs>
      <w:wordWrap w:val="0"/>
      <w:autoSpaceDE w:val="0"/>
      <w:autoSpaceDN w:val="0"/>
      <w:adjustRightInd w:val="0"/>
      <w:jc w:val="right"/>
      <w:rPr>
        <w:rFonts w:cs="Century"/>
        <w:szCs w:val="21"/>
        <w:lang w:val="en-GB"/>
      </w:rPr>
    </w:pPr>
    <w:r w:rsidRPr="00870A00">
      <w:rPr>
        <w:rFonts w:hAnsi="Times New Roman"/>
        <w:bCs/>
        <w:lang w:val="en-GB"/>
      </w:rPr>
      <w:t xml:space="preserve">Agenda item </w:t>
    </w:r>
    <w:r>
      <w:rPr>
        <w:rFonts w:hAnsi="Times New Roman"/>
        <w:bCs/>
        <w:lang w:val="en-GB"/>
      </w:rPr>
      <w:t>2.3</w:t>
    </w:r>
    <w:bookmarkStart w:id="0" w:name="_GoBack"/>
    <w:bookmarkEnd w:id="0"/>
  </w:p>
  <w:p w:rsidR="009909EC" w:rsidRPr="002E2521" w:rsidRDefault="009909EC" w:rsidP="009909EC">
    <w:pPr>
      <w:autoSpaceDE w:val="0"/>
      <w:autoSpaceDN w:val="0"/>
      <w:adjustRightInd w:val="0"/>
      <w:spacing w:line="240" w:lineRule="atLeast"/>
      <w:jc w:val="right"/>
      <w:rPr>
        <w:rFonts w:hAnsi="Times New Roman"/>
        <w:sz w:val="28"/>
        <w:szCs w:val="28"/>
        <w:lang w:val="en-GB"/>
      </w:rPr>
    </w:pPr>
  </w:p>
  <w:p w:rsidR="00517952" w:rsidRPr="002E2521" w:rsidRDefault="00517952" w:rsidP="009909E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54D71"/>
    <w:multiLevelType w:val="multilevel"/>
    <w:tmpl w:val="52889FB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1" w15:restartNumberingAfterBreak="0">
    <w:nsid w:val="34C406AF"/>
    <w:multiLevelType w:val="hybridMultilevel"/>
    <w:tmpl w:val="2C181C5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8A00922"/>
    <w:multiLevelType w:val="multilevel"/>
    <w:tmpl w:val="FD927360"/>
    <w:styleLink w:val="List0"/>
    <w:lvl w:ilvl="0">
      <w:start w:val="1"/>
      <w:numFmt w:val="lowerLetter"/>
      <w:lvlText w:val="(%1)"/>
      <w:lvlJc w:val="left"/>
      <w:rPr>
        <w:position w:val="0"/>
        <w:rtl w:val="0"/>
        <w:lang w:val="en-US"/>
      </w:rPr>
    </w:lvl>
    <w:lvl w:ilvl="1">
      <w:start w:val="1"/>
      <w:numFmt w:val="lowerLetter"/>
      <w:lvlText w:val="(%2)"/>
      <w:lvlJc w:val="left"/>
      <w:rPr>
        <w:position w:val="0"/>
        <w:rtl w:val="0"/>
        <w:lang w:val="en-US"/>
      </w:rPr>
    </w:lvl>
    <w:lvl w:ilvl="2">
      <w:start w:val="1"/>
      <w:numFmt w:val="lowerLetter"/>
      <w:lvlText w:val="(%3)"/>
      <w:lvlJc w:val="left"/>
      <w:rPr>
        <w:position w:val="0"/>
        <w:rtl w:val="0"/>
        <w:lang w:val="en-US"/>
      </w:rPr>
    </w:lvl>
    <w:lvl w:ilvl="3">
      <w:start w:val="1"/>
      <w:numFmt w:val="lowerLetter"/>
      <w:lvlText w:val="(%4)"/>
      <w:lvlJc w:val="left"/>
      <w:rPr>
        <w:position w:val="0"/>
        <w:rtl w:val="0"/>
        <w:lang w:val="en-US"/>
      </w:rPr>
    </w:lvl>
    <w:lvl w:ilvl="4">
      <w:start w:val="1"/>
      <w:numFmt w:val="lowerLetter"/>
      <w:lvlText w:val="(%5)"/>
      <w:lvlJc w:val="left"/>
      <w:rPr>
        <w:position w:val="0"/>
        <w:rtl w:val="0"/>
        <w:lang w:val="en-US"/>
      </w:rPr>
    </w:lvl>
    <w:lvl w:ilvl="5">
      <w:start w:val="1"/>
      <w:numFmt w:val="lowerLetter"/>
      <w:lvlText w:val="(%6)"/>
      <w:lvlJc w:val="left"/>
      <w:rPr>
        <w:position w:val="0"/>
        <w:rtl w:val="0"/>
        <w:lang w:val="en-US"/>
      </w:rPr>
    </w:lvl>
    <w:lvl w:ilvl="6">
      <w:start w:val="1"/>
      <w:numFmt w:val="lowerLetter"/>
      <w:lvlText w:val="(%7)"/>
      <w:lvlJc w:val="left"/>
      <w:rPr>
        <w:position w:val="0"/>
        <w:rtl w:val="0"/>
        <w:lang w:val="en-US"/>
      </w:rPr>
    </w:lvl>
    <w:lvl w:ilvl="7">
      <w:start w:val="1"/>
      <w:numFmt w:val="lowerLetter"/>
      <w:lvlText w:val="(%8)"/>
      <w:lvlJc w:val="left"/>
      <w:rPr>
        <w:position w:val="0"/>
        <w:rtl w:val="0"/>
        <w:lang w:val="en-US"/>
      </w:rPr>
    </w:lvl>
    <w:lvl w:ilvl="8">
      <w:start w:val="1"/>
      <w:numFmt w:val="lowerLetter"/>
      <w:lvlText w:val="(%9)"/>
      <w:lvlJc w:val="left"/>
      <w:rPr>
        <w:position w:val="0"/>
        <w:rtl w:val="0"/>
        <w:lang w:val="en-US"/>
      </w:rPr>
    </w:lvl>
  </w:abstractNum>
  <w:abstractNum w:abstractNumId="3" w15:restartNumberingAfterBreak="0">
    <w:nsid w:val="481B7AC3"/>
    <w:multiLevelType w:val="hybridMultilevel"/>
    <w:tmpl w:val="AACCD80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6A4C4D"/>
    <w:multiLevelType w:val="multilevel"/>
    <w:tmpl w:val="E8EE808E"/>
    <w:lvl w:ilvl="0">
      <w:start w:val="1"/>
      <w:numFmt w:val="lowerLetter"/>
      <w:lvlText w:val="(%1)"/>
      <w:lvlJc w:val="left"/>
      <w:rPr>
        <w:position w:val="0"/>
        <w:rtl w:val="0"/>
        <w:lang w:val="en-US"/>
      </w:rPr>
    </w:lvl>
    <w:lvl w:ilvl="1">
      <w:start w:val="1"/>
      <w:numFmt w:val="lowerLetter"/>
      <w:lvlText w:val="(%2)"/>
      <w:lvlJc w:val="left"/>
      <w:rPr>
        <w:position w:val="0"/>
        <w:rtl w:val="0"/>
        <w:lang w:val="en-US"/>
      </w:rPr>
    </w:lvl>
    <w:lvl w:ilvl="2">
      <w:start w:val="1"/>
      <w:numFmt w:val="lowerLetter"/>
      <w:lvlText w:val="(%3)"/>
      <w:lvlJc w:val="left"/>
      <w:rPr>
        <w:position w:val="0"/>
        <w:rtl w:val="0"/>
        <w:lang w:val="en-US"/>
      </w:rPr>
    </w:lvl>
    <w:lvl w:ilvl="3">
      <w:start w:val="1"/>
      <w:numFmt w:val="lowerLetter"/>
      <w:lvlText w:val="(%4)"/>
      <w:lvlJc w:val="left"/>
      <w:rPr>
        <w:position w:val="0"/>
        <w:rtl w:val="0"/>
        <w:lang w:val="en-US"/>
      </w:rPr>
    </w:lvl>
    <w:lvl w:ilvl="4">
      <w:start w:val="1"/>
      <w:numFmt w:val="lowerLetter"/>
      <w:lvlText w:val="(%5)"/>
      <w:lvlJc w:val="left"/>
      <w:rPr>
        <w:position w:val="0"/>
        <w:rtl w:val="0"/>
        <w:lang w:val="en-US"/>
      </w:rPr>
    </w:lvl>
    <w:lvl w:ilvl="5">
      <w:start w:val="1"/>
      <w:numFmt w:val="lowerLetter"/>
      <w:lvlText w:val="(%6)"/>
      <w:lvlJc w:val="left"/>
      <w:rPr>
        <w:position w:val="0"/>
        <w:rtl w:val="0"/>
        <w:lang w:val="en-US"/>
      </w:rPr>
    </w:lvl>
    <w:lvl w:ilvl="6">
      <w:start w:val="1"/>
      <w:numFmt w:val="lowerLetter"/>
      <w:lvlText w:val="(%7)"/>
      <w:lvlJc w:val="left"/>
      <w:rPr>
        <w:position w:val="0"/>
        <w:rtl w:val="0"/>
        <w:lang w:val="en-US"/>
      </w:rPr>
    </w:lvl>
    <w:lvl w:ilvl="7">
      <w:start w:val="1"/>
      <w:numFmt w:val="lowerLetter"/>
      <w:lvlText w:val="(%8)"/>
      <w:lvlJc w:val="left"/>
      <w:rPr>
        <w:position w:val="0"/>
        <w:rtl w:val="0"/>
        <w:lang w:val="en-US"/>
      </w:rPr>
    </w:lvl>
    <w:lvl w:ilvl="8">
      <w:start w:val="1"/>
      <w:numFmt w:val="lowerLetter"/>
      <w:lvlText w:val="(%9)"/>
      <w:lvlJc w:val="left"/>
      <w:rPr>
        <w:position w:val="0"/>
        <w:rtl w:val="0"/>
        <w:lang w:val="en-US"/>
      </w:rPr>
    </w:lvl>
  </w:abstractNum>
  <w:abstractNum w:abstractNumId="5" w15:restartNumberingAfterBreak="0">
    <w:nsid w:val="6D3857E2"/>
    <w:multiLevelType w:val="hybridMultilevel"/>
    <w:tmpl w:val="94CAA4C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hyphenationZone w:val="425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F31C2"/>
    <w:rsid w:val="00012C29"/>
    <w:rsid w:val="00020E28"/>
    <w:rsid w:val="0003093D"/>
    <w:rsid w:val="0003358C"/>
    <w:rsid w:val="00034156"/>
    <w:rsid w:val="0003420E"/>
    <w:rsid w:val="0004155C"/>
    <w:rsid w:val="00061AC6"/>
    <w:rsid w:val="0008245F"/>
    <w:rsid w:val="000B3AF6"/>
    <w:rsid w:val="000C20B0"/>
    <w:rsid w:val="000C56CE"/>
    <w:rsid w:val="000C70C5"/>
    <w:rsid w:val="00110738"/>
    <w:rsid w:val="00114F9C"/>
    <w:rsid w:val="00115110"/>
    <w:rsid w:val="00133137"/>
    <w:rsid w:val="00134A73"/>
    <w:rsid w:val="00136D62"/>
    <w:rsid w:val="00145F35"/>
    <w:rsid w:val="0016141C"/>
    <w:rsid w:val="001737B5"/>
    <w:rsid w:val="0018243B"/>
    <w:rsid w:val="00193D52"/>
    <w:rsid w:val="001A3F9E"/>
    <w:rsid w:val="001A496C"/>
    <w:rsid w:val="001C5684"/>
    <w:rsid w:val="001D7DCE"/>
    <w:rsid w:val="001F0B91"/>
    <w:rsid w:val="001F31C2"/>
    <w:rsid w:val="00206634"/>
    <w:rsid w:val="00216C68"/>
    <w:rsid w:val="00217284"/>
    <w:rsid w:val="00252A60"/>
    <w:rsid w:val="0025310D"/>
    <w:rsid w:val="00253743"/>
    <w:rsid w:val="00255505"/>
    <w:rsid w:val="002575E2"/>
    <w:rsid w:val="00261BE4"/>
    <w:rsid w:val="00265E33"/>
    <w:rsid w:val="0027237B"/>
    <w:rsid w:val="0027558F"/>
    <w:rsid w:val="00277ACD"/>
    <w:rsid w:val="002811C2"/>
    <w:rsid w:val="002823FD"/>
    <w:rsid w:val="00282AC4"/>
    <w:rsid w:val="002865A0"/>
    <w:rsid w:val="00295475"/>
    <w:rsid w:val="002B4F25"/>
    <w:rsid w:val="002D09F6"/>
    <w:rsid w:val="002D2495"/>
    <w:rsid w:val="002E2521"/>
    <w:rsid w:val="002E4531"/>
    <w:rsid w:val="002F0F0E"/>
    <w:rsid w:val="002F1983"/>
    <w:rsid w:val="002F27D5"/>
    <w:rsid w:val="002F509B"/>
    <w:rsid w:val="00301432"/>
    <w:rsid w:val="00305784"/>
    <w:rsid w:val="00311466"/>
    <w:rsid w:val="00320D3A"/>
    <w:rsid w:val="00336BFA"/>
    <w:rsid w:val="00341103"/>
    <w:rsid w:val="0035316F"/>
    <w:rsid w:val="00356317"/>
    <w:rsid w:val="003605B4"/>
    <w:rsid w:val="003708B9"/>
    <w:rsid w:val="00370B7C"/>
    <w:rsid w:val="003B67CD"/>
    <w:rsid w:val="003C191F"/>
    <w:rsid w:val="003C3D05"/>
    <w:rsid w:val="003D317E"/>
    <w:rsid w:val="003E11BC"/>
    <w:rsid w:val="003E4BC6"/>
    <w:rsid w:val="003F07EF"/>
    <w:rsid w:val="0042250C"/>
    <w:rsid w:val="0042746B"/>
    <w:rsid w:val="004576B5"/>
    <w:rsid w:val="004704C4"/>
    <w:rsid w:val="004933FC"/>
    <w:rsid w:val="00495828"/>
    <w:rsid w:val="00495FD8"/>
    <w:rsid w:val="004A61F6"/>
    <w:rsid w:val="004B0485"/>
    <w:rsid w:val="004B7F39"/>
    <w:rsid w:val="004D4762"/>
    <w:rsid w:val="004E09EE"/>
    <w:rsid w:val="004F2ABC"/>
    <w:rsid w:val="0051225E"/>
    <w:rsid w:val="005123ED"/>
    <w:rsid w:val="00517952"/>
    <w:rsid w:val="005342B5"/>
    <w:rsid w:val="00543B6D"/>
    <w:rsid w:val="00544FED"/>
    <w:rsid w:val="00582CFF"/>
    <w:rsid w:val="0059060C"/>
    <w:rsid w:val="005B32AC"/>
    <w:rsid w:val="005C290C"/>
    <w:rsid w:val="005C2979"/>
    <w:rsid w:val="005C2A1B"/>
    <w:rsid w:val="005C4A93"/>
    <w:rsid w:val="005C5AE5"/>
    <w:rsid w:val="005C69FA"/>
    <w:rsid w:val="005E1BF6"/>
    <w:rsid w:val="005F3ADB"/>
    <w:rsid w:val="005F56DA"/>
    <w:rsid w:val="005F6733"/>
    <w:rsid w:val="00606FA1"/>
    <w:rsid w:val="0061053C"/>
    <w:rsid w:val="00611C76"/>
    <w:rsid w:val="00647C9C"/>
    <w:rsid w:val="00647F14"/>
    <w:rsid w:val="006505AF"/>
    <w:rsid w:val="00653D8E"/>
    <w:rsid w:val="00657C7F"/>
    <w:rsid w:val="00672228"/>
    <w:rsid w:val="00676C58"/>
    <w:rsid w:val="006863DE"/>
    <w:rsid w:val="00691A16"/>
    <w:rsid w:val="006961D5"/>
    <w:rsid w:val="006A4A30"/>
    <w:rsid w:val="006A5BAA"/>
    <w:rsid w:val="006B0A19"/>
    <w:rsid w:val="006B1DE1"/>
    <w:rsid w:val="006C1B93"/>
    <w:rsid w:val="006C4204"/>
    <w:rsid w:val="006D6C52"/>
    <w:rsid w:val="00702316"/>
    <w:rsid w:val="00721F59"/>
    <w:rsid w:val="00731D71"/>
    <w:rsid w:val="007632CF"/>
    <w:rsid w:val="0077066C"/>
    <w:rsid w:val="0078114C"/>
    <w:rsid w:val="007846AE"/>
    <w:rsid w:val="00790573"/>
    <w:rsid w:val="0079190E"/>
    <w:rsid w:val="00791AB8"/>
    <w:rsid w:val="0079578C"/>
    <w:rsid w:val="007A40E9"/>
    <w:rsid w:val="007A7ECB"/>
    <w:rsid w:val="007B025E"/>
    <w:rsid w:val="007C3111"/>
    <w:rsid w:val="007C6270"/>
    <w:rsid w:val="007D4915"/>
    <w:rsid w:val="008039FB"/>
    <w:rsid w:val="008247D9"/>
    <w:rsid w:val="00827FBE"/>
    <w:rsid w:val="0083444B"/>
    <w:rsid w:val="00846F55"/>
    <w:rsid w:val="00852BDD"/>
    <w:rsid w:val="00853A32"/>
    <w:rsid w:val="00857BD7"/>
    <w:rsid w:val="00870694"/>
    <w:rsid w:val="00870A00"/>
    <w:rsid w:val="00872F30"/>
    <w:rsid w:val="008918DD"/>
    <w:rsid w:val="008B3505"/>
    <w:rsid w:val="008B64C5"/>
    <w:rsid w:val="008C631A"/>
    <w:rsid w:val="008D1175"/>
    <w:rsid w:val="008E7979"/>
    <w:rsid w:val="008F11BF"/>
    <w:rsid w:val="008F18D4"/>
    <w:rsid w:val="009025D8"/>
    <w:rsid w:val="00907D66"/>
    <w:rsid w:val="00910CAA"/>
    <w:rsid w:val="00911AE2"/>
    <w:rsid w:val="0091475E"/>
    <w:rsid w:val="0091798A"/>
    <w:rsid w:val="00923ADA"/>
    <w:rsid w:val="00924D89"/>
    <w:rsid w:val="009360DE"/>
    <w:rsid w:val="00936A1C"/>
    <w:rsid w:val="00937093"/>
    <w:rsid w:val="00941F4B"/>
    <w:rsid w:val="00950638"/>
    <w:rsid w:val="00957BB6"/>
    <w:rsid w:val="00961A60"/>
    <w:rsid w:val="009810DA"/>
    <w:rsid w:val="0098132D"/>
    <w:rsid w:val="00990389"/>
    <w:rsid w:val="009909EC"/>
    <w:rsid w:val="009B1820"/>
    <w:rsid w:val="009C1764"/>
    <w:rsid w:val="009C2BA8"/>
    <w:rsid w:val="009C4D24"/>
    <w:rsid w:val="009D0F05"/>
    <w:rsid w:val="009E5D58"/>
    <w:rsid w:val="009E60EE"/>
    <w:rsid w:val="009F7F84"/>
    <w:rsid w:val="00A07A36"/>
    <w:rsid w:val="00A13680"/>
    <w:rsid w:val="00A13B0D"/>
    <w:rsid w:val="00A231A0"/>
    <w:rsid w:val="00A33BBC"/>
    <w:rsid w:val="00A37944"/>
    <w:rsid w:val="00A4189D"/>
    <w:rsid w:val="00A44EF0"/>
    <w:rsid w:val="00A45C79"/>
    <w:rsid w:val="00A519D9"/>
    <w:rsid w:val="00A6405C"/>
    <w:rsid w:val="00A64DD8"/>
    <w:rsid w:val="00A726BB"/>
    <w:rsid w:val="00A76BB7"/>
    <w:rsid w:val="00A90DB0"/>
    <w:rsid w:val="00A928DC"/>
    <w:rsid w:val="00A95562"/>
    <w:rsid w:val="00AA36B5"/>
    <w:rsid w:val="00AA44B4"/>
    <w:rsid w:val="00AB01A9"/>
    <w:rsid w:val="00AB6D38"/>
    <w:rsid w:val="00AC376C"/>
    <w:rsid w:val="00AD03B5"/>
    <w:rsid w:val="00AE3566"/>
    <w:rsid w:val="00AE7BAC"/>
    <w:rsid w:val="00AF15D4"/>
    <w:rsid w:val="00AF28F8"/>
    <w:rsid w:val="00AF469B"/>
    <w:rsid w:val="00B03992"/>
    <w:rsid w:val="00B1168F"/>
    <w:rsid w:val="00B15535"/>
    <w:rsid w:val="00B16AB2"/>
    <w:rsid w:val="00B23F9A"/>
    <w:rsid w:val="00B55392"/>
    <w:rsid w:val="00B55998"/>
    <w:rsid w:val="00B60B84"/>
    <w:rsid w:val="00B62FFA"/>
    <w:rsid w:val="00B8760B"/>
    <w:rsid w:val="00B952E4"/>
    <w:rsid w:val="00B954B6"/>
    <w:rsid w:val="00BB4392"/>
    <w:rsid w:val="00BB4465"/>
    <w:rsid w:val="00BC5035"/>
    <w:rsid w:val="00BD280A"/>
    <w:rsid w:val="00BD7D15"/>
    <w:rsid w:val="00C03D76"/>
    <w:rsid w:val="00C07EAB"/>
    <w:rsid w:val="00C17ED2"/>
    <w:rsid w:val="00C37696"/>
    <w:rsid w:val="00C401C7"/>
    <w:rsid w:val="00C82A14"/>
    <w:rsid w:val="00C84F02"/>
    <w:rsid w:val="00C95472"/>
    <w:rsid w:val="00CA106F"/>
    <w:rsid w:val="00CA7BF5"/>
    <w:rsid w:val="00CC17A1"/>
    <w:rsid w:val="00CC54A9"/>
    <w:rsid w:val="00CE538F"/>
    <w:rsid w:val="00CF0FEF"/>
    <w:rsid w:val="00CF5DFA"/>
    <w:rsid w:val="00D058C0"/>
    <w:rsid w:val="00D12250"/>
    <w:rsid w:val="00D146BC"/>
    <w:rsid w:val="00D148B0"/>
    <w:rsid w:val="00D3011F"/>
    <w:rsid w:val="00D31719"/>
    <w:rsid w:val="00D32F0C"/>
    <w:rsid w:val="00D3515B"/>
    <w:rsid w:val="00D409DA"/>
    <w:rsid w:val="00D46545"/>
    <w:rsid w:val="00D4681E"/>
    <w:rsid w:val="00D56576"/>
    <w:rsid w:val="00D57CB5"/>
    <w:rsid w:val="00D76B62"/>
    <w:rsid w:val="00D86B4F"/>
    <w:rsid w:val="00D90A3E"/>
    <w:rsid w:val="00DA4F46"/>
    <w:rsid w:val="00DB3224"/>
    <w:rsid w:val="00DD06DB"/>
    <w:rsid w:val="00DE2858"/>
    <w:rsid w:val="00DE3F8A"/>
    <w:rsid w:val="00DE6DE9"/>
    <w:rsid w:val="00DF069E"/>
    <w:rsid w:val="00DF7461"/>
    <w:rsid w:val="00E04E34"/>
    <w:rsid w:val="00E130FA"/>
    <w:rsid w:val="00E151C2"/>
    <w:rsid w:val="00E22697"/>
    <w:rsid w:val="00E27C23"/>
    <w:rsid w:val="00E430C3"/>
    <w:rsid w:val="00E457D4"/>
    <w:rsid w:val="00E55767"/>
    <w:rsid w:val="00E65F2C"/>
    <w:rsid w:val="00E71A8D"/>
    <w:rsid w:val="00E739E6"/>
    <w:rsid w:val="00E75163"/>
    <w:rsid w:val="00EA0301"/>
    <w:rsid w:val="00EA3479"/>
    <w:rsid w:val="00EA5B90"/>
    <w:rsid w:val="00EB35F6"/>
    <w:rsid w:val="00EC4E21"/>
    <w:rsid w:val="00ED200F"/>
    <w:rsid w:val="00ED6B12"/>
    <w:rsid w:val="00ED7350"/>
    <w:rsid w:val="00EE0152"/>
    <w:rsid w:val="00EE35F4"/>
    <w:rsid w:val="00EF7B2D"/>
    <w:rsid w:val="00F00FD4"/>
    <w:rsid w:val="00F0638A"/>
    <w:rsid w:val="00F1270C"/>
    <w:rsid w:val="00F26AB0"/>
    <w:rsid w:val="00F274A3"/>
    <w:rsid w:val="00F45B1D"/>
    <w:rsid w:val="00F53ECE"/>
    <w:rsid w:val="00F5506C"/>
    <w:rsid w:val="00F60B1B"/>
    <w:rsid w:val="00F85180"/>
    <w:rsid w:val="00F9116A"/>
    <w:rsid w:val="00F91174"/>
    <w:rsid w:val="00F97C3C"/>
    <w:rsid w:val="00FB182E"/>
    <w:rsid w:val="00FB298B"/>
    <w:rsid w:val="00FB67D8"/>
    <w:rsid w:val="00FC25B1"/>
    <w:rsid w:val="00FD7C2E"/>
    <w:rsid w:val="00FE63DE"/>
    <w:rsid w:val="00FF5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451619"/>
  <w15:docId w15:val="{6F531427-3B9B-4BA2-A6C8-5E3C1442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D7D15"/>
    <w:pPr>
      <w:suppressAutoHyphens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7D15"/>
    <w:rPr>
      <w:u w:val="single"/>
    </w:rPr>
  </w:style>
  <w:style w:type="paragraph" w:customStyle="1" w:styleId="En-tte1">
    <w:name w:val="En-tête1"/>
    <w:rsid w:val="00BD7D1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rsid w:val="00BD7D15"/>
    <w:pPr>
      <w:tabs>
        <w:tab w:val="center" w:pos="4677"/>
        <w:tab w:val="right" w:pos="9355"/>
      </w:tabs>
      <w:suppressAutoHyphens/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paragraph" w:styleId="Header">
    <w:name w:val="header"/>
    <w:rsid w:val="00BD7D15"/>
    <w:pPr>
      <w:tabs>
        <w:tab w:val="center" w:pos="4677"/>
        <w:tab w:val="right" w:pos="9355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ChG">
    <w:name w:val="_ H _Ch_G"/>
    <w:next w:val="Normal"/>
    <w:link w:val="HChGChar"/>
    <w:rsid w:val="00BD7D1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SingleTxtG">
    <w:name w:val="_ Single Txt_G"/>
    <w:link w:val="SingleTxtGChar"/>
    <w:rsid w:val="00911AE2"/>
    <w:pPr>
      <w:tabs>
        <w:tab w:val="left" w:pos="1701"/>
      </w:tabs>
      <w:suppressAutoHyphens/>
      <w:spacing w:after="120" w:line="240" w:lineRule="atLeast"/>
      <w:ind w:left="1134" w:right="1134"/>
      <w:jc w:val="both"/>
    </w:pPr>
    <w:rPr>
      <w:rFonts w:hAnsi="Arial Unicode MS" w:cs="Arial Unicode MS"/>
      <w:color w:val="000000"/>
      <w:u w:color="000000"/>
      <w:lang w:val="en-GB"/>
    </w:rPr>
  </w:style>
  <w:style w:type="character" w:customStyle="1" w:styleId="Lien">
    <w:name w:val="Lien"/>
    <w:rsid w:val="00BD7D15"/>
    <w:rPr>
      <w:color w:val="0000FF"/>
      <w:u w:val="single" w:color="0000FF"/>
    </w:rPr>
  </w:style>
  <w:style w:type="character" w:customStyle="1" w:styleId="Hyperlink0">
    <w:name w:val="Hyperlink.0"/>
    <w:basedOn w:val="Lien"/>
    <w:rsid w:val="00BD7D15"/>
    <w:rPr>
      <w:color w:val="0000FF"/>
      <w:u w:val="single" w:color="0000FF"/>
      <w:lang w:val="en-US"/>
    </w:rPr>
  </w:style>
  <w:style w:type="numbering" w:customStyle="1" w:styleId="List0">
    <w:name w:val="List 0"/>
    <w:basedOn w:val="Lettres"/>
    <w:rsid w:val="00BD7D15"/>
    <w:pPr>
      <w:numPr>
        <w:numId w:val="3"/>
      </w:numPr>
    </w:pPr>
  </w:style>
  <w:style w:type="numbering" w:customStyle="1" w:styleId="Lettres">
    <w:name w:val="Lettres"/>
    <w:rsid w:val="00BD7D15"/>
  </w:style>
  <w:style w:type="paragraph" w:styleId="BalloonText">
    <w:name w:val="Balloon Text"/>
    <w:basedOn w:val="Normal"/>
    <w:link w:val="BalloonTextChar"/>
    <w:uiPriority w:val="99"/>
    <w:semiHidden/>
    <w:unhideWhenUsed/>
    <w:rsid w:val="00911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E2"/>
    <w:rPr>
      <w:rFonts w:ascii="Tahoma" w:hAnsi="Tahoma" w:cs="Tahoma"/>
      <w:color w:val="000000"/>
      <w:sz w:val="16"/>
      <w:szCs w:val="16"/>
      <w:u w:color="000000"/>
      <w:lang w:val="ru-RU"/>
    </w:rPr>
  </w:style>
  <w:style w:type="paragraph" w:customStyle="1" w:styleId="HMGFG">
    <w:name w:val="_H_M_G_FG"/>
    <w:basedOn w:val="HChG"/>
    <w:link w:val="HMGFGChar"/>
    <w:qFormat/>
    <w:rsid w:val="00911AE2"/>
    <w:rPr>
      <w:sz w:val="24"/>
      <w:szCs w:val="24"/>
    </w:rPr>
  </w:style>
  <w:style w:type="character" w:customStyle="1" w:styleId="HChGChar">
    <w:name w:val="_ H _Ch_G Char"/>
    <w:basedOn w:val="DefaultParagraphFont"/>
    <w:link w:val="HChG"/>
    <w:rsid w:val="00911AE2"/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HMGFGChar">
    <w:name w:val="_H_M_G_FG Char"/>
    <w:basedOn w:val="HChGChar"/>
    <w:link w:val="HMGFG"/>
    <w:rsid w:val="00911AE2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SingleTxtGChar">
    <w:name w:val="_ Single Txt_G Char"/>
    <w:link w:val="SingleTxtG"/>
    <w:rsid w:val="00495828"/>
    <w:rPr>
      <w:rFonts w:hAnsi="Arial Unicode MS" w:cs="Arial Unicode MS"/>
      <w:color w:val="000000"/>
      <w:u w:color="000000"/>
      <w:lang w:val="en-GB"/>
    </w:rPr>
  </w:style>
  <w:style w:type="paragraph" w:customStyle="1" w:styleId="H1G">
    <w:name w:val="_ H_1_G"/>
    <w:basedOn w:val="Normal"/>
    <w:next w:val="Normal"/>
    <w:link w:val="H1GChar"/>
    <w:rsid w:val="00A90DB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hAnsi="Times New Roman" w:cs="Times New Roman"/>
      <w:b/>
      <w:color w:val="auto"/>
      <w:szCs w:val="20"/>
      <w:bdr w:val="none" w:sz="0" w:space="0" w:color="auto"/>
      <w:lang w:val="en-GB"/>
    </w:rPr>
  </w:style>
  <w:style w:type="character" w:customStyle="1" w:styleId="H1GChar">
    <w:name w:val="_ H_1_G Char"/>
    <w:link w:val="H1G"/>
    <w:locked/>
    <w:rsid w:val="00A90DB0"/>
    <w:rPr>
      <w:rFonts w:eastAsia="Times New Roman"/>
      <w:b/>
      <w:sz w:val="24"/>
      <w:bdr w:val="none" w:sz="0" w:space="0" w:color="auto"/>
      <w:lang w:val="en-GB"/>
    </w:rPr>
  </w:style>
  <w:style w:type="character" w:customStyle="1" w:styleId="translation-chunk">
    <w:name w:val="translation-chunk"/>
    <w:basedOn w:val="DefaultParagraphFont"/>
    <w:rsid w:val="00020E28"/>
  </w:style>
  <w:style w:type="character" w:styleId="CommentReference">
    <w:name w:val="annotation reference"/>
    <w:basedOn w:val="DefaultParagraphFont"/>
    <w:uiPriority w:val="99"/>
    <w:semiHidden/>
    <w:unhideWhenUsed/>
    <w:rsid w:val="00B16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AB2"/>
    <w:rPr>
      <w:rFonts w:hAnsi="Arial Unicode MS" w:cs="Arial Unicode MS"/>
      <w:color w:val="000000"/>
      <w:u w:color="00000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B2"/>
    <w:rPr>
      <w:rFonts w:hAnsi="Arial Unicode MS" w:cs="Arial Unicode MS"/>
      <w:b/>
      <w:bCs/>
      <w:color w:val="000000"/>
      <w:u w:color="000000"/>
      <w:lang w:val="ru-RU"/>
    </w:rPr>
  </w:style>
  <w:style w:type="paragraph" w:styleId="Revision">
    <w:name w:val="Revision"/>
    <w:hidden/>
    <w:uiPriority w:val="99"/>
    <w:semiHidden/>
    <w:rsid w:val="00B16A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hAnsi="Arial Unicode MS" w:cs="Arial Unicode MS"/>
      <w:color w:val="000000"/>
      <w:sz w:val="24"/>
      <w:szCs w:val="24"/>
      <w:u w:color="000000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4E09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fileadmin/DAM/trans/doc/2017/dgwp15ac2/DRAFT_ECE-TRANS-WP29-1131e_final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ce.org/fileadmin/DAM/trans/main/wp29/wp29resolutions/ECE-TRANS-WP29-1140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iki.unece.org/download/attachments/50856157/%28ITS_AD-12-12%29%20ITS-AD%20UK%20definitions%20presentation.pdf?api=v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iki.unece.org/download/attachments/50856157/%28ITS_AD-12-10%29%20Preparatory%20note%20in%20view%20of%20the%20WP.29%20brainstorming%20on%20automated%20vehicles%20%28UN-ECE%29.pdf?api=v2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BDEE-7CAF-43A9-9AB6-7F175C0D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Guichard</dc:creator>
  <cp:lastModifiedBy>Olivia Braud</cp:lastModifiedBy>
  <cp:revision>3</cp:revision>
  <cp:lastPrinted>2018-05-10T14:39:00Z</cp:lastPrinted>
  <dcterms:created xsi:type="dcterms:W3CDTF">2018-06-18T15:47:00Z</dcterms:created>
  <dcterms:modified xsi:type="dcterms:W3CDTF">2018-06-18T16:28:00Z</dcterms:modified>
</cp:coreProperties>
</file>