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7566DA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1200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A12004" w:rsidRDefault="00A12004" w:rsidP="00A12004">
            <w:pPr>
              <w:jc w:val="right"/>
              <w:rPr>
                <w:lang w:val="en-US"/>
              </w:rPr>
            </w:pPr>
            <w:r w:rsidRPr="00A12004">
              <w:rPr>
                <w:sz w:val="40"/>
                <w:lang w:val="en-US"/>
              </w:rPr>
              <w:t>ECE</w:t>
            </w:r>
            <w:r w:rsidRPr="00A12004">
              <w:rPr>
                <w:lang w:val="en-US"/>
              </w:rPr>
              <w:t>/TRANS/WP.29/AC.3/45/Rev.1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12004" w:rsidP="00C97039">
            <w:pPr>
              <w:spacing w:before="240"/>
            </w:pPr>
            <w:r>
              <w:t>Distr. générale</w:t>
            </w:r>
          </w:p>
          <w:p w:rsidR="00A12004" w:rsidRDefault="00161557" w:rsidP="00A12004">
            <w:pPr>
              <w:spacing w:line="240" w:lineRule="exact"/>
            </w:pPr>
            <w:r>
              <w:t>5</w:t>
            </w:r>
            <w:r w:rsidR="00A12004">
              <w:t xml:space="preserve"> janvier 2018</w:t>
            </w:r>
          </w:p>
          <w:p w:rsidR="00A12004" w:rsidRDefault="00A12004" w:rsidP="00A12004">
            <w:pPr>
              <w:spacing w:line="240" w:lineRule="exact"/>
            </w:pPr>
            <w:r>
              <w:t>Français</w:t>
            </w:r>
          </w:p>
          <w:p w:rsidR="00A12004" w:rsidRPr="00DB58B5" w:rsidRDefault="00A12004" w:rsidP="00A1200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7703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229B6" w:rsidRDefault="004229B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7703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229B6" w:rsidRDefault="00161557" w:rsidP="00AF0CB5">
      <w:pPr>
        <w:spacing w:before="120" w:line="240" w:lineRule="exact"/>
        <w:rPr>
          <w:b/>
        </w:rPr>
      </w:pPr>
      <w:r>
        <w:rPr>
          <w:b/>
        </w:rPr>
        <w:t>174</w:t>
      </w:r>
      <w:r w:rsidRPr="00161557">
        <w:rPr>
          <w:b/>
          <w:vertAlign w:val="superscript"/>
        </w:rPr>
        <w:t>e</w:t>
      </w:r>
      <w:r>
        <w:rPr>
          <w:b/>
        </w:rPr>
        <w:t xml:space="preserve"> </w:t>
      </w:r>
      <w:r w:rsidR="004229B6">
        <w:rPr>
          <w:b/>
        </w:rPr>
        <w:t>session</w:t>
      </w:r>
    </w:p>
    <w:p w:rsidR="004229B6" w:rsidRDefault="004229B6" w:rsidP="00AF0CB5">
      <w:pPr>
        <w:spacing w:line="240" w:lineRule="exact"/>
      </w:pPr>
      <w:r>
        <w:t xml:space="preserve">Genève, </w:t>
      </w:r>
      <w:r w:rsidR="00161557" w:rsidRPr="006C14DD">
        <w:rPr>
          <w:szCs w:val="24"/>
        </w:rPr>
        <w:t>13-16 mars 2018</w:t>
      </w:r>
    </w:p>
    <w:p w:rsidR="004229B6" w:rsidRDefault="004229B6" w:rsidP="00AF0CB5">
      <w:pPr>
        <w:spacing w:line="240" w:lineRule="exact"/>
      </w:pPr>
      <w:r>
        <w:t xml:space="preserve">Point </w:t>
      </w:r>
      <w:r w:rsidR="00161557" w:rsidRPr="00800900">
        <w:rPr>
          <w:szCs w:val="24"/>
        </w:rPr>
        <w:t>18.</w:t>
      </w:r>
      <w:r w:rsidR="00161557">
        <w:rPr>
          <w:szCs w:val="24"/>
        </w:rPr>
        <w:t>5</w:t>
      </w:r>
      <w:r w:rsidR="00161557" w:rsidRPr="00800900">
        <w:rPr>
          <w:szCs w:val="24"/>
        </w:rPr>
        <w:t xml:space="preserve"> de l</w:t>
      </w:r>
      <w:r w:rsidR="00E7703F">
        <w:rPr>
          <w:szCs w:val="24"/>
        </w:rPr>
        <w:t>’</w:t>
      </w:r>
      <w:r w:rsidR="00161557" w:rsidRPr="00800900">
        <w:rPr>
          <w:szCs w:val="24"/>
        </w:rPr>
        <w:t>ordre du jour provisoire</w:t>
      </w:r>
    </w:p>
    <w:p w:rsidR="00161557" w:rsidRPr="00161557" w:rsidRDefault="00161557" w:rsidP="00161557">
      <w:pPr>
        <w:rPr>
          <w:b/>
        </w:rPr>
      </w:pPr>
      <w:r w:rsidRPr="00161557">
        <w:rPr>
          <w:b/>
        </w:rPr>
        <w:t>État d</w:t>
      </w:r>
      <w:r w:rsidR="00E7703F">
        <w:rPr>
          <w:b/>
        </w:rPr>
        <w:t>’</w:t>
      </w:r>
      <w:r w:rsidRPr="00161557">
        <w:rPr>
          <w:b/>
        </w:rPr>
        <w:t>avancement de l</w:t>
      </w:r>
      <w:r w:rsidR="00E7703F">
        <w:rPr>
          <w:b/>
        </w:rPr>
        <w:t>’</w:t>
      </w:r>
      <w:r w:rsidRPr="00161557">
        <w:rPr>
          <w:b/>
        </w:rPr>
        <w:t xml:space="preserve">élaboration de nouveaux RTM </w:t>
      </w:r>
      <w:r>
        <w:rPr>
          <w:b/>
        </w:rPr>
        <w:br/>
      </w:r>
      <w:r w:rsidRPr="00161557">
        <w:rPr>
          <w:b/>
        </w:rPr>
        <w:t>ou d</w:t>
      </w:r>
      <w:r w:rsidR="00E7703F">
        <w:rPr>
          <w:b/>
        </w:rPr>
        <w:t>’</w:t>
      </w:r>
      <w:r w:rsidRPr="00161557">
        <w:rPr>
          <w:b/>
        </w:rPr>
        <w:t>amendements à des RTM existants</w:t>
      </w:r>
      <w:r>
        <w:rPr>
          <w:b/>
        </w:rPr>
        <w:t> </w:t>
      </w:r>
      <w:r w:rsidRPr="00161557">
        <w:rPr>
          <w:b/>
        </w:rPr>
        <w:t xml:space="preserve">: RTM </w:t>
      </w:r>
      <w:r w:rsidRPr="00161557">
        <w:rPr>
          <w:rFonts w:eastAsia="MS Mincho"/>
          <w:b/>
          <w:szCs w:val="22"/>
        </w:rPr>
        <w:t>n</w:t>
      </w:r>
      <w:r w:rsidRPr="00161557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</w:t>
      </w:r>
      <w:r w:rsidRPr="00161557">
        <w:rPr>
          <w:b/>
        </w:rPr>
        <w:t>9</w:t>
      </w:r>
    </w:p>
    <w:p w:rsidR="00F9573C" w:rsidRDefault="00161557" w:rsidP="00161557">
      <w:pPr>
        <w:rPr>
          <w:b/>
        </w:rPr>
      </w:pPr>
      <w:r w:rsidRPr="00161557">
        <w:rPr>
          <w:b/>
        </w:rPr>
        <w:t>(Sécurité des piétons)</w:t>
      </w:r>
    </w:p>
    <w:p w:rsidR="00437AC6" w:rsidRPr="00437AC6" w:rsidRDefault="00437AC6" w:rsidP="00437AC6">
      <w:pPr>
        <w:pStyle w:val="HChG"/>
      </w:pPr>
      <w:r>
        <w:tab/>
      </w:r>
      <w:r>
        <w:tab/>
      </w:r>
      <w:r w:rsidRPr="00437AC6">
        <w:t>Autorisation d</w:t>
      </w:r>
      <w:r w:rsidR="00E7703F">
        <w:t>’</w:t>
      </w:r>
      <w:r w:rsidRPr="00437AC6">
        <w:t xml:space="preserve">élaborer un amendement au RTM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437AC6">
        <w:t>9 (Sécurité des piétons)</w:t>
      </w:r>
    </w:p>
    <w:p w:rsidR="00437AC6" w:rsidRDefault="00437AC6" w:rsidP="00437AC6">
      <w:pPr>
        <w:pStyle w:val="H1G"/>
        <w:rPr>
          <w:b w:val="0"/>
          <w:sz w:val="20"/>
        </w:rPr>
      </w:pPr>
      <w:r w:rsidRPr="00437AC6">
        <w:tab/>
      </w:r>
      <w:r w:rsidRPr="00437AC6">
        <w:tab/>
        <w:t>Communication du représe</w:t>
      </w:r>
      <w:r>
        <w:t>ntant de la République de Corée</w:t>
      </w:r>
      <w:r w:rsidRPr="00437AC6">
        <w:rPr>
          <w:b w:val="0"/>
          <w:sz w:val="20"/>
        </w:rPr>
        <w:footnoteReference w:customMarkFollows="1" w:id="2"/>
        <w:t>*</w:t>
      </w:r>
    </w:p>
    <w:p w:rsidR="0052026C" w:rsidRPr="0052026C" w:rsidRDefault="0052026C" w:rsidP="0052026C">
      <w:pPr>
        <w:pStyle w:val="SingleTxtG"/>
        <w:ind w:firstLine="567"/>
        <w:rPr>
          <w:b/>
        </w:rPr>
      </w:pPr>
      <w:r w:rsidRPr="0052026C">
        <w:t xml:space="preserve">Le texte ci-après, soumis par le représentant de la République de Corée, vise à adapter le Règlement technique mondial (RTM)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52026C">
        <w:t>9 à l</w:t>
      </w:r>
      <w:r w:rsidR="00E7703F">
        <w:t>’</w:t>
      </w:r>
      <w:r w:rsidRPr="0052026C">
        <w:t>évolution technique, notamment à établir une procédure d</w:t>
      </w:r>
      <w:r w:rsidR="00E7703F">
        <w:t>’</w:t>
      </w:r>
      <w:r w:rsidRPr="0052026C">
        <w:t>essai pour les systèmes de capot actif servant à assurer aux piétons et aux autres usagers de la route vulnérables une protection adéquate en cas d</w:t>
      </w:r>
      <w:r w:rsidR="00E7703F">
        <w:t>’</w:t>
      </w:r>
      <w:r w:rsidRPr="0052026C">
        <w:t>accident (ECE/TRANS/WP.29/AC.3/45)</w:t>
      </w:r>
      <w:r w:rsidRPr="0052026C">
        <w:rPr>
          <w:rFonts w:hint="eastAsia"/>
        </w:rPr>
        <w:t xml:space="preserve">. </w:t>
      </w:r>
      <w:r w:rsidRPr="0052026C">
        <w:t>Il a été adopté par le Comité exécutif de l</w:t>
      </w:r>
      <w:r w:rsidR="00E7703F">
        <w:t>’</w:t>
      </w:r>
      <w:r w:rsidRPr="0052026C">
        <w:t>Accord de 1998 (AC.3) à sa session de novembre 2016 et est fondé sur le document ECE/TRANS/WP.29/</w:t>
      </w:r>
      <w:r>
        <w:br/>
      </w:r>
      <w:r w:rsidRPr="0052026C">
        <w:t>2016/115 (ECE/TRANS/WP.29/1126, par.</w:t>
      </w:r>
      <w:r>
        <w:t> </w:t>
      </w:r>
      <w:r w:rsidRPr="0052026C">
        <w:t>133). La présente autorisation est communiquée au Groupe de travail de la sécurité passive (GRSP). Conformément a</w:t>
      </w:r>
      <w:r>
        <w:t>ux dispositions des paragraphes </w:t>
      </w:r>
      <w:r w:rsidRPr="0052026C">
        <w:t>6.3.4.2, 6.3.7 et 6.4 de l</w:t>
      </w:r>
      <w:r w:rsidR="00E7703F">
        <w:t>’</w:t>
      </w:r>
      <w:r w:rsidRPr="0052026C">
        <w:t>Accord de 1998, le présent document, une fois adopté, sera joint en appendice au Règlement technique mondial modifié.</w:t>
      </w:r>
    </w:p>
    <w:p w:rsidR="0052026C" w:rsidRPr="0052026C" w:rsidRDefault="0052026C" w:rsidP="009D1328">
      <w:pPr>
        <w:pStyle w:val="HChG"/>
      </w:pPr>
      <w:r w:rsidRPr="0052026C">
        <w:br w:type="page"/>
      </w:r>
      <w:r w:rsidRPr="0052026C">
        <w:lastRenderedPageBreak/>
        <w:tab/>
      </w:r>
      <w:r w:rsidRPr="0052026C">
        <w:tab/>
        <w:t>Demande d</w:t>
      </w:r>
      <w:r w:rsidR="00E7703F">
        <w:t>’</w:t>
      </w:r>
      <w:r w:rsidRPr="0052026C">
        <w:t>autorisation d</w:t>
      </w:r>
      <w:r w:rsidR="00E7703F">
        <w:t>’</w:t>
      </w:r>
      <w:r w:rsidRPr="0052026C">
        <w:t xml:space="preserve">élaborer un amendement </w:t>
      </w:r>
      <w:r w:rsidR="009D1328">
        <w:br/>
      </w:r>
      <w:r w:rsidRPr="0052026C">
        <w:t xml:space="preserve">au RTM </w:t>
      </w:r>
      <w:r w:rsidR="009D1328" w:rsidRPr="002D76F4">
        <w:rPr>
          <w:rFonts w:eastAsia="MS Mincho"/>
          <w:szCs w:val="22"/>
        </w:rPr>
        <w:t>n</w:t>
      </w:r>
      <w:r w:rsidR="009D1328" w:rsidRPr="002D76F4">
        <w:rPr>
          <w:rFonts w:eastAsia="MS Mincho"/>
          <w:szCs w:val="22"/>
          <w:vertAlign w:val="superscript"/>
        </w:rPr>
        <w:t>o</w:t>
      </w:r>
      <w:r w:rsidR="009D1328">
        <w:t> </w:t>
      </w:r>
      <w:r w:rsidRPr="0052026C">
        <w:t>9 (Sécurité des piétons)</w:t>
      </w:r>
    </w:p>
    <w:p w:rsidR="0052026C" w:rsidRPr="0052026C" w:rsidRDefault="0052026C" w:rsidP="009D1328">
      <w:pPr>
        <w:pStyle w:val="H1G"/>
      </w:pPr>
      <w:r w:rsidRPr="0052026C">
        <w:tab/>
        <w:t>A.</w:t>
      </w:r>
      <w:r w:rsidRPr="0052026C">
        <w:tab/>
        <w:t>Objectif</w:t>
      </w:r>
    </w:p>
    <w:p w:rsidR="0052026C" w:rsidRPr="0052026C" w:rsidRDefault="0052026C" w:rsidP="0052026C">
      <w:pPr>
        <w:pStyle w:val="SingleTxtG"/>
      </w:pPr>
      <w:r w:rsidRPr="0052026C">
        <w:t>1.</w:t>
      </w:r>
      <w:r w:rsidRPr="0052026C">
        <w:tab/>
        <w:t>La présente proposition a pour but d</w:t>
      </w:r>
      <w:r w:rsidR="00E7703F">
        <w:t>’</w:t>
      </w:r>
      <w:r w:rsidRPr="0052026C">
        <w:t>élaborer, dans le cadre de l</w:t>
      </w:r>
      <w:r w:rsidR="00E7703F">
        <w:t>’</w:t>
      </w:r>
      <w:r w:rsidRPr="0052026C">
        <w:t xml:space="preserve">Accord de 1998, un amendement au Règlement technique mondial (RTM) </w:t>
      </w:r>
      <w:r w:rsidR="009D1328" w:rsidRPr="002D76F4">
        <w:rPr>
          <w:rFonts w:eastAsia="MS Mincho"/>
          <w:szCs w:val="22"/>
        </w:rPr>
        <w:t>n</w:t>
      </w:r>
      <w:r w:rsidR="009D1328" w:rsidRPr="002D76F4">
        <w:rPr>
          <w:rFonts w:eastAsia="MS Mincho"/>
          <w:szCs w:val="22"/>
          <w:vertAlign w:val="superscript"/>
        </w:rPr>
        <w:t>o</w:t>
      </w:r>
      <w:r w:rsidR="009D1328">
        <w:t> </w:t>
      </w:r>
      <w:r w:rsidRPr="0052026C">
        <w:t>9 sur la sécurité des piétons afin d</w:t>
      </w:r>
      <w:r w:rsidR="00E7703F">
        <w:t>’</w:t>
      </w:r>
      <w:r w:rsidRPr="0052026C">
        <w:t>adapter celui-ci à l</w:t>
      </w:r>
      <w:r w:rsidR="00E7703F">
        <w:t>’</w:t>
      </w:r>
      <w:r w:rsidRPr="0052026C">
        <w:t>évolution technique en établissant une procédure d</w:t>
      </w:r>
      <w:r w:rsidR="00E7703F">
        <w:t>’</w:t>
      </w:r>
      <w:r w:rsidRPr="0052026C">
        <w:t>essai pour les systèmes de capot actif servant à assurer aux piétons et aux autres usagers vulnérables de la route une protection adéquate en cas d</w:t>
      </w:r>
      <w:r w:rsidR="00E7703F">
        <w:t>’</w:t>
      </w:r>
      <w:r w:rsidRPr="0052026C">
        <w:t>accident</w:t>
      </w:r>
      <w:r w:rsidR="009D1328">
        <w:rPr>
          <w:rFonts w:hint="eastAsia"/>
        </w:rPr>
        <w:t>.</w:t>
      </w:r>
    </w:p>
    <w:p w:rsidR="0052026C" w:rsidRPr="0052026C" w:rsidRDefault="0052026C" w:rsidP="009D1328">
      <w:pPr>
        <w:pStyle w:val="H1G"/>
        <w:rPr>
          <w:lang w:val="fr-FR"/>
        </w:rPr>
      </w:pPr>
      <w:r w:rsidRPr="0052026C">
        <w:tab/>
      </w:r>
      <w:r w:rsidRPr="0052026C">
        <w:rPr>
          <w:lang w:val="fr-FR"/>
        </w:rPr>
        <w:t>B.</w:t>
      </w:r>
      <w:r w:rsidRPr="0052026C">
        <w:rPr>
          <w:lang w:val="fr-FR"/>
        </w:rPr>
        <w:tab/>
        <w:t>Historique</w:t>
      </w:r>
    </w:p>
    <w:p w:rsidR="0052026C" w:rsidRPr="0052026C" w:rsidRDefault="0052026C" w:rsidP="0052026C">
      <w:pPr>
        <w:pStyle w:val="SingleTxtG"/>
      </w:pPr>
      <w:r w:rsidRPr="0052026C">
        <w:rPr>
          <w:rFonts w:hint="eastAsia"/>
        </w:rPr>
        <w:t>2</w:t>
      </w:r>
      <w:r w:rsidRPr="0052026C">
        <w:t>.</w:t>
      </w:r>
      <w:r w:rsidRPr="0052026C">
        <w:tab/>
      </w:r>
      <w:r w:rsidRPr="0052026C">
        <w:rPr>
          <w:bCs/>
        </w:rPr>
        <w:t xml:space="preserve">Le RTM </w:t>
      </w:r>
      <w:r w:rsidR="009D1328" w:rsidRPr="002D76F4">
        <w:rPr>
          <w:rFonts w:eastAsia="MS Mincho"/>
          <w:szCs w:val="22"/>
        </w:rPr>
        <w:t>n</w:t>
      </w:r>
      <w:r w:rsidR="009D1328" w:rsidRPr="002D76F4">
        <w:rPr>
          <w:rFonts w:eastAsia="MS Mincho"/>
          <w:szCs w:val="22"/>
          <w:vertAlign w:val="superscript"/>
        </w:rPr>
        <w:t>o</w:t>
      </w:r>
      <w:r w:rsidR="009D1328">
        <w:t> </w:t>
      </w:r>
      <w:r w:rsidRPr="0052026C">
        <w:rPr>
          <w:bCs/>
        </w:rPr>
        <w:t>9 sur la sécurité des piétons a été inscrit au Registre mondial le 12</w:t>
      </w:r>
      <w:r w:rsidR="009D1328">
        <w:rPr>
          <w:bCs/>
        </w:rPr>
        <w:t> </w:t>
      </w:r>
      <w:r w:rsidRPr="0052026C">
        <w:rPr>
          <w:bCs/>
        </w:rPr>
        <w:t>novembre 2008</w:t>
      </w:r>
      <w:r w:rsidRPr="0052026C">
        <w:rPr>
          <w:rFonts w:hint="eastAsia"/>
        </w:rPr>
        <w:t>.</w:t>
      </w:r>
    </w:p>
    <w:p w:rsidR="0052026C" w:rsidRPr="0052026C" w:rsidRDefault="0052026C" w:rsidP="0052026C">
      <w:pPr>
        <w:pStyle w:val="SingleTxtG"/>
      </w:pPr>
      <w:r w:rsidRPr="0052026C">
        <w:t>3.</w:t>
      </w:r>
      <w:r w:rsidRPr="0052026C">
        <w:tab/>
      </w:r>
      <w:r w:rsidRPr="00701BC5">
        <w:rPr>
          <w:spacing w:val="-4"/>
        </w:rPr>
        <w:t>L</w:t>
      </w:r>
      <w:r w:rsidR="00E7703F">
        <w:rPr>
          <w:spacing w:val="-4"/>
        </w:rPr>
        <w:t>’</w:t>
      </w:r>
      <w:r w:rsidRPr="00701BC5">
        <w:rPr>
          <w:spacing w:val="-4"/>
        </w:rPr>
        <w:t>amendement</w:t>
      </w:r>
      <w:r w:rsidR="009D1328" w:rsidRPr="00701BC5">
        <w:rPr>
          <w:spacing w:val="-4"/>
        </w:rPr>
        <w:t> </w:t>
      </w:r>
      <w:r w:rsidRPr="00701BC5">
        <w:rPr>
          <w:spacing w:val="-4"/>
        </w:rPr>
        <w:t xml:space="preserve">1 au RTM </w:t>
      </w:r>
      <w:r w:rsidR="009D1328" w:rsidRPr="00701BC5">
        <w:rPr>
          <w:rFonts w:eastAsia="MS Mincho"/>
          <w:spacing w:val="-4"/>
          <w:szCs w:val="22"/>
        </w:rPr>
        <w:t>n</w:t>
      </w:r>
      <w:r w:rsidR="009D1328" w:rsidRPr="00701BC5">
        <w:rPr>
          <w:rFonts w:eastAsia="MS Mincho"/>
          <w:spacing w:val="-4"/>
          <w:szCs w:val="22"/>
          <w:vertAlign w:val="superscript"/>
        </w:rPr>
        <w:t>o</w:t>
      </w:r>
      <w:r w:rsidR="009D1328" w:rsidRPr="00701BC5">
        <w:rPr>
          <w:spacing w:val="-4"/>
        </w:rPr>
        <w:t> </w:t>
      </w:r>
      <w:r w:rsidRPr="00701BC5">
        <w:rPr>
          <w:spacing w:val="-4"/>
        </w:rPr>
        <w:t>9, selon lequel les véhicules automobiles des catégories 1</w:t>
      </w:r>
      <w:r w:rsidR="00701BC5" w:rsidRPr="00701BC5">
        <w:rPr>
          <w:spacing w:val="-4"/>
        </w:rPr>
        <w:noBreakHyphen/>
      </w:r>
      <w:r w:rsidRPr="00701BC5">
        <w:rPr>
          <w:spacing w:val="-4"/>
        </w:rPr>
        <w:t>2</w:t>
      </w:r>
      <w:r w:rsidRPr="0052026C">
        <w:t xml:space="preserve"> et 2, pour lesquels la distance entre l</w:t>
      </w:r>
      <w:r w:rsidR="00E7703F">
        <w:t>’</w:t>
      </w:r>
      <w:r w:rsidRPr="0052026C">
        <w:t>axe transversal de l</w:t>
      </w:r>
      <w:r w:rsidR="00E7703F">
        <w:t>’</w:t>
      </w:r>
      <w:r w:rsidRPr="0052026C">
        <w:t>essieu avant et le point</w:t>
      </w:r>
      <w:r w:rsidR="00701BC5">
        <w:t> </w:t>
      </w:r>
      <w:r w:rsidRPr="0052026C">
        <w:t>R du siège du conducteur est inférieure à 1</w:t>
      </w:r>
      <w:r w:rsidR="00701BC5">
        <w:t> </w:t>
      </w:r>
      <w:r w:rsidRPr="0052026C">
        <w:t>100</w:t>
      </w:r>
      <w:r w:rsidR="00701BC5">
        <w:t> </w:t>
      </w:r>
      <w:r w:rsidRPr="0052026C">
        <w:t>mm, sont exclus du domaine d</w:t>
      </w:r>
      <w:r w:rsidR="00E7703F">
        <w:t>’</w:t>
      </w:r>
      <w:r w:rsidRPr="0052026C">
        <w:t>application du Règlement, a été inscrit au Registre mondial le 10</w:t>
      </w:r>
      <w:r w:rsidR="00701BC5">
        <w:t> </w:t>
      </w:r>
      <w:r w:rsidRPr="0052026C">
        <w:t>novembre 2010.</w:t>
      </w:r>
    </w:p>
    <w:p w:rsidR="0052026C" w:rsidRPr="0052026C" w:rsidRDefault="0052026C" w:rsidP="0052026C">
      <w:pPr>
        <w:pStyle w:val="SingleTxtG"/>
      </w:pPr>
      <w:r w:rsidRPr="0052026C">
        <w:t>4.</w:t>
      </w:r>
      <w:r w:rsidRPr="0052026C">
        <w:tab/>
        <w:t>L</w:t>
      </w:r>
      <w:r w:rsidR="00E7703F">
        <w:t>’</w:t>
      </w:r>
      <w:r w:rsidRPr="0052026C">
        <w:t>amendement [2] à la phase</w:t>
      </w:r>
      <w:r w:rsidR="00701BC5">
        <w:t> </w:t>
      </w:r>
      <w:r w:rsidRPr="0052026C">
        <w:t xml:space="preserve">2 du RTM </w:t>
      </w:r>
      <w:r w:rsidR="00701BC5" w:rsidRPr="002D76F4">
        <w:rPr>
          <w:rFonts w:eastAsia="MS Mincho"/>
          <w:szCs w:val="22"/>
        </w:rPr>
        <w:t>n</w:t>
      </w:r>
      <w:r w:rsidR="00701BC5" w:rsidRPr="002D76F4">
        <w:rPr>
          <w:rFonts w:eastAsia="MS Mincho"/>
          <w:szCs w:val="22"/>
          <w:vertAlign w:val="superscript"/>
        </w:rPr>
        <w:t>o</w:t>
      </w:r>
      <w:r w:rsidR="00701BC5">
        <w:t> </w:t>
      </w:r>
      <w:r w:rsidRPr="0052026C">
        <w:t>9, qui prévoit l</w:t>
      </w:r>
      <w:r w:rsidR="00E7703F">
        <w:t>’</w:t>
      </w:r>
      <w:r w:rsidRPr="0052026C">
        <w:t>emploi de la jambe d</w:t>
      </w:r>
      <w:r w:rsidR="00E7703F">
        <w:t>’</w:t>
      </w:r>
      <w:r w:rsidRPr="0052026C">
        <w:t>essai souple (FlexPLI) et une nouvelle zone d</w:t>
      </w:r>
      <w:r w:rsidR="00E7703F">
        <w:t>’</w:t>
      </w:r>
      <w:r w:rsidRPr="0052026C">
        <w:t>essai contre le pare-chocs, est en cours d</w:t>
      </w:r>
      <w:r w:rsidR="00E7703F">
        <w:t>’</w:t>
      </w:r>
      <w:r w:rsidRPr="0052026C">
        <w:t>élaboration depuis décembre 2011.</w:t>
      </w:r>
    </w:p>
    <w:p w:rsidR="0052026C" w:rsidRPr="0052026C" w:rsidRDefault="0052026C" w:rsidP="0052026C">
      <w:pPr>
        <w:pStyle w:val="SingleTxtG"/>
      </w:pPr>
      <w:r w:rsidRPr="0052026C">
        <w:t>5.</w:t>
      </w:r>
      <w:r w:rsidRPr="0052026C">
        <w:tab/>
        <w:t>L</w:t>
      </w:r>
      <w:r w:rsidR="00E7703F">
        <w:t>’</w:t>
      </w:r>
      <w:r w:rsidRPr="0052026C">
        <w:t xml:space="preserve">amendement [3] au RTM </w:t>
      </w:r>
      <w:r w:rsidR="00701BC5" w:rsidRPr="002D76F4">
        <w:rPr>
          <w:rFonts w:eastAsia="MS Mincho"/>
          <w:szCs w:val="22"/>
        </w:rPr>
        <w:t>n</w:t>
      </w:r>
      <w:r w:rsidR="00701BC5" w:rsidRPr="002D76F4">
        <w:rPr>
          <w:rFonts w:eastAsia="MS Mincho"/>
          <w:szCs w:val="22"/>
          <w:vertAlign w:val="superscript"/>
        </w:rPr>
        <w:t>o</w:t>
      </w:r>
      <w:r w:rsidR="00701BC5">
        <w:t> </w:t>
      </w:r>
      <w:r w:rsidRPr="0052026C">
        <w:t>9, qui comprend une proposition concernant les points de contact de l</w:t>
      </w:r>
      <w:r w:rsidR="00E7703F">
        <w:t>’</w:t>
      </w:r>
      <w:r w:rsidRPr="0052026C">
        <w:t>élément de frappe tête, est en cours d</w:t>
      </w:r>
      <w:r w:rsidR="00E7703F">
        <w:t>’</w:t>
      </w:r>
      <w:r w:rsidRPr="0052026C">
        <w:t>élaboration depuis mai 2012.</w:t>
      </w:r>
    </w:p>
    <w:p w:rsidR="0052026C" w:rsidRPr="0052026C" w:rsidRDefault="0052026C" w:rsidP="0052026C">
      <w:pPr>
        <w:pStyle w:val="SingleTxtG"/>
      </w:pPr>
      <w:r w:rsidRPr="0052026C">
        <w:t>6.</w:t>
      </w:r>
      <w:r w:rsidRPr="0052026C">
        <w:tab/>
        <w:t>À la cinquante-sixième session du Groupe de travail de la sécurité passive (GRSP), l</w:t>
      </w:r>
      <w:r w:rsidR="00E7703F">
        <w:t>’</w:t>
      </w:r>
      <w:r w:rsidRPr="0052026C">
        <w:t>expert de la République de Corée a présenté le document GRSP-56-21 pour information seulement et a dit qu</w:t>
      </w:r>
      <w:r w:rsidR="00E7703F">
        <w:t>’</w:t>
      </w:r>
      <w:r w:rsidRPr="0052026C">
        <w:t>il fallait préciser la procédure d</w:t>
      </w:r>
      <w:r w:rsidR="00E7703F">
        <w:t>’</w:t>
      </w:r>
      <w:r w:rsidRPr="0052026C">
        <w:t>essai des dispositifs de capot actif et expliqué qu</w:t>
      </w:r>
      <w:r w:rsidR="00E7703F">
        <w:t>’</w:t>
      </w:r>
      <w:r w:rsidRPr="0052026C">
        <w:t>environ 2</w:t>
      </w:r>
      <w:r w:rsidR="00701BC5">
        <w:t> </w:t>
      </w:r>
      <w:r w:rsidRPr="0052026C">
        <w:t>000</w:t>
      </w:r>
      <w:r w:rsidR="00701BC5">
        <w:t> </w:t>
      </w:r>
      <w:r w:rsidRPr="0052026C">
        <w:t>piétons étai</w:t>
      </w:r>
      <w:r w:rsidR="00701BC5">
        <w:t>ent tués chaque année en Corée.</w:t>
      </w:r>
    </w:p>
    <w:p w:rsidR="0052026C" w:rsidRPr="0052026C" w:rsidRDefault="0052026C" w:rsidP="0052026C">
      <w:pPr>
        <w:pStyle w:val="SingleTxtG"/>
      </w:pPr>
      <w:r w:rsidRPr="0052026C">
        <w:t>7.</w:t>
      </w:r>
      <w:r w:rsidRPr="0052026C">
        <w:tab/>
        <w:t>À la cinquante-septième session du GRSP, l</w:t>
      </w:r>
      <w:r w:rsidR="00E7703F">
        <w:t>’</w:t>
      </w:r>
      <w:r w:rsidRPr="0052026C">
        <w:t>expert de la République de Corée est revenu sur la question de l</w:t>
      </w:r>
      <w:r w:rsidR="00E7703F">
        <w:t>’</w:t>
      </w:r>
      <w:r w:rsidRPr="0052026C">
        <w:t>absence de dispositions concernant la procédure d</w:t>
      </w:r>
      <w:r w:rsidR="00E7703F">
        <w:t>’</w:t>
      </w:r>
      <w:r w:rsidRPr="0052026C">
        <w:t>essai des systèmes de capot actif visant à rendre les véhicules moins dangereux pour les piétons. L</w:t>
      </w:r>
      <w:r w:rsidR="00E7703F">
        <w:t>’</w:t>
      </w:r>
      <w:r w:rsidRPr="0052026C">
        <w:t>expert de l</w:t>
      </w:r>
      <w:r w:rsidR="00E7703F">
        <w:t>’</w:t>
      </w:r>
      <w:r w:rsidRPr="0052026C">
        <w:t>Organisation internationale des constructeurs d</w:t>
      </w:r>
      <w:r w:rsidR="00E7703F">
        <w:t>’</w:t>
      </w:r>
      <w:r w:rsidRPr="0052026C">
        <w:t>automobiles (OICA) a informé le GRSP que des recommandations et des lignes directrices s</w:t>
      </w:r>
      <w:r w:rsidR="00E7703F">
        <w:t>’</w:t>
      </w:r>
      <w:r w:rsidRPr="0052026C">
        <w:t>adressant aux services techniques pour les essais des capots actifs figuraient dans un document (INF</w:t>
      </w:r>
      <w:r w:rsidR="007566DA">
        <w:t> GR/PS/141 </w:t>
      </w:r>
      <w:r w:rsidRPr="0052026C">
        <w:t>Rev.1) de l</w:t>
      </w:r>
      <w:r w:rsidR="00E7703F">
        <w:t>’</w:t>
      </w:r>
      <w:r w:rsidRPr="0052026C">
        <w:t>ancien groupe de travail informel, disponible à l</w:t>
      </w:r>
      <w:r w:rsidR="00E7703F">
        <w:t>’</w:t>
      </w:r>
      <w:r w:rsidRPr="0052026C">
        <w:t>adresse suivante : www.unece.org/trans/main/wp29/wp29wgs/wp29grsp/pedestrian_8.html.</w:t>
      </w:r>
    </w:p>
    <w:p w:rsidR="0052026C" w:rsidRPr="0052026C" w:rsidRDefault="0052026C" w:rsidP="0052026C">
      <w:pPr>
        <w:pStyle w:val="SingleTxtG"/>
      </w:pPr>
      <w:r w:rsidRPr="0052026C">
        <w:t>8.</w:t>
      </w:r>
      <w:r w:rsidRPr="0052026C">
        <w:tab/>
        <w:t>À la cinquante-huitième session du GRSP, les experts de la République de Corée et de l</w:t>
      </w:r>
      <w:r w:rsidR="00E7703F">
        <w:t>’</w:t>
      </w:r>
      <w:r w:rsidRPr="0052026C">
        <w:t>OICA ont présenté une proposition d</w:t>
      </w:r>
      <w:r w:rsidR="00E7703F">
        <w:t>’</w:t>
      </w:r>
      <w:r w:rsidRPr="0052026C">
        <w:t>amendement au RTM (GRSP-58-31), comprenant des dispositions relatives aux systèmes de capot actif visant à protéger les piétons. L</w:t>
      </w:r>
      <w:r w:rsidR="00E7703F">
        <w:t>’</w:t>
      </w:r>
      <w:r w:rsidRPr="0052026C">
        <w:t>expert de l</w:t>
      </w:r>
      <w:r w:rsidR="00E7703F">
        <w:t>’</w:t>
      </w:r>
      <w:r w:rsidRPr="0052026C">
        <w:t>OICA a précisé que la proposition visait à utiliser une procédure bien établie qui avait été présentée il y a plusieurs années et qui avait été soumise aux Par</w:t>
      </w:r>
      <w:r w:rsidR="00701BC5">
        <w:t>ties contractantes pour examen.</w:t>
      </w:r>
    </w:p>
    <w:p w:rsidR="0052026C" w:rsidRPr="0052026C" w:rsidRDefault="0052026C" w:rsidP="0052026C">
      <w:pPr>
        <w:pStyle w:val="SingleTxtG"/>
      </w:pPr>
      <w:r w:rsidRPr="0052026C">
        <w:t>9.</w:t>
      </w:r>
      <w:r w:rsidRPr="0052026C">
        <w:tab/>
        <w:t>À la 168</w:t>
      </w:r>
      <w:r w:rsidR="001B66A5" w:rsidRPr="001B66A5">
        <w:rPr>
          <w:vertAlign w:val="superscript"/>
        </w:rPr>
        <w:t>e</w:t>
      </w:r>
      <w:r w:rsidR="001B66A5">
        <w:t> </w:t>
      </w:r>
      <w:r w:rsidRPr="0052026C">
        <w:t>session du WP.29, le représentant de l</w:t>
      </w:r>
      <w:r w:rsidR="00E7703F">
        <w:t>’</w:t>
      </w:r>
      <w:r w:rsidRPr="0052026C">
        <w:t>OICA a informé l</w:t>
      </w:r>
      <w:r w:rsidR="00E7703F">
        <w:t>’</w:t>
      </w:r>
      <w:r w:rsidRPr="0052026C">
        <w:t>AC.3 que les experts de la République de Corée et de l</w:t>
      </w:r>
      <w:r w:rsidR="00E7703F">
        <w:t>’</w:t>
      </w:r>
      <w:r w:rsidRPr="0052026C">
        <w:t>OICA avaient présenté, à la session de décembre 2015 du GRSP, une proposition d</w:t>
      </w:r>
      <w:r w:rsidR="00E7703F">
        <w:t>’</w:t>
      </w:r>
      <w:r w:rsidRPr="0052026C">
        <w:t xml:space="preserve">amendement au RTM </w:t>
      </w:r>
      <w:r w:rsidR="00E973ED" w:rsidRPr="002D76F4">
        <w:rPr>
          <w:rFonts w:eastAsia="MS Mincho"/>
          <w:szCs w:val="22"/>
        </w:rPr>
        <w:t>n</w:t>
      </w:r>
      <w:r w:rsidR="00E973ED" w:rsidRPr="002D76F4">
        <w:rPr>
          <w:rFonts w:eastAsia="MS Mincho"/>
          <w:szCs w:val="22"/>
          <w:vertAlign w:val="superscript"/>
        </w:rPr>
        <w:t>o</w:t>
      </w:r>
      <w:r w:rsidR="00E973ED">
        <w:t> </w:t>
      </w:r>
      <w:r w:rsidRPr="0052026C">
        <w:t>9 destinée à y introduire des dispositions relatives aux systèmes de capot actif. L</w:t>
      </w:r>
      <w:r w:rsidR="00E7703F">
        <w:t>’</w:t>
      </w:r>
      <w:r w:rsidRPr="0052026C">
        <w:t>AC.3 a noté que pour pouvoir élaborer l</w:t>
      </w:r>
      <w:r w:rsidR="00E7703F">
        <w:t>’</w:t>
      </w:r>
      <w:r w:rsidRPr="0052026C">
        <w:t>amendement, le GRSP aurait besoin d</w:t>
      </w:r>
      <w:r w:rsidR="00E7703F">
        <w:t>’</w:t>
      </w:r>
      <w:r w:rsidRPr="0052026C">
        <w:t>une autorisation qui devrait être officiellement soumise par le pays responsable, en l</w:t>
      </w:r>
      <w:r w:rsidR="00E7703F">
        <w:t>’</w:t>
      </w:r>
      <w:r w:rsidRPr="0052026C">
        <w:t>occurrence la République de Corée, à sa session de juin 2016.</w:t>
      </w:r>
    </w:p>
    <w:p w:rsidR="0052026C" w:rsidRPr="0052026C" w:rsidRDefault="0052026C" w:rsidP="0052026C">
      <w:pPr>
        <w:pStyle w:val="SingleTxtG"/>
      </w:pPr>
      <w:r w:rsidRPr="0052026C">
        <w:t>10.</w:t>
      </w:r>
      <w:r w:rsidRPr="0052026C">
        <w:tab/>
        <w:t>À la cinquante-neuvième session du GRSP, les experts de la République de Corée ont proposé de soumettre une demande d</w:t>
      </w:r>
      <w:r w:rsidR="00E7703F">
        <w:t>’</w:t>
      </w:r>
      <w:r w:rsidRPr="0052026C">
        <w:t>autorisation d</w:t>
      </w:r>
      <w:r w:rsidR="00E7703F">
        <w:t>’</w:t>
      </w:r>
      <w:r w:rsidRPr="0052026C">
        <w:t>élaborer un amendement au RTM</w:t>
      </w:r>
      <w:r w:rsidR="007F6086">
        <w:t> </w:t>
      </w:r>
      <w:r w:rsidR="007F6086" w:rsidRPr="002D76F4">
        <w:rPr>
          <w:rFonts w:eastAsia="MS Mincho"/>
          <w:szCs w:val="22"/>
        </w:rPr>
        <w:t>n</w:t>
      </w:r>
      <w:r w:rsidR="007F6086" w:rsidRPr="002D76F4">
        <w:rPr>
          <w:rFonts w:eastAsia="MS Mincho"/>
          <w:szCs w:val="22"/>
          <w:vertAlign w:val="superscript"/>
        </w:rPr>
        <w:t>o</w:t>
      </w:r>
      <w:r w:rsidR="007F6086">
        <w:t> </w:t>
      </w:r>
      <w:r w:rsidRPr="0052026C">
        <w:t>9 concernant la procédure d</w:t>
      </w:r>
      <w:r w:rsidR="00E7703F">
        <w:t>’</w:t>
      </w:r>
      <w:r w:rsidRPr="0052026C">
        <w:t>essai des systèmes de capot actif à la 169</w:t>
      </w:r>
      <w:r w:rsidR="00E973ED" w:rsidRPr="00E973ED">
        <w:rPr>
          <w:vertAlign w:val="superscript"/>
        </w:rPr>
        <w:t>e</w:t>
      </w:r>
      <w:r w:rsidR="00E973ED">
        <w:t> </w:t>
      </w:r>
      <w:r w:rsidRPr="0052026C">
        <w:t xml:space="preserve">session du </w:t>
      </w:r>
      <w:r w:rsidRPr="0052026C">
        <w:lastRenderedPageBreak/>
        <w:t>WP.29 et d</w:t>
      </w:r>
      <w:r w:rsidR="00E7703F">
        <w:t>’</w:t>
      </w:r>
      <w:r w:rsidRPr="0052026C">
        <w:t xml:space="preserve">élaborer parallèlement un amendement correspondant au Règlement </w:t>
      </w:r>
      <w:r w:rsidR="007F6086" w:rsidRPr="002D76F4">
        <w:rPr>
          <w:rFonts w:eastAsia="MS Mincho"/>
          <w:szCs w:val="22"/>
        </w:rPr>
        <w:t>n</w:t>
      </w:r>
      <w:r w:rsidR="007F6086" w:rsidRPr="002D76F4">
        <w:rPr>
          <w:rFonts w:eastAsia="MS Mincho"/>
          <w:szCs w:val="22"/>
          <w:vertAlign w:val="superscript"/>
        </w:rPr>
        <w:t>o</w:t>
      </w:r>
      <w:r w:rsidR="007F6086">
        <w:t> </w:t>
      </w:r>
      <w:r w:rsidRPr="0052026C">
        <w:t>127 (Sécurité des piétons).</w:t>
      </w:r>
    </w:p>
    <w:p w:rsidR="0052026C" w:rsidRPr="0052026C" w:rsidRDefault="0052026C" w:rsidP="0052026C">
      <w:pPr>
        <w:pStyle w:val="SingleTxtG"/>
      </w:pPr>
      <w:r w:rsidRPr="0052026C">
        <w:t>11.</w:t>
      </w:r>
      <w:r w:rsidRPr="0052026C">
        <w:tab/>
        <w:t>À sa soixante-deuxième session, le GRSP a décidé de transformer l</w:t>
      </w:r>
      <w:r w:rsidR="00E7703F">
        <w:t>’</w:t>
      </w:r>
      <w:r w:rsidRPr="0052026C">
        <w:t>équipe spéciale constituée pour élaborer des amendements en groupe de travail informel pour favoriser la participation des experts des parties contractantes à l</w:t>
      </w:r>
      <w:r w:rsidR="00E7703F">
        <w:t>’</w:t>
      </w:r>
      <w:r w:rsidRPr="0052026C">
        <w:t>Accord de 1998 et progresser plus rapidement.</w:t>
      </w:r>
    </w:p>
    <w:p w:rsidR="0052026C" w:rsidRPr="0052026C" w:rsidRDefault="0052026C" w:rsidP="007F6086">
      <w:pPr>
        <w:pStyle w:val="H1G"/>
      </w:pPr>
      <w:r w:rsidRPr="0052026C">
        <w:tab/>
        <w:t>C.</w:t>
      </w:r>
      <w:r w:rsidRPr="0052026C">
        <w:tab/>
        <w:t>Objet de l</w:t>
      </w:r>
      <w:r w:rsidR="00E7703F">
        <w:t>’</w:t>
      </w:r>
      <w:r w:rsidRPr="0052026C">
        <w:t>amendement</w:t>
      </w:r>
    </w:p>
    <w:p w:rsidR="0052026C" w:rsidRPr="0052026C" w:rsidRDefault="0052026C" w:rsidP="0052026C">
      <w:pPr>
        <w:pStyle w:val="SingleTxtG"/>
      </w:pPr>
      <w:r w:rsidRPr="0052026C">
        <w:rPr>
          <w:rFonts w:hint="eastAsia"/>
        </w:rPr>
        <w:t>1</w:t>
      </w:r>
      <w:r w:rsidRPr="0052026C">
        <w:t>2.</w:t>
      </w:r>
      <w:r w:rsidRPr="0052026C">
        <w:tab/>
        <w:t>L</w:t>
      </w:r>
      <w:r w:rsidR="00E7703F">
        <w:t>’</w:t>
      </w:r>
      <w:r w:rsidRPr="0052026C">
        <w:t xml:space="preserve">amendement au RTM </w:t>
      </w:r>
      <w:r w:rsidR="007F6086" w:rsidRPr="002D76F4">
        <w:rPr>
          <w:rFonts w:eastAsia="MS Mincho"/>
          <w:szCs w:val="22"/>
        </w:rPr>
        <w:t>n</w:t>
      </w:r>
      <w:r w:rsidR="007F6086" w:rsidRPr="002D76F4">
        <w:rPr>
          <w:rFonts w:eastAsia="MS Mincho"/>
          <w:szCs w:val="22"/>
          <w:vertAlign w:val="superscript"/>
        </w:rPr>
        <w:t>o</w:t>
      </w:r>
      <w:r w:rsidR="007F6086">
        <w:t> </w:t>
      </w:r>
      <w:r w:rsidRPr="0052026C">
        <w:t>9 doit consister à</w:t>
      </w:r>
      <w:r w:rsidR="007F6086">
        <w:t> </w:t>
      </w:r>
      <w:r w:rsidRPr="0052026C">
        <w:t>:</w:t>
      </w:r>
    </w:p>
    <w:p w:rsidR="0052026C" w:rsidRPr="0052026C" w:rsidRDefault="0052026C" w:rsidP="007F6086">
      <w:pPr>
        <w:pStyle w:val="SingleTxtG"/>
        <w:ind w:firstLine="567"/>
      </w:pPr>
      <w:r w:rsidRPr="0052026C">
        <w:t>a)</w:t>
      </w:r>
      <w:r w:rsidRPr="0052026C">
        <w:tab/>
        <w:t>Modifier la partie A − Justifications techniques</w:t>
      </w:r>
      <w:r w:rsidR="007F6086">
        <w:t> </w:t>
      </w:r>
      <w:r w:rsidRPr="0052026C">
        <w:t>;</w:t>
      </w:r>
    </w:p>
    <w:p w:rsidR="0052026C" w:rsidRPr="0052026C" w:rsidRDefault="0052026C" w:rsidP="007F6086">
      <w:pPr>
        <w:pStyle w:val="SingleTxtG"/>
        <w:ind w:firstLine="567"/>
      </w:pPr>
      <w:r w:rsidRPr="0052026C">
        <w:t>b)</w:t>
      </w:r>
      <w:r w:rsidRPr="0052026C">
        <w:tab/>
      </w:r>
      <w:r w:rsidRPr="00911977">
        <w:rPr>
          <w:spacing w:val="-2"/>
        </w:rPr>
        <w:t>Modifier la Partie B − Texte du Règlement technique mondial, en particulier</w:t>
      </w:r>
      <w:r w:rsidR="007F6086" w:rsidRPr="00911977">
        <w:rPr>
          <w:spacing w:val="-2"/>
        </w:rPr>
        <w:t> </w:t>
      </w:r>
      <w:r w:rsidRPr="00911977">
        <w:rPr>
          <w:spacing w:val="-2"/>
        </w:rPr>
        <w:t>:</w:t>
      </w:r>
    </w:p>
    <w:p w:rsidR="0052026C" w:rsidRPr="0052026C" w:rsidRDefault="0052026C" w:rsidP="001B66A5">
      <w:pPr>
        <w:pStyle w:val="SingleTxtG"/>
        <w:ind w:left="2268"/>
      </w:pPr>
      <w:r w:rsidRPr="0052026C">
        <w:t>i)</w:t>
      </w:r>
      <w:r w:rsidRPr="0052026C">
        <w:tab/>
        <w:t>Modifier les paragraphes 3.1, 3.11 et 6.2.2</w:t>
      </w:r>
      <w:r w:rsidR="001B66A5">
        <w:t> </w:t>
      </w:r>
      <w:r w:rsidRPr="0052026C">
        <w:t>;</w:t>
      </w:r>
    </w:p>
    <w:p w:rsidR="0052026C" w:rsidRPr="0052026C" w:rsidRDefault="0052026C" w:rsidP="001B66A5">
      <w:pPr>
        <w:pStyle w:val="SingleTxtG"/>
        <w:ind w:left="2268"/>
      </w:pPr>
      <w:r w:rsidRPr="0052026C">
        <w:t>ii)</w:t>
      </w:r>
      <w:r w:rsidRPr="0052026C">
        <w:tab/>
        <w:t>Ajouter de nouveaux paragraphes</w:t>
      </w:r>
      <w:r w:rsidR="001B66A5">
        <w:t> </w:t>
      </w:r>
      <w:r w:rsidRPr="0052026C">
        <w:t>;</w:t>
      </w:r>
    </w:p>
    <w:p w:rsidR="0052026C" w:rsidRPr="0052026C" w:rsidRDefault="0052026C" w:rsidP="001B66A5">
      <w:pPr>
        <w:pStyle w:val="SingleTxtG"/>
        <w:ind w:left="2268"/>
      </w:pPr>
      <w:r w:rsidRPr="0052026C">
        <w:t>iii)</w:t>
      </w:r>
      <w:r w:rsidRPr="0052026C">
        <w:tab/>
      </w:r>
      <w:r w:rsidRPr="00911977">
        <w:t>Ajouter une nouvelle annexe</w:t>
      </w:r>
      <w:r w:rsidR="00911977" w:rsidRPr="00911977">
        <w:t> </w:t>
      </w:r>
      <w:r w:rsidRPr="00911977">
        <w:t>1 − Procédure d</w:t>
      </w:r>
      <w:r w:rsidR="00E7703F">
        <w:t>’</w:t>
      </w:r>
      <w:r w:rsidRPr="00911977">
        <w:t>essai des systèmes de capot actif</w:t>
      </w:r>
      <w:r w:rsidR="00911977" w:rsidRPr="00911977">
        <w:t> </w:t>
      </w:r>
      <w:r w:rsidRPr="00911977">
        <w:t>;</w:t>
      </w:r>
    </w:p>
    <w:p w:rsidR="0052026C" w:rsidRPr="0052026C" w:rsidRDefault="0052026C" w:rsidP="007F6086">
      <w:pPr>
        <w:pStyle w:val="SingleTxtG"/>
        <w:ind w:firstLine="567"/>
      </w:pPr>
      <w:r w:rsidRPr="0052026C">
        <w:t>c)</w:t>
      </w:r>
      <w:r w:rsidRPr="0052026C">
        <w:tab/>
        <w:t>Procéder aux améliorations et corrections voulues, selon que de besoin.</w:t>
      </w:r>
    </w:p>
    <w:p w:rsidR="0052026C" w:rsidRPr="0052026C" w:rsidRDefault="0052026C" w:rsidP="003E3548">
      <w:pPr>
        <w:pStyle w:val="SingleTxtG"/>
      </w:pPr>
      <w:r w:rsidRPr="0052026C">
        <w:rPr>
          <w:rFonts w:hint="eastAsia"/>
        </w:rPr>
        <w:t>1</w:t>
      </w:r>
      <w:r w:rsidRPr="0052026C">
        <w:t>3</w:t>
      </w:r>
      <w:r w:rsidRPr="0052026C">
        <w:rPr>
          <w:rFonts w:hint="eastAsia"/>
        </w:rPr>
        <w:t>.</w:t>
      </w:r>
      <w:r w:rsidRPr="0052026C">
        <w:rPr>
          <w:rFonts w:hint="eastAsia"/>
        </w:rPr>
        <w:tab/>
      </w:r>
      <w:r w:rsidRPr="0052026C">
        <w:t>La proposition d</w:t>
      </w:r>
      <w:r w:rsidR="00E7703F">
        <w:t>’</w:t>
      </w:r>
      <w:r w:rsidRPr="0052026C">
        <w:t xml:space="preserve">amendement correspondant au Règlement </w:t>
      </w:r>
      <w:r w:rsidR="007D3B90" w:rsidRPr="002D76F4">
        <w:rPr>
          <w:rFonts w:eastAsia="MS Mincho"/>
          <w:szCs w:val="22"/>
        </w:rPr>
        <w:t>n</w:t>
      </w:r>
      <w:r w:rsidR="007D3B90" w:rsidRPr="002D76F4">
        <w:rPr>
          <w:rFonts w:eastAsia="MS Mincho"/>
          <w:szCs w:val="22"/>
          <w:vertAlign w:val="superscript"/>
        </w:rPr>
        <w:t>o</w:t>
      </w:r>
      <w:r w:rsidR="007D3B90">
        <w:t> </w:t>
      </w:r>
      <w:r w:rsidRPr="0052026C">
        <w:t>127 (Sécurité des piétons) doit prévoir une procédure d</w:t>
      </w:r>
      <w:r w:rsidR="00E7703F">
        <w:t>’</w:t>
      </w:r>
      <w:r w:rsidRPr="0052026C">
        <w:t>essai pour les systèmes de capot actif.</w:t>
      </w:r>
    </w:p>
    <w:p w:rsidR="0052026C" w:rsidRPr="0052026C" w:rsidRDefault="0052026C" w:rsidP="007D3B90">
      <w:pPr>
        <w:pStyle w:val="H1G"/>
      </w:pPr>
      <w:r w:rsidRPr="0052026C">
        <w:tab/>
        <w:t>D.</w:t>
      </w:r>
      <w:r w:rsidRPr="0052026C">
        <w:tab/>
        <w:t>Organisation du processus et calendrier</w:t>
      </w:r>
    </w:p>
    <w:p w:rsidR="0052026C" w:rsidRPr="0052026C" w:rsidRDefault="0052026C" w:rsidP="0052026C">
      <w:pPr>
        <w:pStyle w:val="SingleTxtG"/>
      </w:pPr>
      <w:r w:rsidRPr="0052026C">
        <w:rPr>
          <w:rFonts w:hint="eastAsia"/>
        </w:rPr>
        <w:t>1</w:t>
      </w:r>
      <w:r w:rsidRPr="0052026C">
        <w:t>4.</w:t>
      </w:r>
      <w:r w:rsidRPr="0052026C">
        <w:tab/>
        <w:t>La proposition sera établie par les experts de la République de Corée et de l</w:t>
      </w:r>
      <w:r w:rsidR="00E7703F">
        <w:t>’</w:t>
      </w:r>
      <w:r w:rsidRPr="0052026C">
        <w:t>OICA. Les modifications à apporter à cette proposition seront élaborées en collaboration avec tous les experts intéressés du GRSP, qui se réuniront en groupe de travail informel plutôt que sous la forme d</w:t>
      </w:r>
      <w:r w:rsidR="00E7703F">
        <w:t>’</w:t>
      </w:r>
      <w:r w:rsidRPr="0052026C">
        <w:t>une équipe spéciale</w:t>
      </w:r>
      <w:r w:rsidR="007D3B90">
        <w:t>.</w:t>
      </w:r>
    </w:p>
    <w:p w:rsidR="0052026C" w:rsidRPr="0052026C" w:rsidRDefault="0052026C" w:rsidP="0052026C">
      <w:pPr>
        <w:pStyle w:val="SingleTxtG"/>
      </w:pPr>
      <w:r w:rsidRPr="0052026C">
        <w:rPr>
          <w:rFonts w:hint="eastAsia"/>
        </w:rPr>
        <w:t>1</w:t>
      </w:r>
      <w:r w:rsidRPr="0052026C">
        <w:t>5.</w:t>
      </w:r>
      <w:r w:rsidRPr="0052026C">
        <w:tab/>
        <w:t>Plan d</w:t>
      </w:r>
      <w:r w:rsidR="00E7703F">
        <w:t>’</w:t>
      </w:r>
      <w:r w:rsidRPr="0052026C">
        <w:t>action proposé</w:t>
      </w:r>
      <w:r w:rsidR="007D3B90">
        <w:t> </w:t>
      </w:r>
      <w:r w:rsidRPr="0052026C">
        <w:t>:</w:t>
      </w:r>
    </w:p>
    <w:p w:rsidR="0052026C" w:rsidRPr="0052026C" w:rsidRDefault="0052026C" w:rsidP="007D3B90">
      <w:pPr>
        <w:pStyle w:val="SingleTxtG"/>
        <w:ind w:firstLine="567"/>
      </w:pPr>
      <w:r w:rsidRPr="0052026C">
        <w:t>a)</w:t>
      </w:r>
      <w:r w:rsidRPr="0052026C">
        <w:tab/>
        <w:t>Juin 2016</w:t>
      </w:r>
      <w:r w:rsidR="007D3B90">
        <w:t> </w:t>
      </w:r>
      <w:r w:rsidRPr="0052026C">
        <w:t>: Soumission de la demande d</w:t>
      </w:r>
      <w:r w:rsidR="00E7703F">
        <w:t>’</w:t>
      </w:r>
      <w:r w:rsidRPr="0052026C">
        <w:t>autorisation d</w:t>
      </w:r>
      <w:r w:rsidR="00E7703F">
        <w:t>’</w:t>
      </w:r>
      <w:r w:rsidRPr="0052026C">
        <w:t xml:space="preserve">élaborer un amendement au RTM </w:t>
      </w:r>
      <w:r w:rsidR="007D3B90" w:rsidRPr="002D76F4">
        <w:rPr>
          <w:rFonts w:eastAsia="MS Mincho"/>
          <w:szCs w:val="22"/>
        </w:rPr>
        <w:t>n</w:t>
      </w:r>
      <w:r w:rsidR="007D3B90" w:rsidRPr="002D76F4">
        <w:rPr>
          <w:rFonts w:eastAsia="MS Mincho"/>
          <w:szCs w:val="22"/>
          <w:vertAlign w:val="superscript"/>
        </w:rPr>
        <w:t>o</w:t>
      </w:r>
      <w:r w:rsidR="007D3B90">
        <w:t> </w:t>
      </w:r>
      <w:r w:rsidRPr="0052026C">
        <w:t>9 (Sécurité des piétons) au WP.29/AC.3</w:t>
      </w:r>
      <w:r w:rsidR="007D3B90">
        <w:t> </w:t>
      </w:r>
      <w:r w:rsidRPr="0052026C">
        <w:t>;</w:t>
      </w:r>
    </w:p>
    <w:p w:rsidR="0052026C" w:rsidRPr="0052026C" w:rsidRDefault="0052026C" w:rsidP="007D3B90">
      <w:pPr>
        <w:pStyle w:val="SingleTxtG"/>
        <w:ind w:firstLine="567"/>
      </w:pPr>
      <w:r w:rsidRPr="0052026C">
        <w:t>b)</w:t>
      </w:r>
      <w:r w:rsidRPr="0052026C">
        <w:tab/>
        <w:t>Novembre 2016</w:t>
      </w:r>
      <w:r w:rsidR="007D3B90">
        <w:t> </w:t>
      </w:r>
      <w:r w:rsidRPr="0052026C">
        <w:t>: Approbation par le WP.29/AC.3</w:t>
      </w:r>
      <w:r w:rsidR="007D3B90">
        <w:t> </w:t>
      </w:r>
      <w:r w:rsidRPr="0052026C">
        <w:t>;</w:t>
      </w:r>
    </w:p>
    <w:p w:rsidR="0052026C" w:rsidRPr="0052026C" w:rsidRDefault="0052026C" w:rsidP="007D3B90">
      <w:pPr>
        <w:pStyle w:val="SingleTxtG"/>
        <w:ind w:firstLine="567"/>
      </w:pPr>
      <w:r w:rsidRPr="0052026C">
        <w:t>c)</w:t>
      </w:r>
      <w:r w:rsidRPr="0052026C">
        <w:tab/>
        <w:t>Mai 2017</w:t>
      </w:r>
      <w:r w:rsidR="007D3B90">
        <w:t> </w:t>
      </w:r>
      <w:r w:rsidRPr="0052026C">
        <w:t>: Présentation et examen de la proposition (document informel) à la soixante et unième session du GRSP</w:t>
      </w:r>
      <w:r w:rsidR="007D3B90">
        <w:t> </w:t>
      </w:r>
      <w:r w:rsidRPr="0052026C">
        <w:t>;</w:t>
      </w:r>
    </w:p>
    <w:p w:rsidR="0052026C" w:rsidRPr="0052026C" w:rsidRDefault="0052026C" w:rsidP="007D3B90">
      <w:pPr>
        <w:pStyle w:val="SingleTxtG"/>
        <w:ind w:firstLine="567"/>
      </w:pPr>
      <w:r w:rsidRPr="0052026C">
        <w:rPr>
          <w:rFonts w:hint="eastAsia"/>
        </w:rPr>
        <w:t>d</w:t>
      </w:r>
      <w:r w:rsidRPr="0052026C">
        <w:t>)</w:t>
      </w:r>
      <w:r w:rsidRPr="0052026C">
        <w:tab/>
        <w:t>Mars 2018</w:t>
      </w:r>
      <w:r w:rsidR="007D3B90">
        <w:t> </w:t>
      </w:r>
      <w:r w:rsidRPr="0052026C">
        <w:t>: Soumission au WP.29/AC.3 d</w:t>
      </w:r>
      <w:r w:rsidR="00E7703F">
        <w:t>’</w:t>
      </w:r>
      <w:r w:rsidRPr="0052026C">
        <w:t>une révision de la demande d</w:t>
      </w:r>
      <w:r w:rsidR="00E7703F">
        <w:t>’</w:t>
      </w:r>
      <w:r w:rsidRPr="0052026C">
        <w:t>autorisation (ECE/TRANS/WP.29/AC.3/45) d</w:t>
      </w:r>
      <w:r w:rsidR="00E7703F">
        <w:t>’</w:t>
      </w:r>
      <w:r w:rsidRPr="0052026C">
        <w:t xml:space="preserve">élaborer un amendement au RTM </w:t>
      </w:r>
      <w:r w:rsidR="007D3B90" w:rsidRPr="002D76F4">
        <w:rPr>
          <w:rFonts w:eastAsia="MS Mincho"/>
          <w:szCs w:val="22"/>
        </w:rPr>
        <w:t>n</w:t>
      </w:r>
      <w:r w:rsidR="007D3B90" w:rsidRPr="002D76F4">
        <w:rPr>
          <w:rFonts w:eastAsia="MS Mincho"/>
          <w:szCs w:val="22"/>
          <w:vertAlign w:val="superscript"/>
        </w:rPr>
        <w:t>o</w:t>
      </w:r>
      <w:r w:rsidR="007D3B90">
        <w:t> </w:t>
      </w:r>
      <w:r w:rsidRPr="0052026C">
        <w:rPr>
          <w:rFonts w:hint="eastAsia"/>
        </w:rPr>
        <w:t>9</w:t>
      </w:r>
      <w:r w:rsidRPr="0052026C">
        <w:t xml:space="preserve"> (Sécurité des piétons)</w:t>
      </w:r>
      <w:r w:rsidRPr="0052026C">
        <w:rPr>
          <w:rFonts w:hint="eastAsia"/>
        </w:rPr>
        <w:t xml:space="preserve"> </w:t>
      </w:r>
      <w:r w:rsidRPr="0052026C">
        <w:t>au sein d</w:t>
      </w:r>
      <w:r w:rsidR="00E7703F">
        <w:t>’</w:t>
      </w:r>
      <w:r w:rsidRPr="0052026C">
        <w:t>un groupe de travail informel</w:t>
      </w:r>
      <w:r w:rsidR="007D3B90">
        <w:t> ;</w:t>
      </w:r>
    </w:p>
    <w:p w:rsidR="0052026C" w:rsidRPr="0052026C" w:rsidRDefault="0052026C" w:rsidP="007D3B90">
      <w:pPr>
        <w:pStyle w:val="SingleTxtG"/>
        <w:ind w:firstLine="567"/>
      </w:pPr>
      <w:r w:rsidRPr="0052026C">
        <w:rPr>
          <w:rFonts w:hint="eastAsia"/>
        </w:rPr>
        <w:t>e</w:t>
      </w:r>
      <w:r w:rsidRPr="0052026C">
        <w:t>)</w:t>
      </w:r>
      <w:r w:rsidRPr="0052026C">
        <w:tab/>
      </w:r>
      <w:r w:rsidRPr="0052026C">
        <w:rPr>
          <w:rFonts w:hint="eastAsia"/>
        </w:rPr>
        <w:t>Ma</w:t>
      </w:r>
      <w:r w:rsidRPr="0052026C">
        <w:t>i</w:t>
      </w:r>
      <w:r w:rsidRPr="0052026C">
        <w:rPr>
          <w:rFonts w:hint="eastAsia"/>
        </w:rPr>
        <w:t xml:space="preserve"> 2018</w:t>
      </w:r>
      <w:r w:rsidR="007D3B90">
        <w:t> </w:t>
      </w:r>
      <w:r w:rsidRPr="0052026C">
        <w:rPr>
          <w:rFonts w:hint="eastAsia"/>
        </w:rPr>
        <w:t xml:space="preserve">: </w:t>
      </w:r>
      <w:r w:rsidRPr="0052026C">
        <w:t>Examen d</w:t>
      </w:r>
      <w:r w:rsidR="00E7703F">
        <w:t>’</w:t>
      </w:r>
      <w:r w:rsidRPr="0052026C">
        <w:t>un projet de proposition et éventuelle adoption à la soixante-troisième session du GRSP</w:t>
      </w:r>
      <w:r w:rsidR="007D3B90">
        <w:t> </w:t>
      </w:r>
      <w:r w:rsidRPr="0052026C">
        <w:rPr>
          <w:rFonts w:hint="eastAsia"/>
        </w:rPr>
        <w:t>;</w:t>
      </w:r>
    </w:p>
    <w:p w:rsidR="0052026C" w:rsidRPr="0052026C" w:rsidRDefault="0052026C" w:rsidP="007D3B90">
      <w:pPr>
        <w:pStyle w:val="SingleTxtG"/>
        <w:ind w:firstLine="567"/>
      </w:pPr>
      <w:r w:rsidRPr="0052026C">
        <w:rPr>
          <w:rFonts w:hint="eastAsia"/>
        </w:rPr>
        <w:t>f</w:t>
      </w:r>
      <w:r w:rsidRPr="0052026C">
        <w:t>)</w:t>
      </w:r>
      <w:r w:rsidRPr="0052026C">
        <w:tab/>
        <w:t>Novembre 2018</w:t>
      </w:r>
      <w:r w:rsidR="007D3B90">
        <w:t> </w:t>
      </w:r>
      <w:r w:rsidRPr="0052026C">
        <w:t>: Adoption de la proposition par le WP.29/AC.3.</w:t>
      </w:r>
      <w:r w:rsidRPr="0052026C">
        <w:rPr>
          <w:rFonts w:hint="eastAsia"/>
        </w:rPr>
        <w:t xml:space="preserve"> </w:t>
      </w:r>
    </w:p>
    <w:p w:rsidR="0052026C" w:rsidRDefault="0052026C" w:rsidP="0052026C">
      <w:pPr>
        <w:pStyle w:val="SingleTxtG"/>
      </w:pPr>
      <w:r w:rsidRPr="0052026C">
        <w:t>16.</w:t>
      </w:r>
      <w:r w:rsidRPr="0052026C">
        <w:tab/>
        <w:t>Le WP.29/AC.3 sera tenu informé des progrès accomplis aux sessions de juin 2017 et de juin 2018.</w:t>
      </w:r>
    </w:p>
    <w:p w:rsidR="0052026C" w:rsidRPr="0052026C" w:rsidRDefault="0052026C" w:rsidP="005202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026C" w:rsidRPr="0052026C" w:rsidSect="00A120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B5" w:rsidRDefault="008349B5" w:rsidP="00F95C08">
      <w:pPr>
        <w:spacing w:line="240" w:lineRule="auto"/>
      </w:pPr>
    </w:p>
  </w:endnote>
  <w:endnote w:type="continuationSeparator" w:id="0">
    <w:p w:rsidR="008349B5" w:rsidRPr="00AC3823" w:rsidRDefault="008349B5" w:rsidP="00AC3823">
      <w:pPr>
        <w:pStyle w:val="Footer"/>
      </w:pPr>
    </w:p>
  </w:endnote>
  <w:endnote w:type="continuationNotice" w:id="1">
    <w:p w:rsidR="008349B5" w:rsidRDefault="008349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04" w:rsidRPr="00A12004" w:rsidRDefault="00A12004" w:rsidP="00A12004">
    <w:pPr>
      <w:pStyle w:val="Footer"/>
      <w:tabs>
        <w:tab w:val="right" w:pos="9638"/>
      </w:tabs>
    </w:pPr>
    <w:r w:rsidRPr="00A12004">
      <w:rPr>
        <w:b/>
        <w:sz w:val="18"/>
      </w:rPr>
      <w:fldChar w:fldCharType="begin"/>
    </w:r>
    <w:r w:rsidRPr="00A12004">
      <w:rPr>
        <w:b/>
        <w:sz w:val="18"/>
      </w:rPr>
      <w:instrText xml:space="preserve"> PAGE  \* MERGEFORMAT </w:instrText>
    </w:r>
    <w:r w:rsidRPr="00A12004">
      <w:rPr>
        <w:b/>
        <w:sz w:val="18"/>
      </w:rPr>
      <w:fldChar w:fldCharType="separate"/>
    </w:r>
    <w:r w:rsidR="0029728B">
      <w:rPr>
        <w:b/>
        <w:noProof/>
        <w:sz w:val="18"/>
      </w:rPr>
      <w:t>2</w:t>
    </w:r>
    <w:r w:rsidRPr="00A12004">
      <w:rPr>
        <w:b/>
        <w:sz w:val="18"/>
      </w:rPr>
      <w:fldChar w:fldCharType="end"/>
    </w:r>
    <w:r>
      <w:rPr>
        <w:b/>
        <w:sz w:val="18"/>
      </w:rPr>
      <w:tab/>
    </w:r>
    <w:r>
      <w:t>GE.18-00162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04" w:rsidRPr="00A12004" w:rsidRDefault="00A12004" w:rsidP="00A12004">
    <w:pPr>
      <w:pStyle w:val="Footer"/>
      <w:tabs>
        <w:tab w:val="right" w:pos="9638"/>
      </w:tabs>
      <w:rPr>
        <w:b/>
        <w:sz w:val="18"/>
      </w:rPr>
    </w:pPr>
    <w:r>
      <w:t>GE.18-00162</w:t>
    </w:r>
    <w:r>
      <w:tab/>
    </w:r>
    <w:r w:rsidRPr="00A12004">
      <w:rPr>
        <w:b/>
        <w:sz w:val="18"/>
      </w:rPr>
      <w:fldChar w:fldCharType="begin"/>
    </w:r>
    <w:r w:rsidRPr="00A12004">
      <w:rPr>
        <w:b/>
        <w:sz w:val="18"/>
      </w:rPr>
      <w:instrText xml:space="preserve"> PAGE  \* MERGEFORMAT </w:instrText>
    </w:r>
    <w:r w:rsidRPr="00A12004">
      <w:rPr>
        <w:b/>
        <w:sz w:val="18"/>
      </w:rPr>
      <w:fldChar w:fldCharType="separate"/>
    </w:r>
    <w:r w:rsidR="0029728B">
      <w:rPr>
        <w:b/>
        <w:noProof/>
        <w:sz w:val="18"/>
      </w:rPr>
      <w:t>3</w:t>
    </w:r>
    <w:r w:rsidRPr="00A120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12004" w:rsidRDefault="00A12004" w:rsidP="00A1200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18-00162  (F)    260118    290118</w:t>
    </w:r>
    <w:r>
      <w:rPr>
        <w:sz w:val="20"/>
      </w:rPr>
      <w:br/>
    </w:r>
    <w:r w:rsidRPr="00A12004">
      <w:rPr>
        <w:rFonts w:ascii="C39T30Lfz" w:hAnsi="C39T30Lfz"/>
        <w:sz w:val="56"/>
      </w:rPr>
      <w:t></w:t>
    </w:r>
    <w:r w:rsidRPr="00A12004">
      <w:rPr>
        <w:rFonts w:ascii="C39T30Lfz" w:hAnsi="C39T30Lfz"/>
        <w:sz w:val="56"/>
      </w:rPr>
      <w:t></w:t>
    </w:r>
    <w:r w:rsidRPr="00A12004">
      <w:rPr>
        <w:rFonts w:ascii="C39T30Lfz" w:hAnsi="C39T30Lfz"/>
        <w:sz w:val="56"/>
      </w:rPr>
      <w:t></w:t>
    </w:r>
    <w:r w:rsidRPr="00A12004">
      <w:rPr>
        <w:rFonts w:ascii="C39T30Lfz" w:hAnsi="C39T30Lfz"/>
        <w:sz w:val="56"/>
      </w:rPr>
      <w:t></w:t>
    </w:r>
    <w:r w:rsidRPr="00A12004">
      <w:rPr>
        <w:rFonts w:ascii="C39T30Lfz" w:hAnsi="C39T30Lfz"/>
        <w:sz w:val="56"/>
      </w:rPr>
      <w:t></w:t>
    </w:r>
    <w:r w:rsidRPr="00A12004">
      <w:rPr>
        <w:rFonts w:ascii="C39T30Lfz" w:hAnsi="C39T30Lfz"/>
        <w:sz w:val="56"/>
      </w:rPr>
      <w:t></w:t>
    </w:r>
    <w:r w:rsidRPr="00A12004">
      <w:rPr>
        <w:rFonts w:ascii="C39T30Lfz" w:hAnsi="C39T30Lfz"/>
        <w:sz w:val="56"/>
      </w:rPr>
      <w:t></w:t>
    </w:r>
    <w:r w:rsidRPr="00A12004">
      <w:rPr>
        <w:rFonts w:ascii="C39T30Lfz" w:hAnsi="C39T30Lfz"/>
        <w:sz w:val="56"/>
      </w:rPr>
      <w:t></w:t>
    </w:r>
    <w:r w:rsidRPr="00A1200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AC.3/45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45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B5" w:rsidRPr="00AC3823" w:rsidRDefault="008349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49B5" w:rsidRPr="00AC3823" w:rsidRDefault="008349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349B5" w:rsidRPr="00AC3823" w:rsidRDefault="008349B5">
      <w:pPr>
        <w:spacing w:line="240" w:lineRule="auto"/>
        <w:rPr>
          <w:sz w:val="2"/>
          <w:szCs w:val="2"/>
        </w:rPr>
      </w:pPr>
    </w:p>
  </w:footnote>
  <w:footnote w:id="2">
    <w:p w:rsidR="00437AC6" w:rsidRPr="00800900" w:rsidRDefault="00437AC6" w:rsidP="00437AC6">
      <w:pPr>
        <w:pStyle w:val="FootnoteText"/>
      </w:pPr>
      <w:r w:rsidRPr="00A90EA8">
        <w:tab/>
      </w:r>
      <w:r w:rsidRPr="00963E30">
        <w:rPr>
          <w:rStyle w:val="FootnoteReference"/>
          <w:sz w:val="20"/>
          <w:vertAlign w:val="baseline"/>
        </w:rPr>
        <w:t>*</w:t>
      </w:r>
      <w:r w:rsidRPr="00800900">
        <w:rPr>
          <w:sz w:val="20"/>
        </w:rPr>
        <w:tab/>
      </w:r>
      <w:r w:rsidRPr="00B74087">
        <w:rPr>
          <w:spacing w:val="-4"/>
          <w:szCs w:val="18"/>
        </w:rPr>
        <w:t>Conformément au programme de travail du Comité des transports intérieurs pour la période 2016-2017</w:t>
      </w:r>
      <w:r w:rsidRPr="00800900">
        <w:rPr>
          <w:szCs w:val="18"/>
        </w:rPr>
        <w:t xml:space="preserve"> (ECE/TRANS/254, par.</w:t>
      </w:r>
      <w:r w:rsidR="00963E30">
        <w:rPr>
          <w:szCs w:val="18"/>
        </w:rPr>
        <w:t> </w:t>
      </w:r>
      <w:r w:rsidRPr="00800900">
        <w:rPr>
          <w:szCs w:val="18"/>
        </w:rPr>
        <w:t>159</w:t>
      </w:r>
      <w:r>
        <w:rPr>
          <w:szCs w:val="18"/>
        </w:rPr>
        <w:t>,</w:t>
      </w:r>
      <w:r w:rsidRPr="00800900">
        <w:rPr>
          <w:szCs w:val="18"/>
        </w:rPr>
        <w:t xml:space="preserve"> et ECE/TRANS/2016/28/Add.1, module 3.1), le Forum mondial a pour mission d</w:t>
      </w:r>
      <w:r w:rsidR="009C30A9">
        <w:rPr>
          <w:szCs w:val="18"/>
        </w:rPr>
        <w:t>’</w:t>
      </w:r>
      <w:r w:rsidRPr="00800900">
        <w:rPr>
          <w:szCs w:val="18"/>
        </w:rPr>
        <w:t>élaborer, d</w:t>
      </w:r>
      <w:r w:rsidR="009C30A9">
        <w:rPr>
          <w:szCs w:val="18"/>
        </w:rPr>
        <w:t>’</w:t>
      </w:r>
      <w:r w:rsidRPr="00800900">
        <w:rPr>
          <w:szCs w:val="18"/>
        </w:rPr>
        <w:t>harmoniser et de mettre à jour les Règlements en vue d</w:t>
      </w:r>
      <w:r w:rsidR="009C30A9">
        <w:rPr>
          <w:szCs w:val="18"/>
        </w:rPr>
        <w:t>’</w:t>
      </w:r>
      <w:r w:rsidRPr="00800900">
        <w:rPr>
          <w:szCs w:val="18"/>
        </w:rPr>
        <w:t xml:space="preserve">améliorer les caractéristiques fonctionnelles des véhicules. Le présent document est soumis </w:t>
      </w:r>
      <w:r w:rsidRPr="002B0B66">
        <w:rPr>
          <w:lang w:val="fr-FR"/>
        </w:rPr>
        <w:t xml:space="preserve">en vertu de </w:t>
      </w:r>
      <w:r w:rsidRPr="00800900">
        <w:rPr>
          <w:szCs w:val="18"/>
        </w:rPr>
        <w:t>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04" w:rsidRPr="00A12004" w:rsidRDefault="0029728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7703F">
      <w:t>ECE/TRANS/WP.29/AC.3/45/Rev.1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04" w:rsidRPr="00A12004" w:rsidRDefault="0029728B" w:rsidP="00A1200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7703F">
      <w:t>ECE/TRANS/WP.29/AC.3/45/Rev.1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B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1557"/>
    <w:rsid w:val="00176178"/>
    <w:rsid w:val="001B66A5"/>
    <w:rsid w:val="001F525A"/>
    <w:rsid w:val="00223272"/>
    <w:rsid w:val="0024779E"/>
    <w:rsid w:val="00257168"/>
    <w:rsid w:val="002744B8"/>
    <w:rsid w:val="002832AC"/>
    <w:rsid w:val="0029728B"/>
    <w:rsid w:val="002D7C93"/>
    <w:rsid w:val="00305801"/>
    <w:rsid w:val="00370E0B"/>
    <w:rsid w:val="003916DE"/>
    <w:rsid w:val="003D11C8"/>
    <w:rsid w:val="003E3548"/>
    <w:rsid w:val="004229B6"/>
    <w:rsid w:val="00437AC6"/>
    <w:rsid w:val="00441C3B"/>
    <w:rsid w:val="00446FE5"/>
    <w:rsid w:val="00452396"/>
    <w:rsid w:val="004837D8"/>
    <w:rsid w:val="004E468C"/>
    <w:rsid w:val="0052026C"/>
    <w:rsid w:val="005505B7"/>
    <w:rsid w:val="00565A2B"/>
    <w:rsid w:val="00573BE5"/>
    <w:rsid w:val="00586ED3"/>
    <w:rsid w:val="00596AA9"/>
    <w:rsid w:val="00654071"/>
    <w:rsid w:val="00701BC5"/>
    <w:rsid w:val="0071601D"/>
    <w:rsid w:val="007566DA"/>
    <w:rsid w:val="007A62E6"/>
    <w:rsid w:val="007D3B90"/>
    <w:rsid w:val="007F20FA"/>
    <w:rsid w:val="007F6086"/>
    <w:rsid w:val="0080684C"/>
    <w:rsid w:val="008349B5"/>
    <w:rsid w:val="00871C75"/>
    <w:rsid w:val="008776DC"/>
    <w:rsid w:val="00911977"/>
    <w:rsid w:val="009446C0"/>
    <w:rsid w:val="00963E30"/>
    <w:rsid w:val="009705C8"/>
    <w:rsid w:val="009C1CF4"/>
    <w:rsid w:val="009C30A9"/>
    <w:rsid w:val="009D1328"/>
    <w:rsid w:val="009F6B74"/>
    <w:rsid w:val="00A12004"/>
    <w:rsid w:val="00A30353"/>
    <w:rsid w:val="00AC3823"/>
    <w:rsid w:val="00AE323C"/>
    <w:rsid w:val="00AF0CB5"/>
    <w:rsid w:val="00B00181"/>
    <w:rsid w:val="00B00B0D"/>
    <w:rsid w:val="00B74087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7703F"/>
    <w:rsid w:val="00E85C74"/>
    <w:rsid w:val="00E973ED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1272F31-8A61-460C-9971-0EB4ED0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ECE/TRANS/WP.29/AC.3/45/Rev.1</vt:lpstr>
      <vt:lpstr>ECE/TRANS/WP.29/AC.3/45/Rev.1</vt:lpstr>
    </vt:vector>
  </TitlesOfParts>
  <Company>DCM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ECE/TRANS/WP.29/AC.3/45/Rev.1</dc:title>
  <dc:subject/>
  <dc:creator>Corinne ROBERT</dc:creator>
  <cp:keywords/>
  <cp:lastModifiedBy>CRP.1/A.6</cp:lastModifiedBy>
  <cp:revision>2</cp:revision>
  <cp:lastPrinted>2018-01-26T14:40:00Z</cp:lastPrinted>
  <dcterms:created xsi:type="dcterms:W3CDTF">2018-01-29T17:29:00Z</dcterms:created>
  <dcterms:modified xsi:type="dcterms:W3CDTF">2018-01-29T17:29:00Z</dcterms:modified>
</cp:coreProperties>
</file>