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6D3896">
        <w:trPr>
          <w:cantSplit/>
          <w:trHeight w:hRule="exact" w:val="851"/>
        </w:trPr>
        <w:tc>
          <w:tcPr>
            <w:tcW w:w="1276" w:type="dxa"/>
            <w:tcBorders>
              <w:bottom w:val="single" w:sz="4" w:space="0" w:color="auto"/>
            </w:tcBorders>
            <w:shd w:val="clear" w:color="auto" w:fill="auto"/>
            <w:vAlign w:val="bottom"/>
          </w:tcPr>
          <w:p w:rsidR="00B56E9C" w:rsidRDefault="00B56E9C" w:rsidP="006D3896">
            <w:pPr>
              <w:spacing w:after="80"/>
            </w:pPr>
          </w:p>
        </w:tc>
        <w:tc>
          <w:tcPr>
            <w:tcW w:w="2268" w:type="dxa"/>
            <w:tcBorders>
              <w:bottom w:val="single" w:sz="4" w:space="0" w:color="auto"/>
            </w:tcBorders>
            <w:shd w:val="clear" w:color="auto" w:fill="auto"/>
            <w:vAlign w:val="bottom"/>
          </w:tcPr>
          <w:p w:rsidR="00B56E9C" w:rsidRPr="006D3896" w:rsidRDefault="00B56E9C" w:rsidP="006D3896">
            <w:pPr>
              <w:spacing w:after="80" w:line="300" w:lineRule="exact"/>
              <w:rPr>
                <w:b/>
                <w:sz w:val="24"/>
                <w:szCs w:val="24"/>
              </w:rPr>
            </w:pPr>
            <w:r w:rsidRPr="006D3896">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475AB" w:rsidP="006D3896">
            <w:pPr>
              <w:jc w:val="right"/>
            </w:pPr>
            <w:r w:rsidRPr="006D3896">
              <w:rPr>
                <w:sz w:val="40"/>
              </w:rPr>
              <w:t>ECE</w:t>
            </w:r>
            <w:r>
              <w:t>/TRANS/WP.29/201</w:t>
            </w:r>
            <w:r w:rsidR="00132CDD">
              <w:t>8</w:t>
            </w:r>
            <w:r>
              <w:t>/</w:t>
            </w:r>
            <w:r w:rsidR="000722B2">
              <w:t>81</w:t>
            </w:r>
          </w:p>
        </w:tc>
      </w:tr>
      <w:tr w:rsidR="00B56E9C" w:rsidTr="006D3896">
        <w:trPr>
          <w:cantSplit/>
          <w:trHeight w:hRule="exact" w:val="2835"/>
        </w:trPr>
        <w:tc>
          <w:tcPr>
            <w:tcW w:w="1276" w:type="dxa"/>
            <w:tcBorders>
              <w:top w:val="single" w:sz="4" w:space="0" w:color="auto"/>
              <w:bottom w:val="single" w:sz="12" w:space="0" w:color="auto"/>
            </w:tcBorders>
            <w:shd w:val="clear" w:color="auto" w:fill="auto"/>
          </w:tcPr>
          <w:p w:rsidR="00B56E9C" w:rsidRDefault="00060125" w:rsidP="006D3896">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6D3896" w:rsidRDefault="00D773DF" w:rsidP="006D3896">
            <w:pPr>
              <w:spacing w:before="120" w:line="420" w:lineRule="exact"/>
              <w:rPr>
                <w:sz w:val="40"/>
                <w:szCs w:val="40"/>
              </w:rPr>
            </w:pPr>
            <w:r w:rsidRPr="006D3896">
              <w:rPr>
                <w:b/>
                <w:sz w:val="40"/>
                <w:szCs w:val="40"/>
              </w:rPr>
              <w:t>Economic and Social Council</w:t>
            </w:r>
          </w:p>
        </w:tc>
        <w:tc>
          <w:tcPr>
            <w:tcW w:w="2835" w:type="dxa"/>
            <w:tcBorders>
              <w:top w:val="single" w:sz="4" w:space="0" w:color="auto"/>
              <w:bottom w:val="single" w:sz="12" w:space="0" w:color="auto"/>
            </w:tcBorders>
            <w:shd w:val="clear" w:color="auto" w:fill="auto"/>
          </w:tcPr>
          <w:p w:rsidR="002475AB" w:rsidRDefault="002475AB" w:rsidP="006D3896">
            <w:pPr>
              <w:spacing w:before="240" w:line="240" w:lineRule="exact"/>
            </w:pPr>
            <w:r>
              <w:t>Distr.: General</w:t>
            </w:r>
          </w:p>
          <w:p w:rsidR="002475AB" w:rsidRDefault="00654D3D" w:rsidP="006D3896">
            <w:pPr>
              <w:spacing w:line="240" w:lineRule="exact"/>
            </w:pPr>
            <w:r>
              <w:t>9</w:t>
            </w:r>
            <w:r w:rsidR="002475AB">
              <w:t xml:space="preserve"> </w:t>
            </w:r>
            <w:r w:rsidR="00132CDD">
              <w:t>Avril</w:t>
            </w:r>
            <w:r w:rsidR="002475AB">
              <w:t xml:space="preserve"> 201</w:t>
            </w:r>
            <w:r w:rsidR="00132CDD">
              <w:t>8</w:t>
            </w:r>
          </w:p>
          <w:p w:rsidR="002475AB" w:rsidRDefault="002475AB" w:rsidP="006D3896">
            <w:pPr>
              <w:spacing w:line="240" w:lineRule="exact"/>
            </w:pPr>
          </w:p>
          <w:p w:rsidR="00EA2A77" w:rsidRDefault="002475AB" w:rsidP="006D3896">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D125E9" w:rsidRPr="00474896" w:rsidRDefault="00D125E9" w:rsidP="00D125E9">
      <w:pPr>
        <w:spacing w:before="120"/>
        <w:rPr>
          <w:b/>
        </w:rPr>
      </w:pPr>
      <w:r w:rsidRPr="00474896">
        <w:rPr>
          <w:b/>
        </w:rPr>
        <w:t>1</w:t>
      </w:r>
      <w:r w:rsidR="00132CDD" w:rsidRPr="00474896">
        <w:rPr>
          <w:b/>
        </w:rPr>
        <w:t>75</w:t>
      </w:r>
      <w:r w:rsidR="00132CDD" w:rsidRPr="00A53046">
        <w:rPr>
          <w:b/>
        </w:rPr>
        <w:t>th</w:t>
      </w:r>
      <w:r w:rsidR="00132CDD" w:rsidRPr="00474896">
        <w:rPr>
          <w:b/>
        </w:rPr>
        <w:t xml:space="preserve"> </w:t>
      </w:r>
      <w:r w:rsidRPr="00474896">
        <w:rPr>
          <w:b/>
        </w:rPr>
        <w:t>session</w:t>
      </w:r>
    </w:p>
    <w:p w:rsidR="00D125E9" w:rsidRPr="00474896" w:rsidRDefault="00D125E9" w:rsidP="00D125E9">
      <w:r w:rsidRPr="00474896">
        <w:t xml:space="preserve">Geneva, </w:t>
      </w:r>
      <w:r w:rsidR="00474896" w:rsidRPr="00474896">
        <w:rPr>
          <w:lang w:val="en-US"/>
        </w:rPr>
        <w:t>19-22 June 2018</w:t>
      </w:r>
    </w:p>
    <w:p w:rsidR="00D125E9" w:rsidRPr="00474896" w:rsidRDefault="00D125E9" w:rsidP="00D125E9">
      <w:r w:rsidRPr="00474896">
        <w:t>Item 15 of the provisional agenda</w:t>
      </w:r>
    </w:p>
    <w:p w:rsidR="00915EF6" w:rsidRDefault="00474896" w:rsidP="00C96DF2">
      <w:pPr>
        <w:rPr>
          <w:b/>
        </w:rPr>
      </w:pPr>
      <w:r w:rsidRPr="00474896">
        <w:rPr>
          <w:b/>
        </w:rPr>
        <w:t xml:space="preserve">Consideration of technical regulations </w:t>
      </w:r>
      <w:r>
        <w:rPr>
          <w:b/>
        </w:rPr>
        <w:br/>
      </w:r>
      <w:r w:rsidRPr="00474896">
        <w:rPr>
          <w:b/>
        </w:rPr>
        <w:t xml:space="preserve">to be listed in the Compendium of </w:t>
      </w:r>
      <w:r>
        <w:rPr>
          <w:b/>
        </w:rPr>
        <w:br/>
      </w:r>
      <w:r w:rsidRPr="00474896">
        <w:rPr>
          <w:b/>
        </w:rPr>
        <w:t>Candidates for UN GTRs</w:t>
      </w:r>
      <w:r w:rsidR="00A53046">
        <w:rPr>
          <w:b/>
        </w:rPr>
        <w:t>, if any</w:t>
      </w:r>
    </w:p>
    <w:p w:rsidR="00F545C2" w:rsidRPr="00F545C2" w:rsidRDefault="00F545C2" w:rsidP="00F545C2">
      <w:pPr>
        <w:pStyle w:val="HChG"/>
        <w:rPr>
          <w:bCs/>
        </w:rPr>
      </w:pPr>
      <w:r>
        <w:tab/>
      </w:r>
      <w:r>
        <w:tab/>
      </w:r>
      <w:bookmarkStart w:id="0" w:name="_Hlk511051036"/>
      <w:r w:rsidR="00654D3D">
        <w:t>R</w:t>
      </w:r>
      <w:proofErr w:type="spellStart"/>
      <w:r w:rsidR="00654D3D" w:rsidRPr="00654D3D">
        <w:rPr>
          <w:spacing w:val="-4"/>
          <w:lang w:val="en-US"/>
        </w:rPr>
        <w:t>equest</w:t>
      </w:r>
      <w:proofErr w:type="spellEnd"/>
      <w:r w:rsidR="00654D3D" w:rsidRPr="00654D3D">
        <w:rPr>
          <w:spacing w:val="-4"/>
          <w:lang w:val="en-US"/>
        </w:rPr>
        <w:t xml:space="preserve"> to list in the compendium of candidate </w:t>
      </w:r>
      <w:r w:rsidR="00654D3D">
        <w:rPr>
          <w:spacing w:val="-4"/>
          <w:lang w:val="en-US"/>
        </w:rPr>
        <w:t>G</w:t>
      </w:r>
      <w:r w:rsidR="00654D3D" w:rsidRPr="00654D3D">
        <w:rPr>
          <w:spacing w:val="-4"/>
          <w:lang w:val="en-US"/>
        </w:rPr>
        <w:t xml:space="preserve">lobal </w:t>
      </w:r>
      <w:r w:rsidR="00654D3D">
        <w:rPr>
          <w:spacing w:val="-4"/>
          <w:lang w:val="en-US"/>
        </w:rPr>
        <w:t>T</w:t>
      </w:r>
      <w:r w:rsidR="00654D3D" w:rsidRPr="00654D3D">
        <w:rPr>
          <w:spacing w:val="-4"/>
          <w:lang w:val="en-US"/>
        </w:rPr>
        <w:t xml:space="preserve">echnical </w:t>
      </w:r>
      <w:r w:rsidR="00654D3D">
        <w:rPr>
          <w:spacing w:val="-4"/>
          <w:lang w:val="en-US"/>
        </w:rPr>
        <w:t>R</w:t>
      </w:r>
      <w:r w:rsidR="00654D3D" w:rsidRPr="00654D3D">
        <w:rPr>
          <w:spacing w:val="-4"/>
          <w:lang w:val="en-US"/>
        </w:rPr>
        <w:t xml:space="preserve">egulations </w:t>
      </w:r>
      <w:r w:rsidR="00654D3D">
        <w:rPr>
          <w:spacing w:val="-4"/>
          <w:lang w:val="en-US"/>
        </w:rPr>
        <w:t>(compendium of candidates) the J</w:t>
      </w:r>
      <w:r w:rsidR="00654D3D" w:rsidRPr="00654D3D">
        <w:rPr>
          <w:spacing w:val="-4"/>
          <w:lang w:val="en-US"/>
        </w:rPr>
        <w:t xml:space="preserve">apan’s </w:t>
      </w:r>
      <w:r w:rsidR="00654D3D">
        <w:rPr>
          <w:spacing w:val="-4"/>
          <w:lang w:val="en-US"/>
        </w:rPr>
        <w:t>R</w:t>
      </w:r>
      <w:r w:rsidR="00654D3D" w:rsidRPr="00654D3D">
        <w:rPr>
          <w:spacing w:val="-4"/>
          <w:lang w:val="en-US"/>
        </w:rPr>
        <w:t xml:space="preserve">eal </w:t>
      </w:r>
      <w:r w:rsidR="00654D3D">
        <w:rPr>
          <w:spacing w:val="-4"/>
          <w:lang w:val="en-US"/>
        </w:rPr>
        <w:t>D</w:t>
      </w:r>
      <w:r w:rsidR="00654D3D" w:rsidRPr="00654D3D">
        <w:rPr>
          <w:spacing w:val="-4"/>
          <w:lang w:val="en-US"/>
        </w:rPr>
        <w:t xml:space="preserve">riving </w:t>
      </w:r>
      <w:r w:rsidR="00654D3D">
        <w:rPr>
          <w:spacing w:val="-4"/>
          <w:lang w:val="en-US"/>
        </w:rPr>
        <w:t>E</w:t>
      </w:r>
      <w:r w:rsidR="00654D3D" w:rsidRPr="00654D3D">
        <w:rPr>
          <w:spacing w:val="-4"/>
          <w:lang w:val="en-US"/>
        </w:rPr>
        <w:t>missions (</w:t>
      </w:r>
      <w:r w:rsidR="00654D3D">
        <w:rPr>
          <w:spacing w:val="-4"/>
          <w:lang w:val="en-US"/>
        </w:rPr>
        <w:t>RDE</w:t>
      </w:r>
      <w:r w:rsidR="00654D3D" w:rsidRPr="00654D3D">
        <w:rPr>
          <w:spacing w:val="-4"/>
          <w:lang w:val="en-US"/>
        </w:rPr>
        <w:t>) methodology</w:t>
      </w:r>
      <w:bookmarkEnd w:id="0"/>
    </w:p>
    <w:p w:rsidR="00C11291" w:rsidRDefault="00F545C2" w:rsidP="00F545C2">
      <w:pPr>
        <w:pStyle w:val="H1G"/>
      </w:pPr>
      <w:r>
        <w:tab/>
      </w:r>
      <w:r>
        <w:tab/>
        <w:t xml:space="preserve">Submitted by the </w:t>
      </w:r>
      <w:r w:rsidR="003F61F2">
        <w:t xml:space="preserve">representative of the </w:t>
      </w:r>
      <w:r w:rsidR="00654D3D">
        <w:t>Japan</w:t>
      </w:r>
      <w:r w:rsidR="000647E2" w:rsidRPr="002545EE">
        <w:rPr>
          <w:rStyle w:val="FootnoteReference"/>
          <w:sz w:val="20"/>
          <w:vertAlign w:val="baseline"/>
        </w:rPr>
        <w:footnoteReference w:customMarkFollows="1" w:id="2"/>
        <w:t>*</w:t>
      </w:r>
    </w:p>
    <w:p w:rsidR="00F545C2" w:rsidRDefault="00F545C2" w:rsidP="00F545C2">
      <w:pPr>
        <w:pStyle w:val="SingleTxtG"/>
        <w:ind w:firstLine="567"/>
        <w:rPr>
          <w:lang w:eastAsia="ja-JP"/>
        </w:rPr>
      </w:pPr>
      <w:r>
        <w:rPr>
          <w:rFonts w:hint="eastAsia"/>
          <w:lang w:eastAsia="ja-JP"/>
        </w:rPr>
        <w:t>Th</w:t>
      </w:r>
      <w:r>
        <w:rPr>
          <w:lang w:eastAsia="ja-JP"/>
        </w:rPr>
        <w:t>e</w:t>
      </w:r>
      <w:r>
        <w:rPr>
          <w:rFonts w:hint="eastAsia"/>
          <w:lang w:eastAsia="ja-JP"/>
        </w:rPr>
        <w:t xml:space="preserve"> document </w:t>
      </w:r>
      <w:r>
        <w:rPr>
          <w:lang w:eastAsia="ja-JP"/>
        </w:rPr>
        <w:t xml:space="preserve">reproduced below </w:t>
      </w:r>
      <w:r>
        <w:rPr>
          <w:rFonts w:hint="eastAsia"/>
          <w:lang w:eastAsia="ja-JP"/>
        </w:rPr>
        <w:t xml:space="preserve">is submitted by </w:t>
      </w:r>
      <w:r w:rsidR="00654D3D">
        <w:rPr>
          <w:lang w:eastAsia="ja-JP"/>
        </w:rPr>
        <w:t>Japan</w:t>
      </w:r>
      <w:r w:rsidR="00132CDD">
        <w:rPr>
          <w:lang w:eastAsia="ja-JP"/>
        </w:rPr>
        <w:t xml:space="preserve"> </w:t>
      </w:r>
      <w:r>
        <w:rPr>
          <w:rFonts w:hint="eastAsia"/>
          <w:lang w:eastAsia="ja-JP"/>
        </w:rPr>
        <w:t xml:space="preserve">to </w:t>
      </w:r>
      <w:r>
        <w:rPr>
          <w:lang w:eastAsia="ja-JP"/>
        </w:rPr>
        <w:t>t</w:t>
      </w:r>
      <w:r>
        <w:rPr>
          <w:rFonts w:hint="eastAsia"/>
          <w:lang w:eastAsia="ja-JP"/>
        </w:rPr>
        <w:t>he E</w:t>
      </w:r>
      <w:r>
        <w:rPr>
          <w:lang w:eastAsia="ja-JP"/>
        </w:rPr>
        <w:t>xecutive</w:t>
      </w:r>
      <w:r>
        <w:rPr>
          <w:rFonts w:hint="eastAsia"/>
          <w:lang w:eastAsia="ja-JP"/>
        </w:rPr>
        <w:t xml:space="preserve"> Committee (AC.3) for consideration. It </w:t>
      </w:r>
      <w:r>
        <w:rPr>
          <w:lang w:eastAsia="ja-JP"/>
        </w:rPr>
        <w:t>is a</w:t>
      </w:r>
      <w:r>
        <w:rPr>
          <w:rFonts w:hint="eastAsia"/>
        </w:rPr>
        <w:t xml:space="preserve"> </w:t>
      </w:r>
      <w:r>
        <w:t>request</w:t>
      </w:r>
      <w:r>
        <w:rPr>
          <w:rFonts w:hint="eastAsia"/>
        </w:rPr>
        <w:t xml:space="preserve"> </w:t>
      </w:r>
      <w:r>
        <w:t>to include in the Compendium of Candidates the</w:t>
      </w:r>
      <w:r w:rsidR="00132CDD">
        <w:t xml:space="preserve"> Real Driving Emissions methodology</w:t>
      </w:r>
      <w:r>
        <w:rPr>
          <w:rFonts w:hint="eastAsia"/>
        </w:rPr>
        <w:t>.</w:t>
      </w:r>
      <w:r>
        <w:rPr>
          <w:rFonts w:hint="eastAsia"/>
          <w:lang w:eastAsia="ja-JP"/>
        </w:rPr>
        <w:t xml:space="preserve"> </w:t>
      </w:r>
      <w:r w:rsidR="007129A7">
        <w:rPr>
          <w:lang w:eastAsia="ja-JP"/>
        </w:rPr>
        <w:t>Background information can be found in</w:t>
      </w:r>
      <w:r>
        <w:rPr>
          <w:rFonts w:hint="eastAsia"/>
          <w:lang w:eastAsia="ja-JP"/>
        </w:rPr>
        <w:t xml:space="preserve"> </w:t>
      </w:r>
      <w:r>
        <w:rPr>
          <w:lang w:eastAsia="ja-JP"/>
        </w:rPr>
        <w:t xml:space="preserve">informal document </w:t>
      </w:r>
      <w:r w:rsidR="007129A7">
        <w:rPr>
          <w:bCs/>
        </w:rPr>
        <w:t>GRPE</w:t>
      </w:r>
      <w:r w:rsidR="00A03B07">
        <w:rPr>
          <w:bCs/>
        </w:rPr>
        <w:t>–</w:t>
      </w:r>
      <w:r w:rsidR="00132CDD">
        <w:rPr>
          <w:bCs/>
        </w:rPr>
        <w:t>7</w:t>
      </w:r>
      <w:r w:rsidR="007129A7">
        <w:rPr>
          <w:bCs/>
        </w:rPr>
        <w:t>6</w:t>
      </w:r>
      <w:r w:rsidR="00A03B07">
        <w:rPr>
          <w:bCs/>
        </w:rPr>
        <w:t>–</w:t>
      </w:r>
      <w:r w:rsidR="007129A7">
        <w:rPr>
          <w:bCs/>
        </w:rPr>
        <w:t>18</w:t>
      </w:r>
      <w:r w:rsidRPr="003E03D8">
        <w:rPr>
          <w:lang w:eastAsia="ja-JP"/>
        </w:rPr>
        <w:t>.</w:t>
      </w:r>
      <w:r>
        <w:rPr>
          <w:lang w:eastAsia="ja-JP"/>
        </w:rPr>
        <w:t xml:space="preserve"> </w:t>
      </w:r>
      <w:proofErr w:type="gramStart"/>
      <w:r>
        <w:rPr>
          <w:lang w:eastAsia="ja-JP"/>
        </w:rPr>
        <w:t>In order to</w:t>
      </w:r>
      <w:proofErr w:type="gramEnd"/>
      <w:r>
        <w:rPr>
          <w:lang w:eastAsia="ja-JP"/>
        </w:rPr>
        <w:t xml:space="preserve"> be considered by AC.3, this request is accompanied </w:t>
      </w:r>
      <w:r w:rsidR="00127D23">
        <w:rPr>
          <w:lang w:eastAsia="ja-JP"/>
        </w:rPr>
        <w:t>by</w:t>
      </w:r>
      <w:r>
        <w:rPr>
          <w:lang w:eastAsia="ja-JP"/>
        </w:rPr>
        <w:t xml:space="preserve"> a copy of the regulations mentioned (see Article 5, paras. 5.2.1., 5.2.1.1. and 5.2.2. of the 1998 Agreement).</w:t>
      </w:r>
    </w:p>
    <w:p w:rsidR="00AC47CD" w:rsidRPr="00A53046" w:rsidRDefault="000647E2" w:rsidP="00A53046">
      <w:pPr>
        <w:pStyle w:val="HChG"/>
        <w:ind w:firstLine="0"/>
      </w:pPr>
      <w:r>
        <w:rPr>
          <w:lang w:eastAsia="ja-JP"/>
        </w:rPr>
        <w:br w:type="page"/>
      </w:r>
      <w:r w:rsidR="00A53046" w:rsidRPr="00A53046">
        <w:lastRenderedPageBreak/>
        <w:t>R</w:t>
      </w:r>
      <w:proofErr w:type="spellStart"/>
      <w:r w:rsidR="00A53046" w:rsidRPr="00A53046">
        <w:rPr>
          <w:lang w:val="en-US"/>
        </w:rPr>
        <w:t>equest</w:t>
      </w:r>
      <w:proofErr w:type="spellEnd"/>
      <w:r w:rsidR="00A53046" w:rsidRPr="00A53046">
        <w:rPr>
          <w:lang w:val="en-US"/>
        </w:rPr>
        <w:t xml:space="preserve"> to list in the compendium of candidate Global Technical Regulations (compendium of candidates) the Japan’s Real Driving Emissions (RDE) methodology</w:t>
      </w:r>
    </w:p>
    <w:p w:rsidR="00CA50AE" w:rsidRPr="00CA50AE" w:rsidRDefault="004E68C9" w:rsidP="004E68C9">
      <w:pPr>
        <w:pStyle w:val="SingleTxtG"/>
        <w:rPr>
          <w:lang w:val="en"/>
        </w:rPr>
      </w:pPr>
      <w:r>
        <w:rPr>
          <w:lang w:val="en"/>
        </w:rPr>
        <w:t>1.</w:t>
      </w:r>
      <w:r>
        <w:rPr>
          <w:lang w:val="en"/>
        </w:rPr>
        <w:tab/>
      </w:r>
      <w:r w:rsidR="00654D3D" w:rsidRPr="00654D3D">
        <w:t>Japan requests to include in the Compendium of Candidates the Japan’s RDE Methodology, as this is currently developed in Japan’s act based on 3 phases of WLTP.</w:t>
      </w:r>
    </w:p>
    <w:p w:rsidR="00CA50AE" w:rsidRPr="007A532D" w:rsidRDefault="00CA50AE" w:rsidP="007A532D">
      <w:pPr>
        <w:pStyle w:val="HChG"/>
      </w:pPr>
      <w:r w:rsidRPr="007A532D">
        <w:rPr>
          <w:rStyle w:val="Strong"/>
          <w:b/>
          <w:bCs w:val="0"/>
        </w:rPr>
        <w:tab/>
      </w:r>
      <w:r w:rsidR="00A53046" w:rsidRPr="007A532D">
        <w:rPr>
          <w:rStyle w:val="Strong"/>
          <w:b/>
          <w:bCs w:val="0"/>
        </w:rPr>
        <w:t>I.</w:t>
      </w:r>
      <w:r w:rsidRPr="007A532D">
        <w:rPr>
          <w:rStyle w:val="Strong"/>
          <w:b/>
          <w:bCs w:val="0"/>
        </w:rPr>
        <w:tab/>
      </w:r>
      <w:r w:rsidR="00132CDD" w:rsidRPr="007A532D">
        <w:rPr>
          <w:rStyle w:val="Strong"/>
          <w:b/>
          <w:bCs w:val="0"/>
        </w:rPr>
        <w:t>Background</w:t>
      </w:r>
      <w:r w:rsidRPr="007A532D">
        <w:rPr>
          <w:rStyle w:val="Strong"/>
          <w:b/>
          <w:bCs w:val="0"/>
        </w:rPr>
        <w:t xml:space="preserve"> </w:t>
      </w:r>
    </w:p>
    <w:p w:rsidR="007E2427" w:rsidRDefault="007E2427" w:rsidP="007E2427">
      <w:pPr>
        <w:spacing w:after="120"/>
        <w:ind w:left="1134" w:right="1134"/>
        <w:jc w:val="both"/>
        <w:rPr>
          <w:lang w:eastAsia="ja-JP"/>
        </w:rPr>
      </w:pPr>
      <w:r>
        <w:rPr>
          <w:lang w:eastAsia="ja-JP"/>
        </w:rPr>
        <w:t>2.</w:t>
      </w:r>
      <w:r>
        <w:rPr>
          <w:lang w:eastAsia="ja-JP"/>
        </w:rPr>
        <w:tab/>
      </w:r>
      <w:r w:rsidRPr="00AD2467">
        <w:rPr>
          <w:lang w:eastAsia="ja-JP"/>
        </w:rPr>
        <w:t>In September 2015 in the United States, it was revealed that the manufacturer used defeat devices, which activates the emission control system during the certification test and deactivates the system during real driving.</w:t>
      </w:r>
    </w:p>
    <w:p w:rsidR="007E2427" w:rsidRDefault="007E2427" w:rsidP="007E2427">
      <w:pPr>
        <w:spacing w:after="120"/>
        <w:ind w:left="1134" w:right="1134"/>
        <w:jc w:val="both"/>
        <w:rPr>
          <w:lang w:eastAsia="ja-JP"/>
        </w:rPr>
      </w:pPr>
      <w:r>
        <w:rPr>
          <w:lang w:eastAsia="ja-JP"/>
        </w:rPr>
        <w:t>3.</w:t>
      </w:r>
      <w:r>
        <w:rPr>
          <w:lang w:eastAsia="ja-JP"/>
        </w:rPr>
        <w:tab/>
      </w:r>
      <w:r w:rsidRPr="00AD2467">
        <w:rPr>
          <w:lang w:eastAsia="ja-JP"/>
        </w:rPr>
        <w:t>In response to this issue,</w:t>
      </w:r>
      <w:r w:rsidRPr="00420507">
        <w:t xml:space="preserve"> </w:t>
      </w:r>
      <w:r>
        <w:t>Ministry of Land, Infrastructure, Transport and Tourism</w:t>
      </w:r>
      <w:r w:rsidRPr="00AD2467">
        <w:rPr>
          <w:lang w:eastAsia="ja-JP"/>
        </w:rPr>
        <w:t>, Japan set "Working Group of Reviewing Diesel Passenger Vehicle Test Procedures for Addressing Defeat Device Issue" composed by experts of diesel emission.</w:t>
      </w:r>
      <w:r>
        <w:rPr>
          <w:lang w:eastAsia="ja-JP"/>
        </w:rPr>
        <w:t xml:space="preserve"> </w:t>
      </w:r>
      <w:r w:rsidRPr="00AD2467">
        <w:rPr>
          <w:lang w:eastAsia="ja-JP"/>
        </w:rPr>
        <w:t>The working group published a final re</w:t>
      </w:r>
      <w:r>
        <w:rPr>
          <w:lang w:eastAsia="ja-JP"/>
        </w:rPr>
        <w:t>port in April 2017 to introduce</w:t>
      </w:r>
      <w:r w:rsidRPr="00AD2467">
        <w:rPr>
          <w:lang w:eastAsia="ja-JP"/>
        </w:rPr>
        <w:t xml:space="preserve"> the real driving emissions</w:t>
      </w:r>
      <w:r>
        <w:rPr>
          <w:lang w:eastAsia="ja-JP"/>
        </w:rPr>
        <w:t xml:space="preserve"> </w:t>
      </w:r>
      <w:r w:rsidRPr="00AD2467">
        <w:rPr>
          <w:lang w:eastAsia="ja-JP"/>
        </w:rPr>
        <w:t>(RDE) test</w:t>
      </w:r>
      <w:r>
        <w:rPr>
          <w:lang w:eastAsia="ja-JP"/>
        </w:rPr>
        <w:t xml:space="preserve"> based on 3 phases WLTP</w:t>
      </w:r>
      <w:r w:rsidRPr="00AD2467">
        <w:rPr>
          <w:lang w:eastAsia="ja-JP"/>
        </w:rPr>
        <w:t>.</w:t>
      </w:r>
    </w:p>
    <w:p w:rsidR="007E2427" w:rsidRDefault="007E2427" w:rsidP="007E2427">
      <w:pPr>
        <w:spacing w:after="120"/>
        <w:ind w:left="1134" w:right="1134"/>
        <w:jc w:val="both"/>
        <w:rPr>
          <w:lang w:eastAsia="ja-JP"/>
        </w:rPr>
      </w:pPr>
      <w:r>
        <w:rPr>
          <w:lang w:eastAsia="ja-JP"/>
        </w:rPr>
        <w:t>4.</w:t>
      </w:r>
      <w:r>
        <w:rPr>
          <w:lang w:eastAsia="ja-JP"/>
        </w:rPr>
        <w:tab/>
        <w:t>The methodology was implemented in March 2018 and the Japan’s methodology</w:t>
      </w:r>
      <w:r w:rsidRPr="00E55D4C">
        <w:rPr>
          <w:lang w:eastAsia="ja-JP"/>
        </w:rPr>
        <w:t xml:space="preserve"> will contribute to the discussion of the RDE IWG.</w:t>
      </w:r>
    </w:p>
    <w:p w:rsidR="007E2427" w:rsidRPr="007E2427" w:rsidRDefault="00A53046" w:rsidP="007A532D">
      <w:pPr>
        <w:pStyle w:val="HChG"/>
      </w:pPr>
      <w:r>
        <w:tab/>
        <w:t>II.</w:t>
      </w:r>
      <w:r>
        <w:tab/>
      </w:r>
      <w:r w:rsidR="007E2427" w:rsidRPr="007E2427">
        <w:t>Description of Regulations</w:t>
      </w:r>
    </w:p>
    <w:p w:rsidR="007E2427" w:rsidRPr="007E2427" w:rsidRDefault="007E2427" w:rsidP="00A53046">
      <w:pPr>
        <w:pStyle w:val="SingleTxtG"/>
        <w:rPr>
          <w:lang w:eastAsia="ja-JP"/>
        </w:rPr>
      </w:pPr>
      <w:r w:rsidRPr="007E2427">
        <w:rPr>
          <w:lang w:eastAsia="ja-JP"/>
        </w:rPr>
        <w:t>5.</w:t>
      </w:r>
      <w:r w:rsidRPr="007E2427">
        <w:rPr>
          <w:lang w:eastAsia="ja-JP"/>
        </w:rPr>
        <w:tab/>
      </w:r>
      <w:r w:rsidRPr="007E2427">
        <w:rPr>
          <w:rFonts w:hint="eastAsia"/>
          <w:lang w:eastAsia="ja-JP"/>
        </w:rPr>
        <w:t>Outline</w:t>
      </w:r>
    </w:p>
    <w:p w:rsidR="007E2427" w:rsidRDefault="007E2427" w:rsidP="00A53046">
      <w:pPr>
        <w:spacing w:after="120"/>
        <w:ind w:left="2268" w:right="1134" w:hanging="567"/>
        <w:jc w:val="both"/>
        <w:rPr>
          <w:lang w:eastAsia="ja-JP"/>
        </w:rPr>
      </w:pPr>
      <w:r>
        <w:rPr>
          <w:rFonts w:hint="eastAsia"/>
          <w:lang w:eastAsia="ja-JP"/>
        </w:rPr>
        <w:t>(a)</w:t>
      </w:r>
      <w:r>
        <w:rPr>
          <w:lang w:eastAsia="ja-JP"/>
        </w:rPr>
        <w:tab/>
      </w:r>
      <w:r>
        <w:rPr>
          <w:rFonts w:hint="eastAsia"/>
          <w:lang w:eastAsia="ja-JP"/>
        </w:rPr>
        <w:t>Scop</w:t>
      </w:r>
      <w:r>
        <w:rPr>
          <w:lang w:eastAsia="ja-JP"/>
        </w:rPr>
        <w:t>e</w:t>
      </w:r>
    </w:p>
    <w:p w:rsidR="007E2427" w:rsidRDefault="007E2427" w:rsidP="00A53046">
      <w:pPr>
        <w:pStyle w:val="ListParagraph"/>
        <w:spacing w:after="120"/>
        <w:ind w:leftChars="0" w:left="2835" w:right="1134" w:hanging="567"/>
        <w:rPr>
          <w:sz w:val="20"/>
          <w:szCs w:val="20"/>
          <w:lang w:val="en-GB" w:eastAsia="ja-JP"/>
        </w:rPr>
      </w:pPr>
      <w:r>
        <w:rPr>
          <w:sz w:val="20"/>
          <w:szCs w:val="20"/>
          <w:lang w:val="en-GB" w:eastAsia="ja-JP"/>
        </w:rPr>
        <w:t>(</w:t>
      </w:r>
      <w:proofErr w:type="spellStart"/>
      <w:r>
        <w:rPr>
          <w:sz w:val="20"/>
          <w:szCs w:val="20"/>
          <w:lang w:val="en-GB" w:eastAsia="ja-JP"/>
        </w:rPr>
        <w:t>i</w:t>
      </w:r>
      <w:proofErr w:type="spellEnd"/>
      <w:r>
        <w:rPr>
          <w:sz w:val="20"/>
          <w:szCs w:val="20"/>
          <w:lang w:val="en-GB" w:eastAsia="ja-JP"/>
        </w:rPr>
        <w:t>)</w:t>
      </w:r>
      <w:r>
        <w:rPr>
          <w:sz w:val="20"/>
          <w:szCs w:val="20"/>
          <w:lang w:val="en-GB" w:eastAsia="ja-JP"/>
        </w:rPr>
        <w:tab/>
      </w:r>
      <w:r w:rsidRPr="007E2427">
        <w:rPr>
          <w:sz w:val="20"/>
          <w:szCs w:val="20"/>
          <w:lang w:val="en-GB" w:eastAsia="ja-JP"/>
        </w:rPr>
        <w:t>Diesel vehicles having a gross weight of 3.5 t or less</w:t>
      </w:r>
    </w:p>
    <w:p w:rsidR="007E2427" w:rsidRPr="007E2427" w:rsidRDefault="007E2427" w:rsidP="00A53046">
      <w:pPr>
        <w:pStyle w:val="ListParagraph"/>
        <w:spacing w:after="120"/>
        <w:ind w:leftChars="0" w:left="2835" w:right="1134" w:hanging="567"/>
        <w:rPr>
          <w:sz w:val="20"/>
          <w:szCs w:val="20"/>
          <w:lang w:eastAsia="ja-JP"/>
        </w:rPr>
      </w:pPr>
      <w:r>
        <w:rPr>
          <w:sz w:val="20"/>
          <w:szCs w:val="20"/>
          <w:lang w:val="en-GB" w:eastAsia="ja-JP"/>
        </w:rPr>
        <w:t>(ii)</w:t>
      </w:r>
      <w:r>
        <w:rPr>
          <w:sz w:val="20"/>
          <w:szCs w:val="20"/>
          <w:lang w:val="en-GB" w:eastAsia="ja-JP"/>
        </w:rPr>
        <w:tab/>
      </w:r>
      <w:r w:rsidRPr="007E2427">
        <w:rPr>
          <w:sz w:val="20"/>
          <w:szCs w:val="20"/>
          <w:lang w:eastAsia="ja-JP"/>
        </w:rPr>
        <w:t>Diesel powered passenger cars having a capacity of 9 or less people</w:t>
      </w:r>
    </w:p>
    <w:p w:rsidR="007E2427" w:rsidRPr="007E2427" w:rsidRDefault="007E2427" w:rsidP="00A53046">
      <w:pPr>
        <w:spacing w:after="120"/>
        <w:ind w:left="2268" w:right="1134" w:hanging="567"/>
        <w:jc w:val="both"/>
        <w:rPr>
          <w:lang w:eastAsia="ja-JP"/>
        </w:rPr>
      </w:pPr>
      <w:r w:rsidRPr="007E2427">
        <w:rPr>
          <w:rFonts w:hint="eastAsia"/>
          <w:lang w:eastAsia="ja-JP"/>
        </w:rPr>
        <w:t>(</w:t>
      </w:r>
      <w:r w:rsidRPr="007E2427">
        <w:rPr>
          <w:lang w:eastAsia="ja-JP"/>
        </w:rPr>
        <w:t>b</w:t>
      </w:r>
      <w:r w:rsidRPr="007E2427">
        <w:rPr>
          <w:rFonts w:hint="eastAsia"/>
          <w:lang w:eastAsia="ja-JP"/>
        </w:rPr>
        <w:t>)</w:t>
      </w:r>
      <w:r>
        <w:rPr>
          <w:lang w:eastAsia="ja-JP"/>
        </w:rPr>
        <w:tab/>
      </w:r>
      <w:r w:rsidRPr="007E2427">
        <w:rPr>
          <w:lang w:eastAsia="ja-JP"/>
        </w:rPr>
        <w:t>MAW (Moving Average Window) method</w:t>
      </w:r>
    </w:p>
    <w:p w:rsidR="007E2427" w:rsidRPr="007E2427" w:rsidRDefault="007E2427" w:rsidP="00A53046">
      <w:pPr>
        <w:pStyle w:val="ListParagraph"/>
        <w:spacing w:after="120"/>
        <w:ind w:leftChars="0" w:left="2268" w:right="1134"/>
        <w:rPr>
          <w:sz w:val="20"/>
          <w:szCs w:val="20"/>
          <w:lang w:eastAsia="ja-JP"/>
        </w:rPr>
      </w:pPr>
      <w:r>
        <w:rPr>
          <w:sz w:val="20"/>
          <w:szCs w:val="20"/>
          <w:lang w:val="en-GB" w:eastAsia="ja-JP"/>
        </w:rPr>
        <w:t>(</w:t>
      </w:r>
      <w:proofErr w:type="spellStart"/>
      <w:r>
        <w:rPr>
          <w:sz w:val="20"/>
          <w:szCs w:val="20"/>
          <w:lang w:val="en-GB" w:eastAsia="ja-JP"/>
        </w:rPr>
        <w:t>i</w:t>
      </w:r>
      <w:proofErr w:type="spellEnd"/>
      <w:r>
        <w:rPr>
          <w:sz w:val="20"/>
          <w:szCs w:val="20"/>
          <w:lang w:val="en-GB" w:eastAsia="ja-JP"/>
        </w:rPr>
        <w:t>)</w:t>
      </w:r>
      <w:r>
        <w:rPr>
          <w:sz w:val="20"/>
          <w:szCs w:val="20"/>
          <w:lang w:val="en-GB" w:eastAsia="ja-JP"/>
        </w:rPr>
        <w:tab/>
      </w:r>
      <w:r w:rsidRPr="007E2427">
        <w:rPr>
          <w:sz w:val="20"/>
          <w:szCs w:val="20"/>
          <w:lang w:eastAsia="ja-JP"/>
        </w:rPr>
        <w:t>Developing MAW method in align with driving condition in Japan and 3 phases WLTP.</w:t>
      </w:r>
    </w:p>
    <w:p w:rsidR="007E2427" w:rsidRPr="007E2427" w:rsidRDefault="007E2427" w:rsidP="00A53046">
      <w:pPr>
        <w:pStyle w:val="ListParagraph"/>
        <w:spacing w:after="120"/>
        <w:ind w:leftChars="0" w:left="2835" w:right="1134" w:hanging="567"/>
        <w:rPr>
          <w:sz w:val="20"/>
          <w:szCs w:val="20"/>
          <w:lang w:eastAsia="ja-JP"/>
        </w:rPr>
      </w:pPr>
      <w:r>
        <w:rPr>
          <w:sz w:val="20"/>
          <w:szCs w:val="20"/>
          <w:lang w:eastAsia="ja-JP"/>
        </w:rPr>
        <w:t>(ii)</w:t>
      </w:r>
      <w:r>
        <w:rPr>
          <w:sz w:val="20"/>
          <w:szCs w:val="20"/>
          <w:lang w:eastAsia="ja-JP"/>
        </w:rPr>
        <w:tab/>
      </w:r>
      <w:r w:rsidRPr="007E2427">
        <w:rPr>
          <w:sz w:val="20"/>
          <w:szCs w:val="20"/>
          <w:lang w:eastAsia="ja-JP"/>
        </w:rPr>
        <w:t>Threshold of speed; 35, 50 km/h</w:t>
      </w:r>
    </w:p>
    <w:p w:rsidR="007E2427" w:rsidRPr="007E2427" w:rsidRDefault="007E2427" w:rsidP="00A53046">
      <w:pPr>
        <w:pStyle w:val="ListParagraph"/>
        <w:spacing w:after="120"/>
        <w:ind w:leftChars="0" w:left="2835" w:right="1134" w:hanging="567"/>
        <w:rPr>
          <w:sz w:val="20"/>
          <w:szCs w:val="20"/>
          <w:lang w:eastAsia="ja-JP"/>
        </w:rPr>
      </w:pPr>
      <w:r>
        <w:rPr>
          <w:sz w:val="20"/>
          <w:szCs w:val="20"/>
          <w:lang w:eastAsia="ja-JP"/>
        </w:rPr>
        <w:t>(iii)</w:t>
      </w:r>
      <w:r>
        <w:rPr>
          <w:sz w:val="20"/>
          <w:szCs w:val="20"/>
          <w:lang w:eastAsia="ja-JP"/>
        </w:rPr>
        <w:tab/>
      </w:r>
      <w:r w:rsidRPr="007E2427">
        <w:rPr>
          <w:sz w:val="20"/>
          <w:szCs w:val="20"/>
          <w:lang w:eastAsia="ja-JP"/>
        </w:rPr>
        <w:t>Requirements of trip completeness; 10 %</w:t>
      </w:r>
    </w:p>
    <w:p w:rsidR="007E2427" w:rsidRPr="007E2427" w:rsidRDefault="007E2427" w:rsidP="00A53046">
      <w:pPr>
        <w:pStyle w:val="ListParagraph"/>
        <w:spacing w:after="120"/>
        <w:ind w:leftChars="0" w:left="2835" w:right="1134" w:hanging="567"/>
        <w:rPr>
          <w:sz w:val="20"/>
          <w:szCs w:val="20"/>
          <w:lang w:eastAsia="ja-JP"/>
        </w:rPr>
      </w:pPr>
      <w:r>
        <w:rPr>
          <w:sz w:val="20"/>
          <w:szCs w:val="20"/>
          <w:lang w:eastAsia="ja-JP"/>
        </w:rPr>
        <w:t>(iv)</w:t>
      </w:r>
      <w:r>
        <w:rPr>
          <w:sz w:val="20"/>
          <w:szCs w:val="20"/>
          <w:lang w:eastAsia="ja-JP"/>
        </w:rPr>
        <w:tab/>
      </w:r>
      <w:r w:rsidRPr="007E2427">
        <w:rPr>
          <w:sz w:val="20"/>
          <w:szCs w:val="20"/>
          <w:lang w:eastAsia="ja-JP"/>
        </w:rPr>
        <w:t>All CO2 compensation factors; 1.1</w:t>
      </w:r>
    </w:p>
    <w:p w:rsidR="007E2427" w:rsidRPr="007E2427" w:rsidRDefault="007E2427" w:rsidP="00A53046">
      <w:pPr>
        <w:spacing w:after="120"/>
        <w:ind w:left="2268" w:right="1134" w:hanging="567"/>
        <w:jc w:val="both"/>
        <w:rPr>
          <w:lang w:eastAsia="ja-JP"/>
        </w:rPr>
      </w:pPr>
      <w:r w:rsidRPr="007E2427">
        <w:rPr>
          <w:lang w:eastAsia="ja-JP"/>
        </w:rPr>
        <w:t>(c)</w:t>
      </w:r>
      <w:r>
        <w:rPr>
          <w:lang w:eastAsia="ja-JP"/>
        </w:rPr>
        <w:tab/>
      </w:r>
      <w:r w:rsidRPr="007E2427">
        <w:rPr>
          <w:lang w:eastAsia="ja-JP"/>
        </w:rPr>
        <w:t>CF (Conformity Factor) value</w:t>
      </w:r>
    </w:p>
    <w:p w:rsidR="007E2427" w:rsidRPr="007E2427" w:rsidRDefault="007E2427" w:rsidP="00A53046">
      <w:pPr>
        <w:pStyle w:val="ListParagraph"/>
        <w:spacing w:after="120"/>
        <w:ind w:leftChars="0" w:left="2835" w:right="1134" w:hanging="567"/>
        <w:rPr>
          <w:sz w:val="20"/>
          <w:szCs w:val="20"/>
          <w:lang w:eastAsia="ja-JP"/>
        </w:rPr>
      </w:pPr>
      <w:r>
        <w:rPr>
          <w:sz w:val="20"/>
          <w:szCs w:val="20"/>
          <w:lang w:val="en-GB" w:eastAsia="ja-JP"/>
        </w:rPr>
        <w:t>(</w:t>
      </w:r>
      <w:proofErr w:type="spellStart"/>
      <w:r>
        <w:rPr>
          <w:sz w:val="20"/>
          <w:szCs w:val="20"/>
          <w:lang w:val="en-GB" w:eastAsia="ja-JP"/>
        </w:rPr>
        <w:t>i</w:t>
      </w:r>
      <w:proofErr w:type="spellEnd"/>
      <w:r>
        <w:rPr>
          <w:sz w:val="20"/>
          <w:szCs w:val="20"/>
          <w:lang w:val="en-GB" w:eastAsia="ja-JP"/>
        </w:rPr>
        <w:t>)</w:t>
      </w:r>
      <w:r>
        <w:rPr>
          <w:sz w:val="20"/>
          <w:szCs w:val="20"/>
          <w:lang w:val="en-GB" w:eastAsia="ja-JP"/>
        </w:rPr>
        <w:tab/>
      </w:r>
      <w:r w:rsidRPr="007E2427">
        <w:rPr>
          <w:sz w:val="20"/>
          <w:szCs w:val="20"/>
          <w:lang w:eastAsia="ja-JP"/>
        </w:rPr>
        <w:t xml:space="preserve">Developing CF Value in align </w:t>
      </w:r>
      <w:r w:rsidRPr="007E2427">
        <w:rPr>
          <w:rFonts w:hint="eastAsia"/>
          <w:sz w:val="20"/>
          <w:szCs w:val="20"/>
          <w:lang w:eastAsia="ja-JP"/>
        </w:rPr>
        <w:t>with</w:t>
      </w:r>
      <w:r w:rsidRPr="007E2427">
        <w:rPr>
          <w:sz w:val="20"/>
          <w:szCs w:val="20"/>
          <w:lang w:eastAsia="ja-JP"/>
        </w:rPr>
        <w:t xml:space="preserve"> driving condition in Japan</w:t>
      </w:r>
    </w:p>
    <w:p w:rsidR="007E2427" w:rsidRPr="007E2427" w:rsidRDefault="007E2427" w:rsidP="00A53046">
      <w:pPr>
        <w:pStyle w:val="ListParagraph"/>
        <w:spacing w:after="120"/>
        <w:ind w:leftChars="0" w:left="2835" w:right="1134" w:hanging="567"/>
        <w:rPr>
          <w:sz w:val="20"/>
          <w:szCs w:val="20"/>
          <w:lang w:eastAsia="ja-JP"/>
        </w:rPr>
      </w:pPr>
      <w:r>
        <w:rPr>
          <w:sz w:val="20"/>
          <w:szCs w:val="20"/>
          <w:lang w:eastAsia="ja-JP"/>
        </w:rPr>
        <w:t>(ii)</w:t>
      </w:r>
      <w:r>
        <w:rPr>
          <w:sz w:val="20"/>
          <w:szCs w:val="20"/>
          <w:lang w:eastAsia="ja-JP"/>
        </w:rPr>
        <w:tab/>
      </w:r>
      <w:r w:rsidRPr="007E2427">
        <w:rPr>
          <w:rFonts w:hint="eastAsia"/>
          <w:sz w:val="20"/>
          <w:szCs w:val="20"/>
          <w:lang w:eastAsia="ja-JP"/>
        </w:rPr>
        <w:t>CF value; 2.0</w:t>
      </w:r>
    </w:p>
    <w:p w:rsidR="007E2427" w:rsidRPr="007E2427" w:rsidRDefault="007E2427" w:rsidP="00A53046">
      <w:pPr>
        <w:spacing w:after="120"/>
        <w:ind w:left="2268" w:right="1134" w:hanging="567"/>
        <w:jc w:val="both"/>
        <w:rPr>
          <w:lang w:eastAsia="ja-JP"/>
        </w:rPr>
      </w:pPr>
      <w:r w:rsidRPr="007E2427">
        <w:rPr>
          <w:lang w:eastAsia="ja-JP"/>
        </w:rPr>
        <w:t>(d)</w:t>
      </w:r>
      <w:r>
        <w:rPr>
          <w:lang w:eastAsia="ja-JP"/>
        </w:rPr>
        <w:tab/>
      </w:r>
      <w:r w:rsidRPr="007E2427">
        <w:rPr>
          <w:lang w:eastAsia="ja-JP"/>
        </w:rPr>
        <w:t>Other basic factors</w:t>
      </w:r>
    </w:p>
    <w:tbl>
      <w:tblPr>
        <w:tblW w:w="751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0"/>
        <w:gridCol w:w="5523"/>
      </w:tblGrid>
      <w:tr w:rsidR="007E2427" w:rsidRPr="000B7565" w:rsidTr="00A53046">
        <w:trPr>
          <w:trHeight w:val="265"/>
        </w:trPr>
        <w:tc>
          <w:tcPr>
            <w:tcW w:w="1990" w:type="dxa"/>
            <w:tcBorders>
              <w:bottom w:val="single" w:sz="12" w:space="0" w:color="auto"/>
            </w:tcBorders>
            <w:shd w:val="clear" w:color="auto" w:fill="auto"/>
            <w:vAlign w:val="center"/>
            <w:hideMark/>
          </w:tcPr>
          <w:p w:rsidR="007E2427" w:rsidRPr="000B7565" w:rsidRDefault="007E2427" w:rsidP="00A53046">
            <w:pPr>
              <w:keepNext/>
              <w:keepLines/>
              <w:spacing w:before="80" w:after="80" w:line="200" w:lineRule="exact"/>
              <w:ind w:left="142"/>
              <w:jc w:val="center"/>
              <w:rPr>
                <w:i/>
                <w:iCs/>
                <w:sz w:val="16"/>
                <w:szCs w:val="16"/>
                <w:lang w:eastAsia="ja-JP"/>
              </w:rPr>
            </w:pPr>
            <w:bookmarkStart w:id="1" w:name="_GoBack"/>
            <w:bookmarkEnd w:id="1"/>
            <w:r w:rsidRPr="000B7565">
              <w:rPr>
                <w:rFonts w:eastAsia="HGMaruGothicMPRO"/>
                <w:i/>
                <w:iCs/>
                <w:color w:val="000000"/>
                <w:kern w:val="24"/>
                <w:sz w:val="16"/>
                <w:szCs w:val="16"/>
              </w:rPr>
              <w:lastRenderedPageBreak/>
              <w:t>Measurement items</w:t>
            </w:r>
          </w:p>
        </w:tc>
        <w:tc>
          <w:tcPr>
            <w:tcW w:w="5523" w:type="dxa"/>
            <w:tcBorders>
              <w:bottom w:val="single" w:sz="12" w:space="0" w:color="auto"/>
            </w:tcBorders>
            <w:shd w:val="clear" w:color="auto" w:fill="auto"/>
            <w:vAlign w:val="center"/>
            <w:hideMark/>
          </w:tcPr>
          <w:p w:rsidR="007E2427" w:rsidRPr="000B7565" w:rsidRDefault="007E2427" w:rsidP="00A53046">
            <w:pPr>
              <w:pStyle w:val="NormalWeb"/>
              <w:keepNext/>
              <w:keepLines/>
              <w:spacing w:before="80" w:after="80" w:line="200" w:lineRule="exact"/>
              <w:rPr>
                <w:i/>
                <w:iCs/>
                <w:sz w:val="16"/>
                <w:szCs w:val="16"/>
              </w:rPr>
            </w:pPr>
            <w:r w:rsidRPr="000B7565">
              <w:rPr>
                <w:rFonts w:eastAsia="HGMaruGothicMPRO"/>
                <w:i/>
                <w:iCs/>
                <w:color w:val="000000"/>
                <w:kern w:val="24"/>
                <w:sz w:val="16"/>
                <w:szCs w:val="16"/>
              </w:rPr>
              <w:t>NOx, CO2</w:t>
            </w:r>
          </w:p>
        </w:tc>
      </w:tr>
      <w:tr w:rsidR="007E2427" w:rsidRPr="000B7565" w:rsidTr="000B7565">
        <w:trPr>
          <w:trHeight w:val="584"/>
        </w:trPr>
        <w:tc>
          <w:tcPr>
            <w:tcW w:w="1990" w:type="dxa"/>
            <w:tcBorders>
              <w:top w:val="single" w:sz="12" w:space="0" w:color="auto"/>
            </w:tcBorders>
            <w:shd w:val="clear" w:color="auto" w:fill="auto"/>
            <w:vAlign w:val="center"/>
            <w:hideMark/>
          </w:tcPr>
          <w:p w:rsidR="007E2427" w:rsidRPr="000B7565" w:rsidRDefault="007E2427" w:rsidP="00A53046">
            <w:pPr>
              <w:keepNext/>
              <w:keepLines/>
              <w:spacing w:before="40" w:after="120" w:line="220" w:lineRule="exact"/>
              <w:jc w:val="center"/>
              <w:rPr>
                <w:sz w:val="18"/>
                <w:szCs w:val="18"/>
                <w:lang w:eastAsia="ja-JP"/>
              </w:rPr>
            </w:pPr>
            <w:r w:rsidRPr="000B7565">
              <w:rPr>
                <w:rFonts w:eastAsia="HGMaruGothicMPRO"/>
                <w:color w:val="000000"/>
                <w:kern w:val="24"/>
                <w:sz w:val="18"/>
                <w:szCs w:val="18"/>
              </w:rPr>
              <w:t>Order</w:t>
            </w:r>
          </w:p>
        </w:tc>
        <w:tc>
          <w:tcPr>
            <w:tcW w:w="5523" w:type="dxa"/>
            <w:tcBorders>
              <w:top w:val="single" w:sz="12" w:space="0" w:color="auto"/>
            </w:tcBorders>
            <w:shd w:val="clear" w:color="auto" w:fill="auto"/>
            <w:vAlign w:val="center"/>
            <w:hideMark/>
          </w:tcPr>
          <w:p w:rsidR="007E2427" w:rsidRPr="000B7565" w:rsidRDefault="007E2427" w:rsidP="00A53046">
            <w:pPr>
              <w:pStyle w:val="NormalWeb"/>
              <w:keepNext/>
              <w:keepLines/>
              <w:spacing w:before="40" w:after="120" w:line="220" w:lineRule="exact"/>
              <w:ind w:left="405"/>
              <w:rPr>
                <w:sz w:val="18"/>
                <w:szCs w:val="18"/>
              </w:rPr>
            </w:pPr>
            <w:r w:rsidRPr="000B7565">
              <w:rPr>
                <w:rFonts w:eastAsia="HGMaruGothicMPRO"/>
                <w:color w:val="000000"/>
                <w:kern w:val="24"/>
                <w:sz w:val="18"/>
                <w:szCs w:val="18"/>
              </w:rPr>
              <w:t>1. Urban</w:t>
            </w:r>
          </w:p>
          <w:p w:rsidR="007E2427" w:rsidRPr="000B7565" w:rsidRDefault="007E2427" w:rsidP="00A53046">
            <w:pPr>
              <w:keepNext/>
              <w:keepLines/>
              <w:spacing w:before="40" w:after="120" w:line="220" w:lineRule="exact"/>
              <w:ind w:left="405"/>
              <w:rPr>
                <w:sz w:val="18"/>
                <w:szCs w:val="18"/>
                <w:lang w:eastAsia="ja-JP"/>
              </w:rPr>
            </w:pPr>
            <w:r w:rsidRPr="000B7565">
              <w:rPr>
                <w:rFonts w:eastAsia="HGMaruGothicMPRO"/>
                <w:color w:val="000000"/>
                <w:kern w:val="24"/>
                <w:sz w:val="18"/>
                <w:szCs w:val="18"/>
              </w:rPr>
              <w:t>2. Motorway</w:t>
            </w:r>
          </w:p>
        </w:tc>
      </w:tr>
      <w:tr w:rsidR="007E2427" w:rsidRPr="000B7565" w:rsidTr="000B7565">
        <w:trPr>
          <w:trHeight w:val="584"/>
        </w:trPr>
        <w:tc>
          <w:tcPr>
            <w:tcW w:w="1990" w:type="dxa"/>
            <w:shd w:val="clear" w:color="auto" w:fill="auto"/>
            <w:vAlign w:val="center"/>
            <w:hideMark/>
          </w:tcPr>
          <w:p w:rsidR="007E2427" w:rsidRPr="000B7565" w:rsidRDefault="007E2427" w:rsidP="00A53046">
            <w:pPr>
              <w:pStyle w:val="NormalWeb"/>
              <w:keepNext/>
              <w:keepLines/>
              <w:spacing w:before="40" w:after="120" w:line="220" w:lineRule="exact"/>
              <w:jc w:val="center"/>
              <w:rPr>
                <w:sz w:val="18"/>
                <w:szCs w:val="18"/>
              </w:rPr>
            </w:pPr>
            <w:r w:rsidRPr="000B7565">
              <w:rPr>
                <w:rFonts w:eastAsia="HGMaruGothicMPRO"/>
                <w:color w:val="000000"/>
                <w:kern w:val="24"/>
                <w:sz w:val="18"/>
                <w:szCs w:val="18"/>
              </w:rPr>
              <w:t>Stop periods (&lt;1km/h),</w:t>
            </w:r>
          </w:p>
          <w:p w:rsidR="007E2427" w:rsidRPr="000B7565" w:rsidRDefault="007E2427" w:rsidP="00A53046">
            <w:pPr>
              <w:keepNext/>
              <w:keepLines/>
              <w:spacing w:before="40" w:after="120" w:line="220" w:lineRule="exact"/>
              <w:jc w:val="center"/>
              <w:rPr>
                <w:sz w:val="18"/>
                <w:szCs w:val="18"/>
                <w:lang w:eastAsia="ja-JP"/>
              </w:rPr>
            </w:pPr>
            <w:r w:rsidRPr="000B7565">
              <w:rPr>
                <w:rFonts w:eastAsia="HGMaruGothicMPRO"/>
                <w:color w:val="000000"/>
                <w:kern w:val="24"/>
                <w:sz w:val="18"/>
                <w:szCs w:val="18"/>
              </w:rPr>
              <w:t>Low speed</w:t>
            </w:r>
          </w:p>
        </w:tc>
        <w:tc>
          <w:tcPr>
            <w:tcW w:w="5523" w:type="dxa"/>
            <w:shd w:val="clear" w:color="auto" w:fill="auto"/>
            <w:vAlign w:val="center"/>
            <w:hideMark/>
          </w:tcPr>
          <w:p w:rsidR="007E2427" w:rsidRPr="000B7565" w:rsidRDefault="007E2427" w:rsidP="00A53046">
            <w:pPr>
              <w:pStyle w:val="ListParagraph"/>
              <w:keepNext/>
              <w:keepLines/>
              <w:spacing w:before="40" w:after="120" w:line="220" w:lineRule="exact"/>
              <w:ind w:leftChars="0" w:left="405"/>
              <w:rPr>
                <w:sz w:val="18"/>
                <w:szCs w:val="18"/>
              </w:rPr>
            </w:pPr>
            <w:r w:rsidRPr="000B7565">
              <w:rPr>
                <w:rFonts w:eastAsia="HGMaruGothicMPRO"/>
                <w:color w:val="000000"/>
                <w:kern w:val="24"/>
                <w:sz w:val="18"/>
                <w:szCs w:val="18"/>
              </w:rPr>
              <w:t>No continuous 20 minutes driving with less than 20 km/h</w:t>
            </w:r>
          </w:p>
          <w:p w:rsidR="007E2427" w:rsidRPr="000B7565" w:rsidRDefault="007E2427" w:rsidP="00A53046">
            <w:pPr>
              <w:pStyle w:val="ListParagraph"/>
              <w:keepNext/>
              <w:keepLines/>
              <w:spacing w:before="40" w:after="120" w:line="220" w:lineRule="exact"/>
              <w:ind w:leftChars="0" w:left="405"/>
              <w:rPr>
                <w:sz w:val="18"/>
                <w:szCs w:val="18"/>
              </w:rPr>
            </w:pPr>
            <w:r w:rsidRPr="000B7565">
              <w:rPr>
                <w:rFonts w:eastAsia="HGMaruGothicMPRO"/>
                <w:color w:val="000000"/>
                <w:kern w:val="24"/>
                <w:sz w:val="18"/>
                <w:szCs w:val="18"/>
              </w:rPr>
              <w:t>Test shall contain several stop periods of 10 s or longer, and total stop periods is 7~36 per cent of the time duration of urban.</w:t>
            </w:r>
          </w:p>
          <w:p w:rsidR="007E2427" w:rsidRPr="000B7565" w:rsidRDefault="007E2427" w:rsidP="00A53046">
            <w:pPr>
              <w:pStyle w:val="ListParagraph"/>
              <w:keepNext/>
              <w:keepLines/>
              <w:spacing w:before="40" w:after="120" w:line="220" w:lineRule="exact"/>
              <w:ind w:leftChars="0" w:left="405"/>
              <w:rPr>
                <w:sz w:val="18"/>
                <w:szCs w:val="18"/>
              </w:rPr>
            </w:pPr>
            <w:r w:rsidRPr="000B7565">
              <w:rPr>
                <w:rFonts w:eastAsia="HGMaruGothicMPRO"/>
                <w:color w:val="000000"/>
                <w:kern w:val="24"/>
                <w:sz w:val="18"/>
                <w:szCs w:val="18"/>
              </w:rPr>
              <w:t>Every stop period doesn’t exceed 300 s</w:t>
            </w:r>
          </w:p>
        </w:tc>
      </w:tr>
      <w:tr w:rsidR="007E2427" w:rsidRPr="000B7565" w:rsidTr="000B7565">
        <w:trPr>
          <w:trHeight w:val="584"/>
        </w:trPr>
        <w:tc>
          <w:tcPr>
            <w:tcW w:w="1990" w:type="dxa"/>
            <w:shd w:val="clear" w:color="auto" w:fill="auto"/>
            <w:vAlign w:val="center"/>
            <w:hideMark/>
          </w:tcPr>
          <w:p w:rsidR="007E2427" w:rsidRPr="000B7565" w:rsidRDefault="007E2427" w:rsidP="00A53046">
            <w:pPr>
              <w:spacing w:before="40" w:after="120" w:line="220" w:lineRule="exact"/>
              <w:jc w:val="center"/>
              <w:rPr>
                <w:sz w:val="18"/>
                <w:szCs w:val="18"/>
                <w:lang w:eastAsia="ja-JP"/>
              </w:rPr>
            </w:pPr>
            <w:r w:rsidRPr="000B7565">
              <w:rPr>
                <w:rFonts w:eastAsia="HGMaruGothicMPRO"/>
                <w:color w:val="000000"/>
                <w:kern w:val="24"/>
                <w:sz w:val="18"/>
                <w:szCs w:val="18"/>
              </w:rPr>
              <w:t>Motorway</w:t>
            </w:r>
          </w:p>
        </w:tc>
        <w:tc>
          <w:tcPr>
            <w:tcW w:w="5523" w:type="dxa"/>
            <w:shd w:val="clear" w:color="auto" w:fill="auto"/>
            <w:vAlign w:val="center"/>
            <w:hideMark/>
          </w:tcPr>
          <w:p w:rsidR="007E2427" w:rsidRPr="000B7565" w:rsidRDefault="007E2427" w:rsidP="00A53046">
            <w:pPr>
              <w:pStyle w:val="ListParagraph"/>
              <w:spacing w:before="40" w:after="120" w:line="220" w:lineRule="exact"/>
              <w:ind w:leftChars="0" w:left="420"/>
              <w:rPr>
                <w:sz w:val="18"/>
                <w:szCs w:val="18"/>
                <w:lang w:eastAsia="ja-JP"/>
              </w:rPr>
            </w:pPr>
            <w:r w:rsidRPr="000B7565">
              <w:rPr>
                <w:rFonts w:eastAsia="HGMaruGothicMPRO"/>
                <w:color w:val="000000"/>
                <w:kern w:val="24"/>
                <w:sz w:val="18"/>
                <w:szCs w:val="18"/>
              </w:rPr>
              <w:t>Test shall contain more than 20 per cent of the distance of motorway with more than 80 km/h.</w:t>
            </w:r>
          </w:p>
        </w:tc>
      </w:tr>
      <w:tr w:rsidR="007E2427" w:rsidRPr="000B7565" w:rsidTr="000B7565">
        <w:trPr>
          <w:trHeight w:val="584"/>
        </w:trPr>
        <w:tc>
          <w:tcPr>
            <w:tcW w:w="1990" w:type="dxa"/>
            <w:shd w:val="clear" w:color="auto" w:fill="auto"/>
            <w:vAlign w:val="center"/>
            <w:hideMark/>
          </w:tcPr>
          <w:p w:rsidR="007E2427" w:rsidRPr="000B7565" w:rsidRDefault="007E2427" w:rsidP="00A53046">
            <w:pPr>
              <w:spacing w:before="40" w:after="120" w:line="220" w:lineRule="exact"/>
              <w:jc w:val="center"/>
              <w:rPr>
                <w:sz w:val="18"/>
                <w:szCs w:val="18"/>
                <w:lang w:eastAsia="ja-JP"/>
              </w:rPr>
            </w:pPr>
            <w:r w:rsidRPr="000B7565">
              <w:rPr>
                <w:sz w:val="18"/>
                <w:szCs w:val="18"/>
                <w:lang w:eastAsia="ja-JP"/>
              </w:rPr>
              <w:t>Time</w:t>
            </w:r>
          </w:p>
        </w:tc>
        <w:tc>
          <w:tcPr>
            <w:tcW w:w="5523" w:type="dxa"/>
            <w:shd w:val="clear" w:color="auto" w:fill="auto"/>
            <w:vAlign w:val="center"/>
            <w:hideMark/>
          </w:tcPr>
          <w:p w:rsidR="007E2427" w:rsidRPr="000B7565" w:rsidRDefault="007E2427" w:rsidP="00A53046">
            <w:pPr>
              <w:pStyle w:val="ListParagraph"/>
              <w:spacing w:before="40" w:after="120" w:line="220" w:lineRule="exact"/>
              <w:ind w:leftChars="0" w:left="420"/>
              <w:rPr>
                <w:sz w:val="18"/>
                <w:szCs w:val="18"/>
                <w:lang w:eastAsia="ja-JP"/>
              </w:rPr>
            </w:pPr>
            <w:r w:rsidRPr="000B7565">
              <w:rPr>
                <w:sz w:val="18"/>
                <w:szCs w:val="18"/>
                <w:lang w:eastAsia="ja-JP"/>
              </w:rPr>
              <w:t>90</w:t>
            </w:r>
            <w:r w:rsidRPr="000B7565">
              <w:rPr>
                <w:rFonts w:hint="eastAsia"/>
                <w:sz w:val="18"/>
                <w:szCs w:val="18"/>
                <w:lang w:eastAsia="ja-JP"/>
              </w:rPr>
              <w:t>~</w:t>
            </w:r>
            <w:r w:rsidRPr="000B7565">
              <w:rPr>
                <w:sz w:val="18"/>
                <w:szCs w:val="18"/>
                <w:lang w:eastAsia="ja-JP"/>
              </w:rPr>
              <w:t>120 min</w:t>
            </w:r>
          </w:p>
        </w:tc>
      </w:tr>
      <w:tr w:rsidR="007E2427" w:rsidRPr="000B7565" w:rsidTr="000B7565">
        <w:trPr>
          <w:trHeight w:val="584"/>
        </w:trPr>
        <w:tc>
          <w:tcPr>
            <w:tcW w:w="1990" w:type="dxa"/>
            <w:shd w:val="clear" w:color="auto" w:fill="auto"/>
            <w:vAlign w:val="center"/>
            <w:hideMark/>
          </w:tcPr>
          <w:p w:rsidR="007E2427" w:rsidRPr="000B7565" w:rsidRDefault="007E2427" w:rsidP="00A53046">
            <w:pPr>
              <w:spacing w:before="40" w:after="120" w:line="220" w:lineRule="exact"/>
              <w:jc w:val="center"/>
              <w:rPr>
                <w:sz w:val="18"/>
                <w:szCs w:val="18"/>
                <w:lang w:eastAsia="ja-JP"/>
              </w:rPr>
            </w:pPr>
            <w:r w:rsidRPr="000B7565">
              <w:rPr>
                <w:sz w:val="18"/>
                <w:szCs w:val="18"/>
                <w:lang w:eastAsia="ja-JP"/>
              </w:rPr>
              <w:t>Altitude</w:t>
            </w:r>
          </w:p>
        </w:tc>
        <w:tc>
          <w:tcPr>
            <w:tcW w:w="5523" w:type="dxa"/>
            <w:shd w:val="clear" w:color="auto" w:fill="auto"/>
            <w:vAlign w:val="center"/>
            <w:hideMark/>
          </w:tcPr>
          <w:p w:rsidR="007E2427" w:rsidRPr="000B7565" w:rsidRDefault="007E2427" w:rsidP="00A53046">
            <w:pPr>
              <w:pStyle w:val="ListParagraph"/>
              <w:spacing w:before="40" w:after="120" w:line="220" w:lineRule="exact"/>
              <w:ind w:leftChars="0" w:left="420"/>
              <w:rPr>
                <w:sz w:val="18"/>
                <w:szCs w:val="18"/>
                <w:lang w:eastAsia="ja-JP"/>
              </w:rPr>
            </w:pPr>
            <w:r w:rsidRPr="000B7565">
              <w:rPr>
                <w:sz w:val="18"/>
                <w:szCs w:val="18"/>
                <w:lang w:eastAsia="ja-JP"/>
              </w:rPr>
              <w:t>Less than 1000 m (the emissions are divided by 1.6 during higher than 700 m)</w:t>
            </w:r>
          </w:p>
        </w:tc>
      </w:tr>
      <w:tr w:rsidR="007E2427" w:rsidRPr="000B7565" w:rsidTr="000B7565">
        <w:trPr>
          <w:trHeight w:val="584"/>
        </w:trPr>
        <w:tc>
          <w:tcPr>
            <w:tcW w:w="1990" w:type="dxa"/>
            <w:shd w:val="clear" w:color="auto" w:fill="auto"/>
            <w:vAlign w:val="center"/>
          </w:tcPr>
          <w:p w:rsidR="007E2427" w:rsidRPr="000B7565" w:rsidRDefault="007E2427" w:rsidP="00A53046">
            <w:pPr>
              <w:spacing w:before="40" w:after="120" w:line="220" w:lineRule="exact"/>
              <w:jc w:val="center"/>
              <w:rPr>
                <w:sz w:val="18"/>
                <w:szCs w:val="18"/>
                <w:lang w:eastAsia="ja-JP"/>
              </w:rPr>
            </w:pPr>
            <w:r w:rsidRPr="000B7565">
              <w:rPr>
                <w:sz w:val="18"/>
                <w:szCs w:val="18"/>
                <w:lang w:eastAsia="ja-JP"/>
              </w:rPr>
              <w:t>Slope</w:t>
            </w:r>
          </w:p>
        </w:tc>
        <w:tc>
          <w:tcPr>
            <w:tcW w:w="5523" w:type="dxa"/>
            <w:shd w:val="clear" w:color="auto" w:fill="auto"/>
            <w:vAlign w:val="center"/>
          </w:tcPr>
          <w:p w:rsidR="007E2427" w:rsidRPr="000B7565" w:rsidRDefault="007E2427" w:rsidP="00A53046">
            <w:pPr>
              <w:pStyle w:val="ListParagraph"/>
              <w:spacing w:before="40" w:after="120" w:line="220" w:lineRule="exact"/>
              <w:ind w:leftChars="0" w:left="420"/>
              <w:rPr>
                <w:sz w:val="18"/>
                <w:szCs w:val="18"/>
                <w:lang w:eastAsia="ja-JP"/>
              </w:rPr>
            </w:pPr>
            <w:r w:rsidRPr="000B7565">
              <w:rPr>
                <w:sz w:val="18"/>
                <w:szCs w:val="18"/>
                <w:lang w:eastAsia="ja-JP"/>
              </w:rPr>
              <w:t xml:space="preserve">Altitude between start and </w:t>
            </w:r>
            <w:proofErr w:type="gramStart"/>
            <w:r w:rsidRPr="000B7565">
              <w:rPr>
                <w:sz w:val="18"/>
                <w:szCs w:val="18"/>
                <w:lang w:eastAsia="ja-JP"/>
              </w:rPr>
              <w:t>end point</w:t>
            </w:r>
            <w:proofErr w:type="gramEnd"/>
            <w:r w:rsidRPr="000B7565">
              <w:rPr>
                <w:sz w:val="18"/>
                <w:szCs w:val="18"/>
                <w:lang w:eastAsia="ja-JP"/>
              </w:rPr>
              <w:t xml:space="preserve"> shall not exceed 100 m</w:t>
            </w:r>
          </w:p>
          <w:p w:rsidR="007E2427" w:rsidRPr="000B7565" w:rsidRDefault="007E2427" w:rsidP="00A53046">
            <w:pPr>
              <w:pStyle w:val="ListParagraph"/>
              <w:spacing w:before="40" w:after="120" w:line="220" w:lineRule="exact"/>
              <w:ind w:leftChars="0" w:left="420"/>
              <w:rPr>
                <w:sz w:val="18"/>
                <w:szCs w:val="18"/>
                <w:lang w:eastAsia="ja-JP"/>
              </w:rPr>
            </w:pPr>
            <w:r w:rsidRPr="000B7565">
              <w:rPr>
                <w:sz w:val="18"/>
                <w:szCs w:val="18"/>
                <w:lang w:eastAsia="ja-JP"/>
              </w:rPr>
              <w:t>Cumulative positive altitude shall not exceed 1200 m/100km</w:t>
            </w:r>
          </w:p>
        </w:tc>
      </w:tr>
      <w:tr w:rsidR="007E2427" w:rsidRPr="000B7565" w:rsidTr="000B7565">
        <w:trPr>
          <w:trHeight w:val="584"/>
        </w:trPr>
        <w:tc>
          <w:tcPr>
            <w:tcW w:w="1990" w:type="dxa"/>
            <w:tcBorders>
              <w:bottom w:val="single" w:sz="4" w:space="0" w:color="auto"/>
            </w:tcBorders>
            <w:shd w:val="clear" w:color="auto" w:fill="auto"/>
            <w:vAlign w:val="center"/>
            <w:hideMark/>
          </w:tcPr>
          <w:p w:rsidR="007E2427" w:rsidRPr="000B7565" w:rsidRDefault="007E2427" w:rsidP="00A53046">
            <w:pPr>
              <w:spacing w:before="40" w:after="120" w:line="220" w:lineRule="exact"/>
              <w:jc w:val="center"/>
              <w:rPr>
                <w:sz w:val="18"/>
                <w:szCs w:val="18"/>
                <w:lang w:eastAsia="ja-JP"/>
              </w:rPr>
            </w:pPr>
            <w:r w:rsidRPr="000B7565">
              <w:rPr>
                <w:sz w:val="18"/>
                <w:szCs w:val="18"/>
                <w:lang w:eastAsia="ja-JP"/>
              </w:rPr>
              <w:t>Mass</w:t>
            </w:r>
          </w:p>
        </w:tc>
        <w:tc>
          <w:tcPr>
            <w:tcW w:w="5523" w:type="dxa"/>
            <w:tcBorders>
              <w:bottom w:val="single" w:sz="4" w:space="0" w:color="auto"/>
            </w:tcBorders>
            <w:shd w:val="clear" w:color="auto" w:fill="auto"/>
            <w:vAlign w:val="center"/>
            <w:hideMark/>
          </w:tcPr>
          <w:p w:rsidR="007E2427" w:rsidRPr="000B7565" w:rsidRDefault="007E2427" w:rsidP="00A53046">
            <w:pPr>
              <w:pStyle w:val="ListParagraph"/>
              <w:spacing w:before="40" w:after="120" w:line="220" w:lineRule="exact"/>
              <w:ind w:leftChars="0" w:left="420"/>
              <w:rPr>
                <w:sz w:val="18"/>
                <w:szCs w:val="18"/>
                <w:lang w:eastAsia="ja-JP"/>
              </w:rPr>
            </w:pPr>
            <w:proofErr w:type="spellStart"/>
            <w:r w:rsidRPr="000B7565">
              <w:rPr>
                <w:sz w:val="18"/>
                <w:szCs w:val="18"/>
                <w:lang w:eastAsia="ja-JP"/>
              </w:rPr>
              <w:t>Paymass</w:t>
            </w:r>
            <w:proofErr w:type="spellEnd"/>
            <w:r w:rsidRPr="000B7565">
              <w:rPr>
                <w:sz w:val="18"/>
                <w:szCs w:val="18"/>
                <w:lang w:eastAsia="ja-JP"/>
              </w:rPr>
              <w:t xml:space="preserve"> 90 per cent</w:t>
            </w:r>
          </w:p>
        </w:tc>
      </w:tr>
      <w:tr w:rsidR="007E2427" w:rsidRPr="000B7565" w:rsidTr="000B7565">
        <w:trPr>
          <w:trHeight w:val="584"/>
        </w:trPr>
        <w:tc>
          <w:tcPr>
            <w:tcW w:w="1990" w:type="dxa"/>
            <w:tcBorders>
              <w:bottom w:val="single" w:sz="12" w:space="0" w:color="auto"/>
            </w:tcBorders>
            <w:shd w:val="clear" w:color="auto" w:fill="auto"/>
            <w:vAlign w:val="center"/>
            <w:hideMark/>
          </w:tcPr>
          <w:p w:rsidR="007E2427" w:rsidRPr="000B7565" w:rsidRDefault="007E2427" w:rsidP="00A53046">
            <w:pPr>
              <w:spacing w:before="40" w:after="120" w:line="220" w:lineRule="exact"/>
              <w:jc w:val="center"/>
              <w:rPr>
                <w:sz w:val="18"/>
                <w:szCs w:val="18"/>
                <w:lang w:eastAsia="ja-JP"/>
              </w:rPr>
            </w:pPr>
            <w:r w:rsidRPr="000B7565">
              <w:rPr>
                <w:sz w:val="18"/>
                <w:szCs w:val="18"/>
                <w:lang w:eastAsia="ja-JP"/>
              </w:rPr>
              <w:t>Temperature</w:t>
            </w:r>
          </w:p>
        </w:tc>
        <w:tc>
          <w:tcPr>
            <w:tcW w:w="5523" w:type="dxa"/>
            <w:tcBorders>
              <w:bottom w:val="single" w:sz="12" w:space="0" w:color="auto"/>
            </w:tcBorders>
            <w:shd w:val="clear" w:color="auto" w:fill="auto"/>
            <w:vAlign w:val="center"/>
            <w:hideMark/>
          </w:tcPr>
          <w:p w:rsidR="007E2427" w:rsidRPr="000B7565" w:rsidRDefault="007E2427" w:rsidP="00A53046">
            <w:pPr>
              <w:pStyle w:val="ListParagraph"/>
              <w:spacing w:before="40" w:after="120" w:line="220" w:lineRule="exact"/>
              <w:ind w:leftChars="0" w:left="420"/>
              <w:rPr>
                <w:sz w:val="18"/>
                <w:szCs w:val="18"/>
                <w:lang w:eastAsia="ja-JP"/>
              </w:rPr>
            </w:pPr>
            <w:r w:rsidRPr="000B7565">
              <w:rPr>
                <w:sz w:val="18"/>
                <w:szCs w:val="18"/>
                <w:lang w:eastAsia="ja-JP"/>
              </w:rPr>
              <w:t>-2</w:t>
            </w:r>
            <w:r w:rsidRPr="000B7565">
              <w:rPr>
                <w:rFonts w:hint="eastAsia"/>
                <w:sz w:val="18"/>
                <w:szCs w:val="18"/>
                <w:lang w:eastAsia="ja-JP"/>
              </w:rPr>
              <w:t>~</w:t>
            </w:r>
            <w:r w:rsidRPr="000B7565">
              <w:rPr>
                <w:sz w:val="18"/>
                <w:szCs w:val="18"/>
                <w:lang w:eastAsia="ja-JP"/>
              </w:rPr>
              <w:t>38</w:t>
            </w:r>
            <w:proofErr w:type="gramStart"/>
            <w:r w:rsidRPr="000B7565">
              <w:rPr>
                <w:rFonts w:ascii="MS Mincho" w:hAnsi="MS Mincho" w:cs="MS Mincho" w:hint="eastAsia"/>
                <w:sz w:val="18"/>
                <w:szCs w:val="18"/>
                <w:lang w:eastAsia="ja-JP"/>
              </w:rPr>
              <w:t>℃</w:t>
            </w:r>
            <w:r w:rsidRPr="000B7565">
              <w:rPr>
                <w:sz w:val="18"/>
                <w:szCs w:val="18"/>
                <w:lang w:eastAsia="ja-JP"/>
              </w:rPr>
              <w:t>(</w:t>
            </w:r>
            <w:proofErr w:type="gramEnd"/>
            <w:r w:rsidRPr="000B7565">
              <w:rPr>
                <w:sz w:val="18"/>
                <w:szCs w:val="18"/>
                <w:lang w:eastAsia="ja-JP"/>
              </w:rPr>
              <w:t>the emissions are divided by 1.6 during -2</w:t>
            </w:r>
            <w:r w:rsidRPr="000B7565">
              <w:rPr>
                <w:rFonts w:hint="eastAsia"/>
                <w:sz w:val="18"/>
                <w:szCs w:val="18"/>
                <w:lang w:eastAsia="ja-JP"/>
              </w:rPr>
              <w:t>~</w:t>
            </w:r>
            <w:r w:rsidRPr="000B7565">
              <w:rPr>
                <w:sz w:val="18"/>
                <w:szCs w:val="18"/>
                <w:lang w:eastAsia="ja-JP"/>
              </w:rPr>
              <w:t>0</w:t>
            </w:r>
            <w:r w:rsidRPr="000B7565">
              <w:rPr>
                <w:rFonts w:ascii="MS Mincho" w:hAnsi="MS Mincho" w:cs="MS Mincho" w:hint="eastAsia"/>
                <w:sz w:val="18"/>
                <w:szCs w:val="18"/>
                <w:lang w:eastAsia="ja-JP"/>
              </w:rPr>
              <w:t>℃</w:t>
            </w:r>
            <w:r w:rsidRPr="000B7565">
              <w:rPr>
                <w:sz w:val="18"/>
                <w:szCs w:val="18"/>
                <w:lang w:eastAsia="ja-JP"/>
              </w:rPr>
              <w:t>, 35</w:t>
            </w:r>
            <w:r w:rsidRPr="000B7565">
              <w:rPr>
                <w:rFonts w:hint="eastAsia"/>
                <w:sz w:val="18"/>
                <w:szCs w:val="18"/>
                <w:lang w:eastAsia="ja-JP"/>
              </w:rPr>
              <w:t>~</w:t>
            </w:r>
            <w:r w:rsidRPr="000B7565">
              <w:rPr>
                <w:sz w:val="18"/>
                <w:szCs w:val="18"/>
                <w:lang w:eastAsia="ja-JP"/>
              </w:rPr>
              <w:t>38</w:t>
            </w:r>
            <w:r w:rsidRPr="000B7565">
              <w:rPr>
                <w:rFonts w:ascii="MS Mincho" w:hAnsi="MS Mincho" w:cs="MS Mincho" w:hint="eastAsia"/>
                <w:sz w:val="18"/>
                <w:szCs w:val="18"/>
                <w:lang w:eastAsia="ja-JP"/>
              </w:rPr>
              <w:t>℃</w:t>
            </w:r>
            <w:r w:rsidRPr="000B7565">
              <w:rPr>
                <w:sz w:val="18"/>
                <w:szCs w:val="18"/>
                <w:lang w:eastAsia="ja-JP"/>
              </w:rPr>
              <w:t>)</w:t>
            </w:r>
          </w:p>
        </w:tc>
      </w:tr>
    </w:tbl>
    <w:p w:rsidR="007E2427" w:rsidRPr="007E2427" w:rsidRDefault="00A53046" w:rsidP="007A532D">
      <w:pPr>
        <w:pStyle w:val="HChG"/>
      </w:pPr>
      <w:r>
        <w:tab/>
        <w:t>III.</w:t>
      </w:r>
      <w:r>
        <w:tab/>
      </w:r>
      <w:r w:rsidR="007E2427" w:rsidRPr="007E2427">
        <w:t>Related documents</w:t>
      </w:r>
    </w:p>
    <w:p w:rsidR="00D93C71" w:rsidRDefault="007E2427" w:rsidP="00A53046">
      <w:pPr>
        <w:pStyle w:val="SingleTxtG"/>
      </w:pPr>
      <w:r>
        <w:t>6.</w:t>
      </w:r>
      <w:r>
        <w:tab/>
        <w:t>Attachments 119 “TECHNICAL STANDARD FOR THE EMISSON FROM DIESEL LIGHT DUTY VEHICLES DURING REAL DRIVING” to the Announcement that Prescribes Details of Safety Regulations for Road Vehicles (Ministry of Land, Infrastructure, Transport and Tourism Announcement No. 619 of July 15, 2002)</w:t>
      </w:r>
    </w:p>
    <w:p w:rsidR="00A53046" w:rsidRPr="00A53046" w:rsidRDefault="00A53046" w:rsidP="00A53046">
      <w:pPr>
        <w:pStyle w:val="SingleTxtG"/>
        <w:spacing w:before="240" w:after="0"/>
        <w:jc w:val="center"/>
        <w:rPr>
          <w:u w:val="single"/>
        </w:rPr>
      </w:pPr>
      <w:r>
        <w:rPr>
          <w:u w:val="single"/>
        </w:rPr>
        <w:tab/>
      </w:r>
      <w:r>
        <w:rPr>
          <w:u w:val="single"/>
        </w:rPr>
        <w:tab/>
      </w:r>
      <w:r>
        <w:rPr>
          <w:u w:val="single"/>
        </w:rPr>
        <w:tab/>
      </w:r>
    </w:p>
    <w:sectPr w:rsidR="00A53046" w:rsidRPr="00A53046" w:rsidSect="004B6F05">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EBC" w:rsidRDefault="00EA0EBC"/>
  </w:endnote>
  <w:endnote w:type="continuationSeparator" w:id="0">
    <w:p w:rsidR="00EA0EBC" w:rsidRDefault="00EA0EBC"/>
  </w:endnote>
  <w:endnote w:type="continuationNotice" w:id="1">
    <w:p w:rsidR="00EA0EBC" w:rsidRDefault="00EA0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MaruGothicMPRO">
    <w:charset w:val="80"/>
    <w:family w:val="swiss"/>
    <w:pitch w:val="variable"/>
    <w:sig w:usb0="E00002FF" w:usb1="6AC7FDFB"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18" w:rsidRPr="002475AB" w:rsidRDefault="00F77418" w:rsidP="002475AB">
    <w:pPr>
      <w:pStyle w:val="Footer"/>
      <w:tabs>
        <w:tab w:val="right" w:pos="9638"/>
      </w:tabs>
      <w:rPr>
        <w:sz w:val="18"/>
      </w:rPr>
    </w:pPr>
    <w:r w:rsidRPr="002475AB">
      <w:rPr>
        <w:b/>
        <w:sz w:val="18"/>
      </w:rPr>
      <w:fldChar w:fldCharType="begin"/>
    </w:r>
    <w:r w:rsidRPr="002475AB">
      <w:rPr>
        <w:b/>
        <w:sz w:val="18"/>
      </w:rPr>
      <w:instrText xml:space="preserve"> PAGE  \* MERGEFORMAT </w:instrText>
    </w:r>
    <w:r w:rsidRPr="002475AB">
      <w:rPr>
        <w:b/>
        <w:sz w:val="18"/>
      </w:rPr>
      <w:fldChar w:fldCharType="separate"/>
    </w:r>
    <w:r w:rsidR="00060125">
      <w:rPr>
        <w:b/>
        <w:noProof/>
        <w:sz w:val="18"/>
      </w:rPr>
      <w:t>2</w:t>
    </w:r>
    <w:r w:rsidRPr="002475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18" w:rsidRPr="002475AB" w:rsidRDefault="00F77418" w:rsidP="002475AB">
    <w:pPr>
      <w:pStyle w:val="Footer"/>
      <w:tabs>
        <w:tab w:val="right" w:pos="9638"/>
      </w:tabs>
      <w:rPr>
        <w:b/>
        <w:sz w:val="18"/>
      </w:rPr>
    </w:pPr>
    <w:r>
      <w:tab/>
    </w:r>
    <w:r w:rsidRPr="002475AB">
      <w:rPr>
        <w:b/>
        <w:sz w:val="18"/>
      </w:rPr>
      <w:fldChar w:fldCharType="begin"/>
    </w:r>
    <w:r w:rsidRPr="002475AB">
      <w:rPr>
        <w:b/>
        <w:sz w:val="18"/>
      </w:rPr>
      <w:instrText xml:space="preserve"> PAGE  \* MERGEFORMAT </w:instrText>
    </w:r>
    <w:r w:rsidRPr="002475AB">
      <w:rPr>
        <w:b/>
        <w:sz w:val="18"/>
      </w:rPr>
      <w:fldChar w:fldCharType="separate"/>
    </w:r>
    <w:r w:rsidR="00060125">
      <w:rPr>
        <w:b/>
        <w:noProof/>
        <w:sz w:val="18"/>
      </w:rPr>
      <w:t>3</w:t>
    </w:r>
    <w:r w:rsidRPr="002475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EBC" w:rsidRPr="000B175B" w:rsidRDefault="00EA0EBC" w:rsidP="000B175B">
      <w:pPr>
        <w:tabs>
          <w:tab w:val="right" w:pos="2155"/>
        </w:tabs>
        <w:spacing w:after="80"/>
        <w:ind w:left="680"/>
        <w:rPr>
          <w:u w:val="single"/>
        </w:rPr>
      </w:pPr>
      <w:r>
        <w:rPr>
          <w:u w:val="single"/>
        </w:rPr>
        <w:tab/>
      </w:r>
    </w:p>
  </w:footnote>
  <w:footnote w:type="continuationSeparator" w:id="0">
    <w:p w:rsidR="00EA0EBC" w:rsidRPr="00FC68B7" w:rsidRDefault="00EA0EBC" w:rsidP="00FC68B7">
      <w:pPr>
        <w:tabs>
          <w:tab w:val="left" w:pos="2155"/>
        </w:tabs>
        <w:spacing w:after="80"/>
        <w:ind w:left="680"/>
        <w:rPr>
          <w:u w:val="single"/>
        </w:rPr>
      </w:pPr>
      <w:r>
        <w:rPr>
          <w:u w:val="single"/>
        </w:rPr>
        <w:tab/>
      </w:r>
    </w:p>
  </w:footnote>
  <w:footnote w:type="continuationNotice" w:id="1">
    <w:p w:rsidR="00EA0EBC" w:rsidRDefault="00EA0EBC"/>
  </w:footnote>
  <w:footnote w:id="2">
    <w:p w:rsidR="00F77418" w:rsidRPr="00132CDD" w:rsidRDefault="00F77418" w:rsidP="000647E2">
      <w:pPr>
        <w:pStyle w:val="FootnoteText"/>
      </w:pPr>
      <w:r>
        <w:tab/>
      </w:r>
      <w:r w:rsidRPr="002545EE">
        <w:rPr>
          <w:rStyle w:val="FootnoteReference"/>
          <w:sz w:val="20"/>
          <w:vertAlign w:val="baseline"/>
        </w:rPr>
        <w:t>*</w:t>
      </w:r>
      <w:r>
        <w:rPr>
          <w:sz w:val="20"/>
        </w:rPr>
        <w:tab/>
      </w:r>
      <w:r w:rsidR="00474896">
        <w:rPr>
          <w:szCs w:val="18"/>
          <w:lang w:val="en-US"/>
        </w:rPr>
        <w:t xml:space="preserve">In accordance with the </w:t>
      </w:r>
      <w:proofErr w:type="spellStart"/>
      <w:r w:rsidR="00474896">
        <w:rPr>
          <w:szCs w:val="18"/>
          <w:lang w:val="en-US"/>
        </w:rPr>
        <w:t>programme</w:t>
      </w:r>
      <w:proofErr w:type="spellEnd"/>
      <w:r w:rsidR="00474896">
        <w:rPr>
          <w:szCs w:val="18"/>
          <w:lang w:val="en-US"/>
        </w:rPr>
        <w:t xml:space="preserve"> of work of the Inland Transport Committee for </w:t>
      </w:r>
      <w:r w:rsidR="00474896" w:rsidRPr="00474896">
        <w:rPr>
          <w:rFonts w:eastAsia="DengXian"/>
          <w:lang w:val="en-US"/>
        </w:rPr>
        <w:t>2018–2019 (ECE/TRANS/274, para. 123 and ECE/TRANS/2018/21</w:t>
      </w:r>
      <w:r w:rsidR="00A53046">
        <w:rPr>
          <w:rFonts w:eastAsia="DengXian"/>
          <w:lang w:val="en-US"/>
        </w:rPr>
        <w:t>/Add.1</w:t>
      </w:r>
      <w:r w:rsidR="00474896" w:rsidRPr="00474896">
        <w:rPr>
          <w:rFonts w:eastAsia="DengXian"/>
          <w:lang w:val="en-US"/>
        </w:rPr>
        <w:t>, Cluster 3</w:t>
      </w:r>
      <w:r w:rsidR="00A53046">
        <w:rPr>
          <w:rFonts w:eastAsia="DengXian"/>
          <w:lang w:val="en-US"/>
        </w:rPr>
        <w:t>.1</w:t>
      </w:r>
      <w:r w:rsidR="00474896" w:rsidRPr="00474896">
        <w:rPr>
          <w:rFonts w:eastAsia="DengXian"/>
          <w:lang w:val="en-US"/>
        </w:rPr>
        <w:t>)</w:t>
      </w:r>
      <w:r w:rsidR="00474896">
        <w:rPr>
          <w:szCs w:val="18"/>
          <w:lang w:val="en-US"/>
        </w:rPr>
        <w:t xml:space="preserve">, the World Forum will develop, harmonize and update UN Regulations </w:t>
      </w:r>
      <w:proofErr w:type="gramStart"/>
      <w:r w:rsidR="00474896">
        <w:rPr>
          <w:szCs w:val="18"/>
          <w:lang w:val="en-US"/>
        </w:rPr>
        <w:t>in order to</w:t>
      </w:r>
      <w:proofErr w:type="gramEnd"/>
      <w:r w:rsidR="00474896">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18" w:rsidRPr="002475AB" w:rsidRDefault="00132CDD">
    <w:pPr>
      <w:pStyle w:val="Header"/>
    </w:pPr>
    <w:r>
      <w:t>ECE/TRANS/WP.29/2018</w:t>
    </w:r>
    <w:r w:rsidR="00F77418">
      <w:t>/</w:t>
    </w:r>
    <w:r w:rsidR="000722B2">
      <w:t>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18" w:rsidRPr="002475AB" w:rsidRDefault="00F77418" w:rsidP="002475AB">
    <w:pPr>
      <w:pStyle w:val="Header"/>
      <w:jc w:val="right"/>
    </w:pPr>
    <w:r>
      <w:t>ECE/TRANS/WP.29/201</w:t>
    </w:r>
    <w:r w:rsidR="00527DDC">
      <w:t>8</w:t>
    </w:r>
    <w:r>
      <w:t>/</w:t>
    </w:r>
    <w:r w:rsidR="000722B2">
      <w:t>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4B5F4A"/>
    <w:multiLevelType w:val="hybridMultilevel"/>
    <w:tmpl w:val="04FCA3CE"/>
    <w:lvl w:ilvl="0" w:tplc="97028E62">
      <w:start w:val="1"/>
      <w:numFmt w:val="bullet"/>
      <w:lvlText w:val=""/>
      <w:lvlJc w:val="left"/>
      <w:pPr>
        <w:ind w:left="420" w:hanging="420"/>
      </w:pPr>
      <w:rPr>
        <w:rFonts w:ascii="Symbol" w:hAnsi="Symbol"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701875"/>
    <w:multiLevelType w:val="hybridMultilevel"/>
    <w:tmpl w:val="4A3072E2"/>
    <w:lvl w:ilvl="0" w:tplc="6832A56A">
      <w:numFmt w:val="bullet"/>
      <w:lvlText w:val=""/>
      <w:lvlJc w:val="left"/>
      <w:pPr>
        <w:ind w:left="158" w:hanging="420"/>
      </w:pPr>
      <w:rPr>
        <w:rFonts w:ascii="Symbol" w:eastAsia="Times New Roman" w:hAnsi="Symbol" w:cs="Times New Roman" w:hint="default"/>
        <w:sz w:val="16"/>
      </w:rPr>
    </w:lvl>
    <w:lvl w:ilvl="1" w:tplc="0409000B" w:tentative="1">
      <w:start w:val="1"/>
      <w:numFmt w:val="bullet"/>
      <w:lvlText w:val=""/>
      <w:lvlJc w:val="left"/>
      <w:pPr>
        <w:ind w:left="578" w:hanging="420"/>
      </w:pPr>
      <w:rPr>
        <w:rFonts w:ascii="Wingdings" w:hAnsi="Wingdings" w:hint="default"/>
      </w:rPr>
    </w:lvl>
    <w:lvl w:ilvl="2" w:tplc="0409000D" w:tentative="1">
      <w:start w:val="1"/>
      <w:numFmt w:val="bullet"/>
      <w:lvlText w:val=""/>
      <w:lvlJc w:val="left"/>
      <w:pPr>
        <w:ind w:left="998" w:hanging="420"/>
      </w:pPr>
      <w:rPr>
        <w:rFonts w:ascii="Wingdings" w:hAnsi="Wingdings" w:hint="default"/>
      </w:rPr>
    </w:lvl>
    <w:lvl w:ilvl="3" w:tplc="04090001" w:tentative="1">
      <w:start w:val="1"/>
      <w:numFmt w:val="bullet"/>
      <w:lvlText w:val=""/>
      <w:lvlJc w:val="left"/>
      <w:pPr>
        <w:ind w:left="1418" w:hanging="420"/>
      </w:pPr>
      <w:rPr>
        <w:rFonts w:ascii="Wingdings" w:hAnsi="Wingdings" w:hint="default"/>
      </w:rPr>
    </w:lvl>
    <w:lvl w:ilvl="4" w:tplc="0409000B" w:tentative="1">
      <w:start w:val="1"/>
      <w:numFmt w:val="bullet"/>
      <w:lvlText w:val=""/>
      <w:lvlJc w:val="left"/>
      <w:pPr>
        <w:ind w:left="1838" w:hanging="420"/>
      </w:pPr>
      <w:rPr>
        <w:rFonts w:ascii="Wingdings" w:hAnsi="Wingdings" w:hint="default"/>
      </w:rPr>
    </w:lvl>
    <w:lvl w:ilvl="5" w:tplc="0409000D" w:tentative="1">
      <w:start w:val="1"/>
      <w:numFmt w:val="bullet"/>
      <w:lvlText w:val=""/>
      <w:lvlJc w:val="left"/>
      <w:pPr>
        <w:ind w:left="2258" w:hanging="420"/>
      </w:pPr>
      <w:rPr>
        <w:rFonts w:ascii="Wingdings" w:hAnsi="Wingdings" w:hint="default"/>
      </w:rPr>
    </w:lvl>
    <w:lvl w:ilvl="6" w:tplc="04090001" w:tentative="1">
      <w:start w:val="1"/>
      <w:numFmt w:val="bullet"/>
      <w:lvlText w:val=""/>
      <w:lvlJc w:val="left"/>
      <w:pPr>
        <w:ind w:left="2678" w:hanging="420"/>
      </w:pPr>
      <w:rPr>
        <w:rFonts w:ascii="Wingdings" w:hAnsi="Wingdings" w:hint="default"/>
      </w:rPr>
    </w:lvl>
    <w:lvl w:ilvl="7" w:tplc="0409000B" w:tentative="1">
      <w:start w:val="1"/>
      <w:numFmt w:val="bullet"/>
      <w:lvlText w:val=""/>
      <w:lvlJc w:val="left"/>
      <w:pPr>
        <w:ind w:left="3098" w:hanging="420"/>
      </w:pPr>
      <w:rPr>
        <w:rFonts w:ascii="Wingdings" w:hAnsi="Wingdings" w:hint="default"/>
      </w:rPr>
    </w:lvl>
    <w:lvl w:ilvl="8" w:tplc="0409000D" w:tentative="1">
      <w:start w:val="1"/>
      <w:numFmt w:val="bullet"/>
      <w:lvlText w:val=""/>
      <w:lvlJc w:val="left"/>
      <w:pPr>
        <w:ind w:left="3518" w:hanging="420"/>
      </w:pPr>
      <w:rPr>
        <w:rFonts w:ascii="Wingdings" w:hAnsi="Wingding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586C31"/>
    <w:multiLevelType w:val="hybridMultilevel"/>
    <w:tmpl w:val="98C433AA"/>
    <w:lvl w:ilvl="0" w:tplc="97028E62">
      <w:start w:val="1"/>
      <w:numFmt w:val="bullet"/>
      <w:lvlText w:val=""/>
      <w:lvlJc w:val="left"/>
      <w:pPr>
        <w:ind w:left="420" w:hanging="420"/>
      </w:pPr>
      <w:rPr>
        <w:rFonts w:ascii="Symbol" w:hAnsi="Symbol"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91E2141"/>
    <w:multiLevelType w:val="hybridMultilevel"/>
    <w:tmpl w:val="70AE4A20"/>
    <w:lvl w:ilvl="0" w:tplc="97028E62">
      <w:start w:val="1"/>
      <w:numFmt w:val="bullet"/>
      <w:lvlText w:val=""/>
      <w:lvlJc w:val="left"/>
      <w:pPr>
        <w:ind w:left="703" w:hanging="420"/>
      </w:pPr>
      <w:rPr>
        <w:rFonts w:ascii="Symbol" w:hAnsi="Symbol" w:hint="default"/>
        <w:sz w:val="16"/>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8" w15:restartNumberingAfterBreak="0">
    <w:nsid w:val="4D7533C8"/>
    <w:multiLevelType w:val="hybridMultilevel"/>
    <w:tmpl w:val="9D16FF1E"/>
    <w:lvl w:ilvl="0" w:tplc="97028E62">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7596D"/>
    <w:multiLevelType w:val="hybridMultilevel"/>
    <w:tmpl w:val="FCD62350"/>
    <w:lvl w:ilvl="0" w:tplc="97028E62">
      <w:start w:val="1"/>
      <w:numFmt w:val="bullet"/>
      <w:lvlText w:val=""/>
      <w:lvlJc w:val="left"/>
      <w:pPr>
        <w:ind w:left="420" w:hanging="420"/>
      </w:pPr>
      <w:rPr>
        <w:rFonts w:ascii="Symbol" w:hAnsi="Symbol"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6C03F9"/>
    <w:multiLevelType w:val="hybridMultilevel"/>
    <w:tmpl w:val="74F69544"/>
    <w:lvl w:ilvl="0" w:tplc="97028E62">
      <w:start w:val="1"/>
      <w:numFmt w:val="bullet"/>
      <w:lvlText w:val=""/>
      <w:lvlJc w:val="left"/>
      <w:pPr>
        <w:ind w:left="420" w:hanging="420"/>
      </w:pPr>
      <w:rPr>
        <w:rFonts w:ascii="Symbol" w:hAnsi="Symbol"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C740B68"/>
    <w:multiLevelType w:val="hybridMultilevel"/>
    <w:tmpl w:val="55BEBE58"/>
    <w:lvl w:ilvl="0" w:tplc="97028E62">
      <w:start w:val="1"/>
      <w:numFmt w:val="bullet"/>
      <w:lvlText w:val=""/>
      <w:lvlJc w:val="left"/>
      <w:pPr>
        <w:ind w:left="703" w:hanging="420"/>
      </w:pPr>
      <w:rPr>
        <w:rFonts w:ascii="Symbol" w:hAnsi="Symbol" w:hint="default"/>
        <w:sz w:val="16"/>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314CC4"/>
    <w:multiLevelType w:val="hybridMultilevel"/>
    <w:tmpl w:val="67ACCBBE"/>
    <w:lvl w:ilvl="0" w:tplc="97028E62">
      <w:start w:val="1"/>
      <w:numFmt w:val="bullet"/>
      <w:lvlText w:val=""/>
      <w:lvlJc w:val="left"/>
      <w:pPr>
        <w:ind w:left="420" w:hanging="420"/>
      </w:pPr>
      <w:rPr>
        <w:rFonts w:ascii="Symbol" w:hAnsi="Symbol"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2"/>
  </w:num>
  <w:num w:numId="13">
    <w:abstractNumId w:val="11"/>
  </w:num>
  <w:num w:numId="14">
    <w:abstractNumId w:val="24"/>
  </w:num>
  <w:num w:numId="15">
    <w:abstractNumId w:val="25"/>
  </w:num>
  <w:num w:numId="16">
    <w:abstractNumId w:val="10"/>
  </w:num>
  <w:num w:numId="17">
    <w:abstractNumId w:val="15"/>
  </w:num>
  <w:num w:numId="18">
    <w:abstractNumId w:val="18"/>
  </w:num>
  <w:num w:numId="19">
    <w:abstractNumId w:val="23"/>
  </w:num>
  <w:num w:numId="20">
    <w:abstractNumId w:val="16"/>
  </w:num>
  <w:num w:numId="21">
    <w:abstractNumId w:val="14"/>
  </w:num>
  <w:num w:numId="22">
    <w:abstractNumId w:val="20"/>
  </w:num>
  <w:num w:numId="23">
    <w:abstractNumId w:val="19"/>
  </w:num>
  <w:num w:numId="24">
    <w:abstractNumId w:val="17"/>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5AB"/>
    <w:rsid w:val="00046B1F"/>
    <w:rsid w:val="00050F6B"/>
    <w:rsid w:val="00052635"/>
    <w:rsid w:val="00057E97"/>
    <w:rsid w:val="00060125"/>
    <w:rsid w:val="000646F4"/>
    <w:rsid w:val="000647E2"/>
    <w:rsid w:val="000722B2"/>
    <w:rsid w:val="00072C8C"/>
    <w:rsid w:val="000733B5"/>
    <w:rsid w:val="00081815"/>
    <w:rsid w:val="000931C0"/>
    <w:rsid w:val="000B0595"/>
    <w:rsid w:val="000B175B"/>
    <w:rsid w:val="000B2F02"/>
    <w:rsid w:val="000B3A0F"/>
    <w:rsid w:val="000B4EF7"/>
    <w:rsid w:val="000B7565"/>
    <w:rsid w:val="000B783A"/>
    <w:rsid w:val="000C2C03"/>
    <w:rsid w:val="000C2D2E"/>
    <w:rsid w:val="000E0415"/>
    <w:rsid w:val="001103AA"/>
    <w:rsid w:val="0011666B"/>
    <w:rsid w:val="00127C56"/>
    <w:rsid w:val="00127D23"/>
    <w:rsid w:val="00132CDD"/>
    <w:rsid w:val="00144615"/>
    <w:rsid w:val="00156804"/>
    <w:rsid w:val="00165F3A"/>
    <w:rsid w:val="00182290"/>
    <w:rsid w:val="001A3955"/>
    <w:rsid w:val="001A569C"/>
    <w:rsid w:val="001B4B04"/>
    <w:rsid w:val="001C63D2"/>
    <w:rsid w:val="001C6663"/>
    <w:rsid w:val="001C7895"/>
    <w:rsid w:val="001D0C8C"/>
    <w:rsid w:val="001D1419"/>
    <w:rsid w:val="001D26DF"/>
    <w:rsid w:val="001D3A03"/>
    <w:rsid w:val="001E7B67"/>
    <w:rsid w:val="00202DA8"/>
    <w:rsid w:val="00211E0B"/>
    <w:rsid w:val="002475AB"/>
    <w:rsid w:val="0024772E"/>
    <w:rsid w:val="00267F5F"/>
    <w:rsid w:val="00286B4D"/>
    <w:rsid w:val="002D4643"/>
    <w:rsid w:val="002F175C"/>
    <w:rsid w:val="002F7DE0"/>
    <w:rsid w:val="00302E18"/>
    <w:rsid w:val="003229D8"/>
    <w:rsid w:val="00352709"/>
    <w:rsid w:val="00357638"/>
    <w:rsid w:val="003619B5"/>
    <w:rsid w:val="00361AC3"/>
    <w:rsid w:val="00365763"/>
    <w:rsid w:val="00371178"/>
    <w:rsid w:val="00392E47"/>
    <w:rsid w:val="003A6810"/>
    <w:rsid w:val="003C2CC4"/>
    <w:rsid w:val="003C534D"/>
    <w:rsid w:val="003D4B23"/>
    <w:rsid w:val="003E130E"/>
    <w:rsid w:val="003F61F2"/>
    <w:rsid w:val="00410C89"/>
    <w:rsid w:val="00422E03"/>
    <w:rsid w:val="00426B9B"/>
    <w:rsid w:val="004325CB"/>
    <w:rsid w:val="00442A83"/>
    <w:rsid w:val="0045495B"/>
    <w:rsid w:val="004561E5"/>
    <w:rsid w:val="00474896"/>
    <w:rsid w:val="0048397A"/>
    <w:rsid w:val="00485CBB"/>
    <w:rsid w:val="004866B7"/>
    <w:rsid w:val="004A4D97"/>
    <w:rsid w:val="004B6F05"/>
    <w:rsid w:val="004C2461"/>
    <w:rsid w:val="004C7462"/>
    <w:rsid w:val="004E68C9"/>
    <w:rsid w:val="004E77B2"/>
    <w:rsid w:val="00504B2D"/>
    <w:rsid w:val="0052136D"/>
    <w:rsid w:val="0052775E"/>
    <w:rsid w:val="00527DDC"/>
    <w:rsid w:val="005420F2"/>
    <w:rsid w:val="0056209A"/>
    <w:rsid w:val="005628B6"/>
    <w:rsid w:val="005941EC"/>
    <w:rsid w:val="0059724D"/>
    <w:rsid w:val="00597355"/>
    <w:rsid w:val="005B320C"/>
    <w:rsid w:val="005B3DB3"/>
    <w:rsid w:val="005B4E13"/>
    <w:rsid w:val="005C342F"/>
    <w:rsid w:val="005C7D1E"/>
    <w:rsid w:val="005F7B75"/>
    <w:rsid w:val="006001EE"/>
    <w:rsid w:val="00605042"/>
    <w:rsid w:val="00611FC4"/>
    <w:rsid w:val="006176FB"/>
    <w:rsid w:val="00640B26"/>
    <w:rsid w:val="00652D0A"/>
    <w:rsid w:val="00654D3D"/>
    <w:rsid w:val="00662BB6"/>
    <w:rsid w:val="00671B51"/>
    <w:rsid w:val="0067362F"/>
    <w:rsid w:val="00676606"/>
    <w:rsid w:val="00677965"/>
    <w:rsid w:val="00684C21"/>
    <w:rsid w:val="006A2530"/>
    <w:rsid w:val="006C3589"/>
    <w:rsid w:val="006D37AF"/>
    <w:rsid w:val="006D3896"/>
    <w:rsid w:val="006D51D0"/>
    <w:rsid w:val="006D5FB9"/>
    <w:rsid w:val="006D658E"/>
    <w:rsid w:val="006E564B"/>
    <w:rsid w:val="006E7191"/>
    <w:rsid w:val="00703577"/>
    <w:rsid w:val="00705894"/>
    <w:rsid w:val="007129A7"/>
    <w:rsid w:val="0072632A"/>
    <w:rsid w:val="007327D5"/>
    <w:rsid w:val="007629C8"/>
    <w:rsid w:val="0077047D"/>
    <w:rsid w:val="00792911"/>
    <w:rsid w:val="007A532D"/>
    <w:rsid w:val="007B37BC"/>
    <w:rsid w:val="007B6BA5"/>
    <w:rsid w:val="007C1D4D"/>
    <w:rsid w:val="007C3390"/>
    <w:rsid w:val="007C4F4B"/>
    <w:rsid w:val="007C76A7"/>
    <w:rsid w:val="007E01E9"/>
    <w:rsid w:val="007E2427"/>
    <w:rsid w:val="007E63F3"/>
    <w:rsid w:val="007F6611"/>
    <w:rsid w:val="00811920"/>
    <w:rsid w:val="00815AD0"/>
    <w:rsid w:val="00815EDB"/>
    <w:rsid w:val="008242D7"/>
    <w:rsid w:val="008257B1"/>
    <w:rsid w:val="00832334"/>
    <w:rsid w:val="00843767"/>
    <w:rsid w:val="0086371E"/>
    <w:rsid w:val="008679D9"/>
    <w:rsid w:val="0087490E"/>
    <w:rsid w:val="008878DE"/>
    <w:rsid w:val="008937C0"/>
    <w:rsid w:val="008979B1"/>
    <w:rsid w:val="008A1ED5"/>
    <w:rsid w:val="008A6B25"/>
    <w:rsid w:val="008A6C4F"/>
    <w:rsid w:val="008B2335"/>
    <w:rsid w:val="008B2E36"/>
    <w:rsid w:val="008C55A5"/>
    <w:rsid w:val="008D482A"/>
    <w:rsid w:val="008E0678"/>
    <w:rsid w:val="008F31D2"/>
    <w:rsid w:val="00915EF6"/>
    <w:rsid w:val="00922180"/>
    <w:rsid w:val="009223CA"/>
    <w:rsid w:val="00940F93"/>
    <w:rsid w:val="009448C3"/>
    <w:rsid w:val="009760F3"/>
    <w:rsid w:val="00976CFB"/>
    <w:rsid w:val="009A04E4"/>
    <w:rsid w:val="009A0830"/>
    <w:rsid w:val="009A0E8D"/>
    <w:rsid w:val="009B26E7"/>
    <w:rsid w:val="009B64BB"/>
    <w:rsid w:val="009C5F1B"/>
    <w:rsid w:val="009D16DC"/>
    <w:rsid w:val="00A00697"/>
    <w:rsid w:val="00A00A3F"/>
    <w:rsid w:val="00A01489"/>
    <w:rsid w:val="00A03B07"/>
    <w:rsid w:val="00A3026E"/>
    <w:rsid w:val="00A3135C"/>
    <w:rsid w:val="00A31E94"/>
    <w:rsid w:val="00A338F1"/>
    <w:rsid w:val="00A35BE0"/>
    <w:rsid w:val="00A53046"/>
    <w:rsid w:val="00A6129C"/>
    <w:rsid w:val="00A72F22"/>
    <w:rsid w:val="00A7360F"/>
    <w:rsid w:val="00A748A6"/>
    <w:rsid w:val="00A769F4"/>
    <w:rsid w:val="00A776B4"/>
    <w:rsid w:val="00A77B94"/>
    <w:rsid w:val="00A94361"/>
    <w:rsid w:val="00AA293C"/>
    <w:rsid w:val="00AC47CD"/>
    <w:rsid w:val="00B30179"/>
    <w:rsid w:val="00B407BA"/>
    <w:rsid w:val="00B421C1"/>
    <w:rsid w:val="00B53C21"/>
    <w:rsid w:val="00B55C71"/>
    <w:rsid w:val="00B56E4A"/>
    <w:rsid w:val="00B56E9C"/>
    <w:rsid w:val="00B64B1F"/>
    <w:rsid w:val="00B6553F"/>
    <w:rsid w:val="00B77D05"/>
    <w:rsid w:val="00B81206"/>
    <w:rsid w:val="00B81E12"/>
    <w:rsid w:val="00BB1077"/>
    <w:rsid w:val="00BC3FA0"/>
    <w:rsid w:val="00BC74E9"/>
    <w:rsid w:val="00BF68A8"/>
    <w:rsid w:val="00C05DFA"/>
    <w:rsid w:val="00C11291"/>
    <w:rsid w:val="00C11A03"/>
    <w:rsid w:val="00C22C0C"/>
    <w:rsid w:val="00C4527F"/>
    <w:rsid w:val="00C463DD"/>
    <w:rsid w:val="00C4724C"/>
    <w:rsid w:val="00C629A0"/>
    <w:rsid w:val="00C64629"/>
    <w:rsid w:val="00C7354A"/>
    <w:rsid w:val="00C745C3"/>
    <w:rsid w:val="00C96DF2"/>
    <w:rsid w:val="00CA50AE"/>
    <w:rsid w:val="00CB3E03"/>
    <w:rsid w:val="00CD4AA6"/>
    <w:rsid w:val="00CE4A8F"/>
    <w:rsid w:val="00CF5585"/>
    <w:rsid w:val="00D125E9"/>
    <w:rsid w:val="00D2031B"/>
    <w:rsid w:val="00D248B6"/>
    <w:rsid w:val="00D25FE2"/>
    <w:rsid w:val="00D26E07"/>
    <w:rsid w:val="00D43252"/>
    <w:rsid w:val="00D47EEA"/>
    <w:rsid w:val="00D773DF"/>
    <w:rsid w:val="00D845A5"/>
    <w:rsid w:val="00D93C71"/>
    <w:rsid w:val="00D95303"/>
    <w:rsid w:val="00D978C6"/>
    <w:rsid w:val="00DA3C1C"/>
    <w:rsid w:val="00DC6D39"/>
    <w:rsid w:val="00DE395F"/>
    <w:rsid w:val="00DE7F27"/>
    <w:rsid w:val="00DF48DD"/>
    <w:rsid w:val="00E0396F"/>
    <w:rsid w:val="00E046DF"/>
    <w:rsid w:val="00E0519B"/>
    <w:rsid w:val="00E22B0C"/>
    <w:rsid w:val="00E27346"/>
    <w:rsid w:val="00E40A45"/>
    <w:rsid w:val="00E533EB"/>
    <w:rsid w:val="00E560CA"/>
    <w:rsid w:val="00E71BC8"/>
    <w:rsid w:val="00E7260F"/>
    <w:rsid w:val="00E73F5D"/>
    <w:rsid w:val="00E77E4E"/>
    <w:rsid w:val="00E96630"/>
    <w:rsid w:val="00EA0EBC"/>
    <w:rsid w:val="00EA2A77"/>
    <w:rsid w:val="00ED7A2A"/>
    <w:rsid w:val="00EF1D7F"/>
    <w:rsid w:val="00F0544A"/>
    <w:rsid w:val="00F31E5F"/>
    <w:rsid w:val="00F41957"/>
    <w:rsid w:val="00F545C2"/>
    <w:rsid w:val="00F6100A"/>
    <w:rsid w:val="00F77418"/>
    <w:rsid w:val="00F93781"/>
    <w:rsid w:val="00FA2CAC"/>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4BD6A5D1-F122-4CDC-92F7-3295B69C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semiHidden/>
    <w:rsid w:val="000647E2"/>
    <w:rPr>
      <w:sz w:val="18"/>
      <w:lang w:val="en-GB" w:eastAsia="en-US" w:bidi="ar-SA"/>
    </w:rPr>
  </w:style>
  <w:style w:type="paragraph" w:customStyle="1" w:styleId="NormalCentered">
    <w:name w:val="Normal Centered"/>
    <w:basedOn w:val="Normal"/>
    <w:uiPriority w:val="99"/>
    <w:rsid w:val="00132CDD"/>
    <w:pPr>
      <w:suppressAutoHyphens w:val="0"/>
      <w:autoSpaceDE w:val="0"/>
      <w:autoSpaceDN w:val="0"/>
      <w:spacing w:before="120" w:after="120" w:line="240" w:lineRule="auto"/>
      <w:jc w:val="center"/>
    </w:pPr>
    <w:rPr>
      <w:sz w:val="24"/>
      <w:szCs w:val="24"/>
      <w:lang w:val="fr-FR" w:eastAsia="en-GB"/>
    </w:rPr>
  </w:style>
  <w:style w:type="paragraph" w:customStyle="1" w:styleId="NormalLeft">
    <w:name w:val="Normal Left"/>
    <w:basedOn w:val="Normal"/>
    <w:uiPriority w:val="99"/>
    <w:rsid w:val="00132CDD"/>
    <w:pPr>
      <w:suppressAutoHyphens w:val="0"/>
      <w:autoSpaceDE w:val="0"/>
      <w:autoSpaceDN w:val="0"/>
      <w:spacing w:before="120" w:after="120" w:line="240" w:lineRule="auto"/>
    </w:pPr>
    <w:rPr>
      <w:sz w:val="24"/>
      <w:szCs w:val="24"/>
      <w:lang w:val="fr-FR" w:eastAsia="en-GB"/>
    </w:rPr>
  </w:style>
  <w:style w:type="paragraph" w:styleId="ListParagraph">
    <w:name w:val="List Paragraph"/>
    <w:basedOn w:val="Normal"/>
    <w:uiPriority w:val="34"/>
    <w:qFormat/>
    <w:rsid w:val="007E2427"/>
    <w:pPr>
      <w:suppressAutoHyphens w:val="0"/>
      <w:spacing w:line="240" w:lineRule="auto"/>
      <w:ind w:leftChars="400" w:left="840"/>
    </w:pPr>
    <w:rPr>
      <w:rFonts w:eastAsia="MS Minch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TRANS_WP29_2009_E.dot</Template>
  <TotalTime>0</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Schramm</dc:creator>
  <cp:keywords/>
  <dc:description/>
  <cp:lastModifiedBy>Caillot</cp:lastModifiedBy>
  <cp:revision>2</cp:revision>
  <cp:lastPrinted>2010-02-10T16:26:00Z</cp:lastPrinted>
  <dcterms:created xsi:type="dcterms:W3CDTF">2018-04-10T14:52:00Z</dcterms:created>
  <dcterms:modified xsi:type="dcterms:W3CDTF">2018-04-10T14:52:00Z</dcterms:modified>
</cp:coreProperties>
</file>