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B21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19624C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 w:rsidR="0019624C">
              <w:rPr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B21DA" w:rsidP="007B21DA">
            <w:pPr>
              <w:jc w:val="right"/>
            </w:pPr>
            <w:r w:rsidRPr="007B21DA">
              <w:rPr>
                <w:sz w:val="40"/>
              </w:rPr>
              <w:t>ECE</w:t>
            </w:r>
            <w:r>
              <w:t>/TRANS/WP.29/2018/74</w:t>
            </w:r>
          </w:p>
        </w:tc>
      </w:tr>
      <w:tr w:rsidR="002D5AAC" w:rsidRPr="0099648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Экономический</w:t>
            </w:r>
            <w:r w:rsidR="0019624C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</w:t>
            </w:r>
            <w:r w:rsidR="0019624C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Социальный</w:t>
            </w:r>
            <w:r w:rsidR="0019624C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21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="0019624C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</w:p>
          <w:p w:rsidR="007B21DA" w:rsidRDefault="007B21DA" w:rsidP="007B21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9624C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="0019624C">
              <w:rPr>
                <w:lang w:val="en-US"/>
              </w:rPr>
              <w:t xml:space="preserve"> </w:t>
            </w:r>
            <w:r>
              <w:rPr>
                <w:lang w:val="en-US"/>
              </w:rPr>
              <w:t>2018</w:t>
            </w:r>
          </w:p>
          <w:p w:rsidR="007B21DA" w:rsidRDefault="007B21DA" w:rsidP="007B21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B21DA" w:rsidRPr="008D53B6" w:rsidRDefault="007B21DA" w:rsidP="007B21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19624C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</w:p>
        </w:tc>
      </w:tr>
    </w:tbl>
    <w:p w:rsidR="008A37C8" w:rsidRPr="0019624C" w:rsidRDefault="008A37C8" w:rsidP="0019624C">
      <w:pPr>
        <w:spacing w:before="120"/>
        <w:rPr>
          <w:b/>
          <w:sz w:val="28"/>
          <w:szCs w:val="28"/>
        </w:rPr>
      </w:pPr>
      <w:r w:rsidRPr="0019624C">
        <w:rPr>
          <w:b/>
          <w:sz w:val="28"/>
          <w:szCs w:val="28"/>
        </w:rPr>
        <w:t>Европейская</w:t>
      </w:r>
      <w:r w:rsidR="0019624C">
        <w:rPr>
          <w:b/>
          <w:sz w:val="28"/>
          <w:szCs w:val="28"/>
        </w:rPr>
        <w:t xml:space="preserve"> </w:t>
      </w:r>
      <w:r w:rsidRPr="0019624C">
        <w:rPr>
          <w:b/>
          <w:sz w:val="28"/>
          <w:szCs w:val="28"/>
        </w:rPr>
        <w:t>экономическая</w:t>
      </w:r>
      <w:r w:rsidR="0019624C">
        <w:rPr>
          <w:b/>
          <w:sz w:val="28"/>
          <w:szCs w:val="28"/>
        </w:rPr>
        <w:t xml:space="preserve"> </w:t>
      </w:r>
      <w:r w:rsidRPr="0019624C">
        <w:rPr>
          <w:b/>
          <w:sz w:val="28"/>
          <w:szCs w:val="28"/>
        </w:rPr>
        <w:t>комиссия</w:t>
      </w:r>
    </w:p>
    <w:p w:rsidR="007B21DA" w:rsidRPr="0019624C" w:rsidRDefault="007B21DA" w:rsidP="0019624C">
      <w:pPr>
        <w:spacing w:before="120"/>
        <w:rPr>
          <w:sz w:val="28"/>
          <w:szCs w:val="28"/>
        </w:rPr>
      </w:pPr>
      <w:r w:rsidRPr="0019624C">
        <w:rPr>
          <w:sz w:val="28"/>
          <w:szCs w:val="28"/>
        </w:rPr>
        <w:t>Комитет</w:t>
      </w:r>
      <w:r w:rsidR="0019624C">
        <w:rPr>
          <w:sz w:val="28"/>
          <w:szCs w:val="28"/>
        </w:rPr>
        <w:t xml:space="preserve"> </w:t>
      </w:r>
      <w:r w:rsidRPr="0019624C">
        <w:rPr>
          <w:sz w:val="28"/>
          <w:szCs w:val="28"/>
        </w:rPr>
        <w:t>по</w:t>
      </w:r>
      <w:r w:rsidR="0019624C">
        <w:rPr>
          <w:sz w:val="28"/>
          <w:szCs w:val="28"/>
        </w:rPr>
        <w:t xml:space="preserve"> </w:t>
      </w:r>
      <w:r w:rsidRPr="0019624C">
        <w:rPr>
          <w:sz w:val="28"/>
          <w:szCs w:val="28"/>
        </w:rPr>
        <w:t>внутреннему</w:t>
      </w:r>
      <w:r w:rsidR="0019624C">
        <w:rPr>
          <w:sz w:val="28"/>
          <w:szCs w:val="28"/>
        </w:rPr>
        <w:t xml:space="preserve"> </w:t>
      </w:r>
      <w:r w:rsidRPr="0019624C">
        <w:rPr>
          <w:sz w:val="28"/>
          <w:szCs w:val="28"/>
        </w:rPr>
        <w:t>транспорту</w:t>
      </w:r>
    </w:p>
    <w:p w:rsidR="007B21DA" w:rsidRPr="0019624C" w:rsidRDefault="007B21DA" w:rsidP="0019624C">
      <w:pPr>
        <w:spacing w:before="120"/>
        <w:rPr>
          <w:b/>
          <w:sz w:val="24"/>
          <w:szCs w:val="24"/>
        </w:rPr>
      </w:pPr>
      <w:r w:rsidRPr="0019624C">
        <w:rPr>
          <w:b/>
          <w:sz w:val="24"/>
          <w:szCs w:val="24"/>
        </w:rPr>
        <w:t>Всемирный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форум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для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согласования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правил</w:t>
      </w:r>
      <w:r w:rsidR="0019624C">
        <w:rPr>
          <w:b/>
          <w:sz w:val="24"/>
          <w:szCs w:val="24"/>
        </w:rPr>
        <w:t xml:space="preserve"> </w:t>
      </w:r>
      <w:r w:rsidR="0019624C">
        <w:rPr>
          <w:b/>
          <w:sz w:val="24"/>
          <w:szCs w:val="24"/>
        </w:rPr>
        <w:br/>
      </w:r>
      <w:r w:rsidRPr="0019624C">
        <w:rPr>
          <w:b/>
          <w:sz w:val="24"/>
          <w:szCs w:val="24"/>
        </w:rPr>
        <w:t>в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области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транспортных</w:t>
      </w:r>
      <w:r w:rsidR="0019624C">
        <w:rPr>
          <w:b/>
          <w:sz w:val="24"/>
          <w:szCs w:val="24"/>
        </w:rPr>
        <w:t xml:space="preserve"> </w:t>
      </w:r>
      <w:r w:rsidRPr="0019624C">
        <w:rPr>
          <w:b/>
          <w:sz w:val="24"/>
          <w:szCs w:val="24"/>
        </w:rPr>
        <w:t>средств</w:t>
      </w:r>
    </w:p>
    <w:p w:rsidR="007B21DA" w:rsidRPr="0019624C" w:rsidRDefault="007B21DA" w:rsidP="0019624C">
      <w:pPr>
        <w:spacing w:before="120"/>
        <w:rPr>
          <w:b/>
        </w:rPr>
      </w:pPr>
      <w:r w:rsidRPr="0019624C">
        <w:rPr>
          <w:b/>
        </w:rPr>
        <w:t>175-я</w:t>
      </w:r>
      <w:r w:rsidR="0019624C">
        <w:rPr>
          <w:b/>
        </w:rPr>
        <w:t xml:space="preserve"> </w:t>
      </w:r>
      <w:r w:rsidRPr="0019624C">
        <w:rPr>
          <w:b/>
        </w:rPr>
        <w:t>сессия</w:t>
      </w:r>
    </w:p>
    <w:p w:rsidR="007B21DA" w:rsidRPr="0019624C" w:rsidRDefault="007B21DA" w:rsidP="0019624C">
      <w:r w:rsidRPr="0019624C">
        <w:t>Женева,</w:t>
      </w:r>
      <w:r w:rsidR="0019624C">
        <w:t xml:space="preserve"> </w:t>
      </w:r>
      <w:r w:rsidRPr="0019624C">
        <w:t>19–22</w:t>
      </w:r>
      <w:r w:rsidR="0019624C">
        <w:t xml:space="preserve"> </w:t>
      </w:r>
      <w:r w:rsidRPr="0019624C">
        <w:t>июня</w:t>
      </w:r>
      <w:r w:rsidR="0019624C">
        <w:t xml:space="preserve"> </w:t>
      </w:r>
      <w:r w:rsidRPr="0019624C">
        <w:t>2018</w:t>
      </w:r>
      <w:r w:rsidR="0019624C">
        <w:t xml:space="preserve"> </w:t>
      </w:r>
      <w:r w:rsidRPr="0019624C">
        <w:t>года</w:t>
      </w:r>
    </w:p>
    <w:p w:rsidR="007B21DA" w:rsidRPr="0019624C" w:rsidRDefault="007B21DA" w:rsidP="0019624C">
      <w:r w:rsidRPr="0019624C">
        <w:t>Пункт</w:t>
      </w:r>
      <w:r w:rsidR="0019624C">
        <w:t xml:space="preserve"> </w:t>
      </w:r>
      <w:r w:rsidRPr="0019624C">
        <w:t>14.3</w:t>
      </w:r>
      <w:r w:rsidR="0019624C">
        <w:t xml:space="preserve"> </w:t>
      </w:r>
      <w:r w:rsidRPr="0019624C">
        <w:t>предварительной</w:t>
      </w:r>
      <w:r w:rsidR="0019624C">
        <w:t xml:space="preserve"> </w:t>
      </w:r>
      <w:r w:rsidRPr="0019624C">
        <w:t>повестки</w:t>
      </w:r>
      <w:r w:rsidR="0019624C">
        <w:t xml:space="preserve"> </w:t>
      </w:r>
      <w:r w:rsidRPr="0019624C">
        <w:t>дня</w:t>
      </w:r>
    </w:p>
    <w:p w:rsidR="007B21DA" w:rsidRPr="0019624C" w:rsidRDefault="007B21DA" w:rsidP="0019624C">
      <w:pPr>
        <w:rPr>
          <w:b/>
        </w:rPr>
      </w:pPr>
      <w:r w:rsidRPr="0019624C">
        <w:rPr>
          <w:b/>
        </w:rPr>
        <w:t>Рассмотрение</w:t>
      </w:r>
      <w:r w:rsidR="0019624C">
        <w:rPr>
          <w:b/>
        </w:rPr>
        <w:t xml:space="preserve"> </w:t>
      </w:r>
      <w:r w:rsidRPr="0019624C">
        <w:rPr>
          <w:b/>
        </w:rPr>
        <w:t>AC.3</w:t>
      </w:r>
      <w:r w:rsidR="0019624C">
        <w:rPr>
          <w:b/>
        </w:rPr>
        <w:t xml:space="preserve"> </w:t>
      </w:r>
      <w:r w:rsidRPr="0019624C">
        <w:rPr>
          <w:b/>
        </w:rPr>
        <w:t>проектов</w:t>
      </w:r>
      <w:r w:rsidR="0019624C">
        <w:rPr>
          <w:b/>
        </w:rPr>
        <w:t xml:space="preserve"> </w:t>
      </w:r>
      <w:r w:rsidRPr="0019624C">
        <w:rPr>
          <w:b/>
        </w:rPr>
        <w:t>ГТП</w:t>
      </w:r>
      <w:r w:rsidR="0019624C">
        <w:rPr>
          <w:b/>
        </w:rPr>
        <w:t xml:space="preserve"> </w:t>
      </w:r>
      <w:r w:rsidRPr="0019624C">
        <w:rPr>
          <w:b/>
        </w:rPr>
        <w:t>ООН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и/или</w:t>
      </w:r>
      <w:r w:rsidR="0019624C">
        <w:rPr>
          <w:b/>
        </w:rPr>
        <w:t xml:space="preserve"> </w:t>
      </w:r>
      <w:r w:rsidRPr="0019624C">
        <w:rPr>
          <w:b/>
        </w:rPr>
        <w:t>проектов</w:t>
      </w:r>
      <w:r w:rsidR="0019624C">
        <w:rPr>
          <w:b/>
        </w:rPr>
        <w:t xml:space="preserve"> </w:t>
      </w:r>
      <w:r w:rsidRPr="0019624C">
        <w:rPr>
          <w:b/>
        </w:rPr>
        <w:t>поправок</w:t>
      </w:r>
      <w:r w:rsidR="0019624C">
        <w:rPr>
          <w:b/>
        </w:rPr>
        <w:t xml:space="preserve"> </w:t>
      </w:r>
      <w:r w:rsidRPr="0019624C">
        <w:rPr>
          <w:b/>
        </w:rPr>
        <w:t>к</w:t>
      </w:r>
      <w:r w:rsidR="0019624C">
        <w:rPr>
          <w:b/>
        </w:rPr>
        <w:t xml:space="preserve"> </w:t>
      </w:r>
      <w:r w:rsidRPr="0019624C">
        <w:rPr>
          <w:b/>
        </w:rPr>
        <w:t>введенным</w:t>
      </w:r>
      <w:r w:rsidR="0019624C">
        <w:rPr>
          <w:b/>
        </w:rPr>
        <w:t xml:space="preserve"> </w:t>
      </w:r>
      <w:r w:rsidRPr="0019624C">
        <w:rPr>
          <w:b/>
        </w:rPr>
        <w:t>ГТП</w:t>
      </w:r>
      <w:r w:rsidR="0019624C">
        <w:rPr>
          <w:b/>
        </w:rPr>
        <w:t xml:space="preserve"> </w:t>
      </w:r>
      <w:r w:rsidRPr="0019624C">
        <w:rPr>
          <w:b/>
        </w:rPr>
        <w:t>ООН,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если</w:t>
      </w:r>
      <w:r w:rsidR="0019624C">
        <w:rPr>
          <w:b/>
        </w:rPr>
        <w:t xml:space="preserve"> </w:t>
      </w:r>
      <w:r w:rsidRPr="0019624C">
        <w:rPr>
          <w:b/>
        </w:rPr>
        <w:t>таковые</w:t>
      </w:r>
      <w:r w:rsidR="0019624C">
        <w:rPr>
          <w:b/>
        </w:rPr>
        <w:t xml:space="preserve"> </w:t>
      </w:r>
      <w:r w:rsidRPr="0019624C">
        <w:rPr>
          <w:b/>
        </w:rPr>
        <w:t>представлены,</w:t>
      </w:r>
      <w:r w:rsidR="0019624C">
        <w:rPr>
          <w:b/>
        </w:rPr>
        <w:t xml:space="preserve"> </w:t>
      </w:r>
      <w:r w:rsidRPr="0019624C">
        <w:rPr>
          <w:b/>
        </w:rPr>
        <w:t>и</w:t>
      </w:r>
      <w:r w:rsidR="0019624C">
        <w:rPr>
          <w:b/>
        </w:rPr>
        <w:t xml:space="preserve"> </w:t>
      </w:r>
      <w:r w:rsidRPr="0019624C">
        <w:rPr>
          <w:b/>
        </w:rPr>
        <w:t>голосование</w:t>
      </w:r>
      <w:r w:rsidR="0019624C">
        <w:rPr>
          <w:b/>
        </w:rPr>
        <w:t xml:space="preserve"> </w:t>
      </w:r>
      <w:r w:rsidRPr="0019624C">
        <w:rPr>
          <w:b/>
        </w:rPr>
        <w:t>по</w:t>
      </w:r>
      <w:r w:rsidR="0019624C">
        <w:rPr>
          <w:b/>
        </w:rPr>
        <w:t xml:space="preserve"> </w:t>
      </w:r>
      <w:r w:rsidRPr="0019624C">
        <w:rPr>
          <w:b/>
        </w:rPr>
        <w:t>ним: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предложение</w:t>
      </w:r>
      <w:r w:rsidR="0019624C">
        <w:rPr>
          <w:b/>
        </w:rPr>
        <w:t xml:space="preserve"> </w:t>
      </w:r>
      <w:r w:rsidRPr="0019624C">
        <w:rPr>
          <w:b/>
        </w:rPr>
        <w:t>по</w:t>
      </w:r>
      <w:r w:rsidR="0019624C">
        <w:rPr>
          <w:b/>
        </w:rPr>
        <w:t xml:space="preserve"> </w:t>
      </w:r>
      <w:r w:rsidRPr="0019624C">
        <w:rPr>
          <w:b/>
        </w:rPr>
        <w:t>поправке</w:t>
      </w:r>
      <w:r w:rsidR="0019624C">
        <w:rPr>
          <w:b/>
        </w:rPr>
        <w:t xml:space="preserve"> </w:t>
      </w:r>
      <w:r w:rsidRPr="0019624C">
        <w:rPr>
          <w:b/>
        </w:rPr>
        <w:t>1</w:t>
      </w:r>
      <w:r w:rsidR="0019624C">
        <w:rPr>
          <w:b/>
        </w:rPr>
        <w:t xml:space="preserve"> </w:t>
      </w:r>
      <w:r w:rsidRPr="0019624C">
        <w:rPr>
          <w:b/>
        </w:rPr>
        <w:t>к</w:t>
      </w:r>
      <w:r w:rsidR="0019624C">
        <w:rPr>
          <w:b/>
        </w:rPr>
        <w:t xml:space="preserve"> </w:t>
      </w:r>
      <w:r w:rsidRPr="0019624C">
        <w:rPr>
          <w:b/>
        </w:rPr>
        <w:t>ГТП</w:t>
      </w:r>
      <w:r w:rsidR="0019624C">
        <w:rPr>
          <w:b/>
        </w:rPr>
        <w:t xml:space="preserve"> </w:t>
      </w:r>
      <w:r w:rsidRPr="0019624C">
        <w:rPr>
          <w:b/>
        </w:rPr>
        <w:t>№</w:t>
      </w:r>
      <w:r w:rsidR="0019624C">
        <w:rPr>
          <w:b/>
        </w:rPr>
        <w:t xml:space="preserve"> </w:t>
      </w:r>
      <w:r w:rsidRPr="0019624C">
        <w:rPr>
          <w:b/>
        </w:rPr>
        <w:t>19</w:t>
      </w:r>
      <w:r w:rsidR="0019624C">
        <w:rPr>
          <w:b/>
        </w:rPr>
        <w:t xml:space="preserve"> </w:t>
      </w:r>
      <w:r w:rsidRPr="0019624C">
        <w:rPr>
          <w:b/>
        </w:rPr>
        <w:t>ООН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(процедуры</w:t>
      </w:r>
      <w:r w:rsidR="0019624C">
        <w:rPr>
          <w:b/>
        </w:rPr>
        <w:t xml:space="preserve"> </w:t>
      </w:r>
      <w:r w:rsidRPr="0019624C">
        <w:rPr>
          <w:b/>
        </w:rPr>
        <w:t>испытания</w:t>
      </w:r>
      <w:r w:rsidR="0019624C">
        <w:rPr>
          <w:b/>
        </w:rPr>
        <w:t xml:space="preserve"> </w:t>
      </w:r>
      <w:r w:rsidRPr="0019624C">
        <w:rPr>
          <w:b/>
        </w:rPr>
        <w:t>на</w:t>
      </w:r>
      <w:r w:rsidR="0019624C">
        <w:rPr>
          <w:b/>
        </w:rPr>
        <w:t xml:space="preserve"> </w:t>
      </w:r>
      <w:r w:rsidRPr="0019624C">
        <w:rPr>
          <w:b/>
        </w:rPr>
        <w:t>выбросы</w:t>
      </w:r>
      <w:r w:rsidR="0019624C">
        <w:rPr>
          <w:b/>
        </w:rPr>
        <w:t xml:space="preserve"> </w:t>
      </w:r>
      <w:r w:rsidRPr="0019624C">
        <w:rPr>
          <w:b/>
        </w:rPr>
        <w:t>в</w:t>
      </w:r>
      <w:r w:rsidR="0019624C">
        <w:rPr>
          <w:b/>
        </w:rPr>
        <w:t xml:space="preserve"> </w:t>
      </w:r>
      <w:r w:rsidRPr="0019624C">
        <w:rPr>
          <w:b/>
        </w:rPr>
        <w:t>результате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испарения</w:t>
      </w:r>
      <w:r w:rsidR="0019624C">
        <w:rPr>
          <w:b/>
        </w:rPr>
        <w:t xml:space="preserve"> </w:t>
      </w:r>
      <w:r w:rsidRPr="0019624C">
        <w:rPr>
          <w:b/>
        </w:rPr>
        <w:t>в</w:t>
      </w:r>
      <w:r w:rsidR="0019624C">
        <w:rPr>
          <w:b/>
        </w:rPr>
        <w:t xml:space="preserve"> </w:t>
      </w:r>
      <w:r w:rsidRPr="0019624C">
        <w:rPr>
          <w:b/>
        </w:rPr>
        <w:t>рамках</w:t>
      </w:r>
      <w:r w:rsidR="0019624C">
        <w:rPr>
          <w:b/>
        </w:rPr>
        <w:t xml:space="preserve"> </w:t>
      </w:r>
      <w:r w:rsidRPr="0019624C">
        <w:rPr>
          <w:b/>
        </w:rPr>
        <w:t>всемирной</w:t>
      </w:r>
      <w:r w:rsidR="0019624C">
        <w:rPr>
          <w:b/>
        </w:rPr>
        <w:t xml:space="preserve"> </w:t>
      </w:r>
      <w:r w:rsidRPr="0019624C">
        <w:rPr>
          <w:b/>
        </w:rPr>
        <w:t>согласованной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процедуры</w:t>
      </w:r>
      <w:r w:rsidR="0019624C">
        <w:rPr>
          <w:b/>
        </w:rPr>
        <w:t xml:space="preserve"> </w:t>
      </w:r>
      <w:r w:rsidRPr="0019624C">
        <w:rPr>
          <w:b/>
        </w:rPr>
        <w:t>испытания</w:t>
      </w:r>
      <w:r w:rsidR="0019624C">
        <w:rPr>
          <w:b/>
        </w:rPr>
        <w:t xml:space="preserve"> </w:t>
      </w:r>
      <w:r w:rsidRPr="0019624C">
        <w:rPr>
          <w:b/>
        </w:rPr>
        <w:t>транспортных</w:t>
      </w:r>
      <w:r w:rsidR="0019624C">
        <w:rPr>
          <w:b/>
        </w:rPr>
        <w:t xml:space="preserve"> </w:t>
      </w:r>
      <w:r w:rsidRPr="0019624C">
        <w:rPr>
          <w:b/>
        </w:rPr>
        <w:t>средств</w:t>
      </w:r>
      <w:r w:rsidR="0019624C">
        <w:rPr>
          <w:b/>
        </w:rPr>
        <w:t xml:space="preserve"> </w:t>
      </w:r>
      <w:r w:rsidR="0019624C">
        <w:rPr>
          <w:b/>
        </w:rPr>
        <w:br/>
      </w:r>
      <w:r w:rsidRPr="0019624C">
        <w:rPr>
          <w:b/>
        </w:rPr>
        <w:t>малой</w:t>
      </w:r>
      <w:r w:rsidR="0019624C">
        <w:rPr>
          <w:b/>
        </w:rPr>
        <w:t xml:space="preserve"> </w:t>
      </w:r>
      <w:r w:rsidRPr="0019624C">
        <w:rPr>
          <w:b/>
        </w:rPr>
        <w:t>грузоподъемности</w:t>
      </w:r>
      <w:r w:rsidR="0019624C">
        <w:rPr>
          <w:b/>
        </w:rPr>
        <w:t xml:space="preserve"> </w:t>
      </w:r>
      <w:r w:rsidRPr="0019624C">
        <w:rPr>
          <w:b/>
        </w:rPr>
        <w:t>(ВПИМ</w:t>
      </w:r>
      <w:r w:rsidR="0019624C">
        <w:rPr>
          <w:b/>
        </w:rPr>
        <w:t xml:space="preserve"> – </w:t>
      </w:r>
      <w:r w:rsidRPr="0019624C">
        <w:rPr>
          <w:b/>
        </w:rPr>
        <w:t>Испарение))</w:t>
      </w:r>
    </w:p>
    <w:p w:rsidR="007B21DA" w:rsidRPr="00350483" w:rsidRDefault="007B21DA" w:rsidP="0019624C">
      <w:pPr>
        <w:pStyle w:val="HChG"/>
        <w:rPr>
          <w:lang w:val="ru-RU"/>
        </w:rPr>
      </w:pPr>
      <w:r w:rsidRPr="00350483">
        <w:rPr>
          <w:lang w:val="ru-RU"/>
        </w:rPr>
        <w:tab/>
      </w:r>
      <w:r w:rsidRPr="00350483">
        <w:rPr>
          <w:lang w:val="ru-RU"/>
        </w:rPr>
        <w:tab/>
        <w:t>Технический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доклад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о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разработке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поправки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1</w:t>
      </w:r>
      <w:r w:rsidR="0019624C">
        <w:rPr>
          <w:lang w:val="ru-RU"/>
        </w:rPr>
        <w:t xml:space="preserve"> </w:t>
      </w:r>
      <w:r w:rsidR="0019624C">
        <w:rPr>
          <w:lang w:val="ru-RU"/>
        </w:rPr>
        <w:br/>
      </w:r>
      <w:r w:rsidRPr="00350483">
        <w:rPr>
          <w:lang w:val="ru-RU"/>
        </w:rPr>
        <w:t>к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ГТП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№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19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ООН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(процедуры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испытания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на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выбросы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в</w:t>
      </w:r>
      <w:r w:rsidR="0019624C">
        <w:rPr>
          <w:lang w:val="en-US"/>
        </w:rPr>
        <w:t> </w:t>
      </w:r>
      <w:r w:rsidRPr="00350483">
        <w:rPr>
          <w:lang w:val="ru-RU"/>
        </w:rPr>
        <w:t>результате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испарения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в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рамках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всемирной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согласованной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процедуры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испытания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транспортных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средств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малой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грузоподъемности</w:t>
      </w:r>
      <w:r w:rsidR="0019624C">
        <w:rPr>
          <w:lang w:val="ru-RU"/>
        </w:rPr>
        <w:t xml:space="preserve"> </w:t>
      </w:r>
      <w:r w:rsidRPr="00350483">
        <w:rPr>
          <w:lang w:val="ru-RU"/>
        </w:rPr>
        <w:t>(ВПИМ</w:t>
      </w:r>
      <w:r w:rsidR="0019624C">
        <w:rPr>
          <w:lang w:val="ru-RU"/>
        </w:rPr>
        <w:t xml:space="preserve"> –</w:t>
      </w:r>
      <w:r w:rsidR="0019624C" w:rsidRPr="0019624C">
        <w:rPr>
          <w:lang w:val="ru-RU"/>
        </w:rPr>
        <w:t xml:space="preserve"> </w:t>
      </w:r>
      <w:r w:rsidRPr="00350483">
        <w:rPr>
          <w:lang w:val="ru-RU"/>
        </w:rPr>
        <w:t>Испарение))</w:t>
      </w:r>
    </w:p>
    <w:p w:rsidR="007B21DA" w:rsidRPr="0019624C" w:rsidRDefault="007B21DA" w:rsidP="0019624C">
      <w:pPr>
        <w:pStyle w:val="H1G"/>
        <w:rPr>
          <w:lang w:val="ru-RU"/>
        </w:rPr>
      </w:pPr>
      <w:r w:rsidRPr="0019624C">
        <w:rPr>
          <w:lang w:val="ru-RU"/>
        </w:rPr>
        <w:tab/>
      </w:r>
      <w:r w:rsidRPr="0019624C">
        <w:rPr>
          <w:lang w:val="ru-RU"/>
        </w:rPr>
        <w:tab/>
        <w:t>Представлено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экспертом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Европейской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комиссии</w:t>
      </w:r>
      <w:r w:rsidRPr="0019624C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7B21DA" w:rsidRPr="0019624C" w:rsidRDefault="0019624C" w:rsidP="0019624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7B21DA" w:rsidRPr="0019624C">
        <w:rPr>
          <w:lang w:val="ru-RU"/>
        </w:rPr>
        <w:t>Воспроизведенный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ниже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текст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был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подготовлен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неофициальной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рабочей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группой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(НРГ)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по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всемирной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согласованной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транспортных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средств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малой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грузоподъемности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(ВПИМ)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был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принят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Рабочей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группой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по</w:t>
      </w:r>
      <w:r>
        <w:rPr>
          <w:lang w:val="en-US"/>
        </w:rPr>
        <w:t> </w:t>
      </w:r>
      <w:r w:rsidR="007B21DA" w:rsidRPr="0019624C">
        <w:rPr>
          <w:lang w:val="ru-RU"/>
        </w:rPr>
        <w:t>проблемам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энергии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загрязнения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окружающей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среды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на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ее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январской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сессии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2018</w:t>
      </w:r>
      <w:r>
        <w:rPr>
          <w:lang w:val="en-US"/>
        </w:rPr>
        <w:t> </w:t>
      </w:r>
      <w:r w:rsidR="007B21DA" w:rsidRPr="0019624C">
        <w:rPr>
          <w:lang w:val="ru-RU"/>
        </w:rPr>
        <w:t>года.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Он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представляет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собой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технический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доклад,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основанный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на</w:t>
      </w:r>
      <w:r>
        <w:rPr>
          <w:lang w:val="en-US"/>
        </w:rPr>
        <w:t> </w:t>
      </w:r>
      <w:r w:rsidR="007B21DA" w:rsidRPr="0019624C">
        <w:rPr>
          <w:lang w:val="ru-RU"/>
        </w:rPr>
        <w:t>документе</w:t>
      </w:r>
      <w:r>
        <w:rPr>
          <w:lang w:val="en-US"/>
        </w:rPr>
        <w:t> </w:t>
      </w:r>
      <w:r w:rsidR="007B21DA" w:rsidRPr="00350483">
        <w:t>GRPE</w:t>
      </w:r>
      <w:r w:rsidR="007B21DA" w:rsidRPr="0019624C">
        <w:rPr>
          <w:lang w:val="ru-RU"/>
        </w:rPr>
        <w:t>-76-06-</w:t>
      </w:r>
      <w:r w:rsidR="007B21DA" w:rsidRPr="00350483">
        <w:t>Rev</w:t>
      </w:r>
      <w:r w:rsidR="007B21DA" w:rsidRPr="0019624C">
        <w:rPr>
          <w:lang w:val="ru-RU"/>
        </w:rPr>
        <w:t>.1,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представленном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вместе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предложением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по</w:t>
      </w:r>
      <w:r>
        <w:rPr>
          <w:lang w:val="en-US"/>
        </w:rPr>
        <w:t> </w:t>
      </w:r>
      <w:r w:rsidR="007B21DA" w:rsidRPr="0019624C">
        <w:rPr>
          <w:lang w:val="ru-RU"/>
        </w:rPr>
        <w:t>поправке</w:t>
      </w:r>
      <w:r>
        <w:rPr>
          <w:lang w:val="en-US"/>
        </w:rPr>
        <w:t> </w:t>
      </w:r>
      <w:r w:rsidR="007B21DA" w:rsidRPr="0019624C">
        <w:rPr>
          <w:lang w:val="ru-RU"/>
        </w:rPr>
        <w:t>1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к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ГТП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№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19,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касающимся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процедуры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ВПИМ</w:t>
      </w:r>
      <w:r w:rsidRPr="0019624C">
        <w:rPr>
          <w:lang w:val="ru-RU"/>
        </w:rPr>
        <w:t xml:space="preserve"> </w:t>
      </w:r>
      <w:r>
        <w:rPr>
          <w:lang w:val="ru-RU"/>
        </w:rPr>
        <w:t>–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Испарение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(</w:t>
      </w:r>
      <w:r w:rsidR="007B21DA" w:rsidRPr="00350483">
        <w:t>ECE</w:t>
      </w:r>
      <w:r w:rsidR="007B21DA" w:rsidRPr="0019624C">
        <w:rPr>
          <w:lang w:val="ru-RU"/>
        </w:rPr>
        <w:t>/</w:t>
      </w:r>
      <w:r w:rsidR="007B21DA" w:rsidRPr="00350483">
        <w:t>TRANS</w:t>
      </w:r>
      <w:r w:rsidR="007B21DA" w:rsidRPr="0019624C">
        <w:rPr>
          <w:lang w:val="ru-RU"/>
        </w:rPr>
        <w:t>/</w:t>
      </w:r>
      <w:r w:rsidR="007B21DA" w:rsidRPr="00350483">
        <w:t>WP</w:t>
      </w:r>
      <w:r w:rsidR="007B21DA" w:rsidRPr="0019624C">
        <w:rPr>
          <w:lang w:val="ru-RU"/>
        </w:rPr>
        <w:t>.29/2018/73).</w:t>
      </w:r>
    </w:p>
    <w:p w:rsidR="007B21DA" w:rsidRPr="0019624C" w:rsidRDefault="0019624C" w:rsidP="0019624C">
      <w:pPr>
        <w:pStyle w:val="HChG"/>
        <w:rPr>
          <w:lang w:val="ru-RU"/>
        </w:rPr>
      </w:pPr>
      <w:r w:rsidRPr="00996482">
        <w:rPr>
          <w:lang w:val="ru-RU"/>
        </w:rPr>
        <w:lastRenderedPageBreak/>
        <w:tab/>
      </w:r>
      <w:r w:rsidRPr="00996482">
        <w:rPr>
          <w:lang w:val="ru-RU"/>
        </w:rPr>
        <w:tab/>
      </w:r>
      <w:r w:rsidR="007B21DA" w:rsidRPr="0019624C">
        <w:rPr>
          <w:lang w:val="ru-RU"/>
        </w:rPr>
        <w:t>Технический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доклад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о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разработке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поправки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1</w:t>
      </w:r>
      <w:r w:rsidRPr="0019624C">
        <w:rPr>
          <w:lang w:val="ru-RU"/>
        </w:rPr>
        <w:t xml:space="preserve"> </w:t>
      </w:r>
      <w:r>
        <w:rPr>
          <w:lang w:val="ru-RU"/>
        </w:rPr>
        <w:br/>
      </w:r>
      <w:r w:rsidR="007B21DA" w:rsidRPr="0019624C">
        <w:rPr>
          <w:lang w:val="ru-RU"/>
        </w:rPr>
        <w:t>к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ГТП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№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19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ООН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(процедуры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на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выбросы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</w:t>
      </w:r>
      <w:r>
        <w:rPr>
          <w:lang w:val="en-US"/>
        </w:rPr>
        <w:t> </w:t>
      </w:r>
      <w:r w:rsidR="007B21DA" w:rsidRPr="0019624C">
        <w:rPr>
          <w:lang w:val="ru-RU"/>
        </w:rPr>
        <w:t>результате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испарения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рамках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всемирной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согласованной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процедуры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транспортных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средств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малой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грузоподъемности</w:t>
      </w:r>
      <w:r w:rsidRPr="0019624C">
        <w:rPr>
          <w:lang w:val="ru-RU"/>
        </w:rPr>
        <w:t xml:space="preserve"> </w:t>
      </w:r>
      <w:r w:rsidR="007B21DA" w:rsidRPr="0019624C">
        <w:rPr>
          <w:lang w:val="ru-RU"/>
        </w:rPr>
        <w:t>(ВПИМ</w:t>
      </w:r>
      <w:r w:rsidRPr="0019624C">
        <w:rPr>
          <w:lang w:val="ru-RU"/>
        </w:rPr>
        <w:t xml:space="preserve"> – </w:t>
      </w:r>
      <w:r w:rsidR="007B21DA" w:rsidRPr="0019624C">
        <w:rPr>
          <w:lang w:val="ru-RU"/>
        </w:rPr>
        <w:t>Испарение))</w:t>
      </w:r>
    </w:p>
    <w:p w:rsidR="007B21DA" w:rsidRPr="0019624C" w:rsidRDefault="007B21DA" w:rsidP="0019624C">
      <w:pPr>
        <w:pStyle w:val="HChG"/>
      </w:pPr>
      <w:r w:rsidRPr="00996482">
        <w:rPr>
          <w:lang w:val="ru-RU"/>
        </w:rPr>
        <w:tab/>
      </w:r>
      <w:r w:rsidRPr="00350483">
        <w:t>I</w:t>
      </w:r>
      <w:r w:rsidRPr="0019624C">
        <w:t>.</w:t>
      </w:r>
      <w:r w:rsidRPr="0019624C">
        <w:tab/>
        <w:t>Введение</w:t>
      </w:r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1.</w:t>
      </w:r>
      <w:r w:rsidRPr="0019624C">
        <w:rPr>
          <w:lang w:val="ru-RU"/>
        </w:rPr>
        <w:tab/>
        <w:t>В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семьдесят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четвертой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сессии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Рабочей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проблемам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энергии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загрязнения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окружающей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</w:t>
      </w:r>
      <w:r w:rsidRPr="00350483">
        <w:t>GRPE</w:t>
      </w:r>
      <w:r w:rsidRPr="0019624C">
        <w:rPr>
          <w:lang w:val="ru-RU"/>
        </w:rPr>
        <w:t>),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состоявшейся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январе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2017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года,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(ЦГ)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процедурам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рамках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всемирной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согласованной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малой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грузоподъемности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(ВПИМ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Испарение)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представила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рабочий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документ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неофициальный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документ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рассмотрения</w:t>
      </w:r>
      <w:r w:rsidR="0019624C" w:rsidRPr="0019624C">
        <w:rPr>
          <w:lang w:val="ru-RU"/>
        </w:rPr>
        <w:t xml:space="preserve"> </w:t>
      </w:r>
      <w:r w:rsidRPr="00350483">
        <w:t>GRPE</w:t>
      </w:r>
      <w:r w:rsidRPr="0019624C">
        <w:rPr>
          <w:lang w:val="ru-RU"/>
        </w:rPr>
        <w:t>.</w:t>
      </w:r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2.</w:t>
      </w:r>
      <w:r w:rsidRPr="0019624C">
        <w:rPr>
          <w:lang w:val="ru-RU"/>
        </w:rPr>
        <w:tab/>
        <w:t>В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рабочем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документе</w:t>
      </w:r>
      <w:r w:rsidR="0019624C" w:rsidRPr="0019624C">
        <w:rPr>
          <w:lang w:val="ru-RU"/>
        </w:rPr>
        <w:t xml:space="preserve"> </w:t>
      </w:r>
      <w:r w:rsidRPr="00350483">
        <w:t>ECE</w:t>
      </w:r>
      <w:r w:rsidRPr="0019624C">
        <w:rPr>
          <w:lang w:val="ru-RU"/>
        </w:rPr>
        <w:t>/</w:t>
      </w:r>
      <w:r w:rsidRPr="00350483">
        <w:t>TRANS</w:t>
      </w:r>
      <w:r w:rsidRPr="0019624C">
        <w:rPr>
          <w:lang w:val="ru-RU"/>
        </w:rPr>
        <w:t>/</w:t>
      </w:r>
      <w:r w:rsidRPr="00350483">
        <w:t>WP</w:t>
      </w:r>
      <w:r w:rsidRPr="0019624C">
        <w:rPr>
          <w:lang w:val="ru-RU"/>
        </w:rPr>
        <w:t>.29/</w:t>
      </w:r>
      <w:r w:rsidRPr="00350483">
        <w:t>GRPE</w:t>
      </w:r>
      <w:r w:rsidRPr="0019624C">
        <w:rPr>
          <w:lang w:val="ru-RU"/>
        </w:rPr>
        <w:t>/2017/3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(предложение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новым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глобальным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техническим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правилам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касающимся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рамках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всемирной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согласованной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малой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грузоподъемности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19))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содержалась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предлагаемая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3.</w:t>
      </w:r>
      <w:r w:rsidRPr="0019624C">
        <w:rPr>
          <w:lang w:val="ru-RU"/>
        </w:rPr>
        <w:tab/>
        <w:t>Негерметичные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используются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традиционных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двигателем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внутреннего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сгорания.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высокой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вероятностью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происходит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поступление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содержащихся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фильтра(</w:t>
      </w:r>
      <w:proofErr w:type="spellStart"/>
      <w:r w:rsidRPr="0019624C">
        <w:rPr>
          <w:lang w:val="ru-RU"/>
        </w:rPr>
        <w:t>ов</w:t>
      </w:r>
      <w:proofErr w:type="spellEnd"/>
      <w:r w:rsidRPr="0019624C">
        <w:rPr>
          <w:lang w:val="ru-RU"/>
        </w:rPr>
        <w:t>),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двигатель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внутреннего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сгорания,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создаваемое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парами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поддерживается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довольно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низком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уровне.</w:t>
      </w:r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4.</w:t>
      </w:r>
      <w:r w:rsidRPr="0019624C">
        <w:rPr>
          <w:lang w:val="ru-RU"/>
        </w:rPr>
        <w:tab/>
        <w:t>В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период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конца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2016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 xml:space="preserve">года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сентябрь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2017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года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состоял</w:t>
      </w:r>
      <w:r w:rsidR="00996482">
        <w:rPr>
          <w:lang w:val="ru-RU"/>
        </w:rPr>
        <w:t>о</w:t>
      </w:r>
      <w:r w:rsidRPr="0019624C">
        <w:rPr>
          <w:lang w:val="ru-RU"/>
        </w:rPr>
        <w:t>сь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13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совещаний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(включая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совещания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редакционных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совещания),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ВПИМ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проводила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работу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включению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охватывающей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ожидается,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будут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гибридных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электромобилях,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приводимых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движение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главным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образом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электрическими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двигателями,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традиционных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будущих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поколений.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5.</w:t>
      </w:r>
      <w:r w:rsidRPr="0019624C">
        <w:rPr>
          <w:lang w:val="ru-RU"/>
        </w:rPr>
        <w:tab/>
        <w:t>Поправка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дополняет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текст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путем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добавления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только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описания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других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положений,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касающихся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рассматривавшихся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обсуждений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вопроса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6.</w:t>
      </w:r>
      <w:r w:rsidRPr="0019624C">
        <w:rPr>
          <w:lang w:val="ru-RU"/>
        </w:rPr>
        <w:tab/>
        <w:t>Обсуждения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поправке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проводились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руководством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экспертов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Японии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</w:t>
      </w:r>
      <w:proofErr w:type="spellStart"/>
      <w:r w:rsidRPr="0019624C">
        <w:rPr>
          <w:lang w:val="ru-RU"/>
        </w:rPr>
        <w:t>Маюми</w:t>
      </w:r>
      <w:proofErr w:type="spell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«Софи»</w:t>
      </w:r>
      <w:r w:rsidR="0019624C" w:rsidRPr="0019624C">
        <w:rPr>
          <w:lang w:val="ru-RU"/>
        </w:rPr>
        <w:t xml:space="preserve"> </w:t>
      </w:r>
      <w:proofErr w:type="spellStart"/>
      <w:r w:rsidRPr="0019624C">
        <w:rPr>
          <w:lang w:val="ru-RU"/>
        </w:rPr>
        <w:t>Моримото</w:t>
      </w:r>
      <w:proofErr w:type="spellEnd"/>
      <w:r w:rsidRPr="0019624C">
        <w:rPr>
          <w:lang w:val="ru-RU"/>
        </w:rPr>
        <w:t>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Объединенного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исследовательского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центра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Европейской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комиссии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</w:t>
      </w:r>
      <w:proofErr w:type="spellStart"/>
      <w:r w:rsidRPr="0019624C">
        <w:rPr>
          <w:lang w:val="ru-RU"/>
        </w:rPr>
        <w:t>Джорджио</w:t>
      </w:r>
      <w:proofErr w:type="spell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Мартини).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Работа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составлению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текста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велась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руководством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эксперта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Европейской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комиссии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(Серж</w:t>
      </w:r>
      <w:r w:rsidR="0019624C" w:rsidRPr="0019624C">
        <w:rPr>
          <w:lang w:val="ru-RU"/>
        </w:rPr>
        <w:t xml:space="preserve"> </w:t>
      </w:r>
      <w:proofErr w:type="spellStart"/>
      <w:r w:rsidRPr="0019624C">
        <w:rPr>
          <w:lang w:val="ru-RU"/>
        </w:rPr>
        <w:t>Дюбюк</w:t>
      </w:r>
      <w:proofErr w:type="spellEnd"/>
      <w:r w:rsidRPr="0019624C">
        <w:rPr>
          <w:lang w:val="ru-RU"/>
        </w:rPr>
        <w:t>).</w:t>
      </w:r>
    </w:p>
    <w:p w:rsidR="007B21DA" w:rsidRPr="00996482" w:rsidRDefault="007B21DA" w:rsidP="0019624C">
      <w:pPr>
        <w:pStyle w:val="HChG"/>
        <w:rPr>
          <w:rFonts w:eastAsiaTheme="minorEastAsia"/>
          <w:lang w:val="ru-RU"/>
        </w:rPr>
      </w:pPr>
      <w:bookmarkStart w:id="1" w:name="_Toc375478000"/>
      <w:bookmarkStart w:id="2" w:name="_Toc375478481"/>
      <w:bookmarkStart w:id="3" w:name="_Toc375478001"/>
      <w:bookmarkStart w:id="4" w:name="_Toc375478482"/>
      <w:bookmarkStart w:id="5" w:name="_Toc375478002"/>
      <w:bookmarkStart w:id="6" w:name="_Toc375478483"/>
      <w:bookmarkStart w:id="7" w:name="_Toc465622101"/>
      <w:bookmarkStart w:id="8" w:name="_Toc465622249"/>
      <w:bookmarkStart w:id="9" w:name="_Toc465622103"/>
      <w:bookmarkStart w:id="10" w:name="_Toc465622251"/>
      <w:bookmarkStart w:id="11" w:name="_Toc465622104"/>
      <w:bookmarkStart w:id="12" w:name="_Toc465622252"/>
      <w:bookmarkStart w:id="13" w:name="_Toc465622105"/>
      <w:bookmarkStart w:id="14" w:name="_Toc465622253"/>
      <w:bookmarkStart w:id="15" w:name="_Toc465622106"/>
      <w:bookmarkStart w:id="16" w:name="_Toc465622254"/>
      <w:bookmarkStart w:id="17" w:name="_Toc465622107"/>
      <w:bookmarkStart w:id="18" w:name="_Toc465622255"/>
      <w:bookmarkStart w:id="19" w:name="_Toc465622108"/>
      <w:bookmarkStart w:id="20" w:name="_Toc465622256"/>
      <w:bookmarkStart w:id="21" w:name="_Toc465622109"/>
      <w:bookmarkStart w:id="22" w:name="_Toc465622257"/>
      <w:bookmarkStart w:id="23" w:name="_Toc465622110"/>
      <w:bookmarkStart w:id="24" w:name="_Toc465622258"/>
      <w:bookmarkStart w:id="25" w:name="_Toc465622111"/>
      <w:bookmarkStart w:id="26" w:name="_Toc465622259"/>
      <w:bookmarkStart w:id="27" w:name="_Toc465622112"/>
      <w:bookmarkStart w:id="28" w:name="_Toc465622260"/>
      <w:bookmarkStart w:id="29" w:name="_Toc465622113"/>
      <w:bookmarkStart w:id="30" w:name="_Toc465622261"/>
      <w:bookmarkStart w:id="31" w:name="_Toc465622114"/>
      <w:bookmarkStart w:id="32" w:name="_Toc465622262"/>
      <w:bookmarkStart w:id="33" w:name="_Toc465622265"/>
      <w:bookmarkStart w:id="34" w:name="_Toc435001998"/>
      <w:bookmarkStart w:id="35" w:name="_Toc3534529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996482">
        <w:rPr>
          <w:lang w:val="ru-RU"/>
        </w:rPr>
        <w:tab/>
      </w:r>
      <w:r w:rsidRPr="00350483">
        <w:t>II</w:t>
      </w:r>
      <w:r w:rsidRPr="00996482">
        <w:rPr>
          <w:lang w:val="ru-RU"/>
        </w:rPr>
        <w:t>.</w:t>
      </w:r>
      <w:r w:rsidRPr="00996482">
        <w:rPr>
          <w:lang w:val="ru-RU"/>
        </w:rPr>
        <w:tab/>
        <w:t>Герметичные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системы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топливных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баков</w:t>
      </w:r>
      <w:r w:rsidR="0019624C" w:rsidRPr="00996482">
        <w:rPr>
          <w:lang w:val="ru-RU"/>
        </w:rPr>
        <w:t xml:space="preserve"> – </w:t>
      </w:r>
      <w:r w:rsidRPr="00996482">
        <w:rPr>
          <w:lang w:val="ru-RU"/>
        </w:rPr>
        <w:t>Разработка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процедуры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bookmarkEnd w:id="33"/>
      <w:bookmarkEnd w:id="34"/>
      <w:bookmarkEnd w:id="35"/>
    </w:p>
    <w:p w:rsidR="007B21DA" w:rsidRPr="00996482" w:rsidRDefault="007B21DA" w:rsidP="0019624C">
      <w:pPr>
        <w:pStyle w:val="H1G"/>
        <w:rPr>
          <w:i/>
          <w:lang w:val="ru-RU"/>
        </w:rPr>
      </w:pPr>
      <w:bookmarkStart w:id="36" w:name="_Toc375478034"/>
      <w:bookmarkStart w:id="37" w:name="_Toc375478504"/>
      <w:bookmarkStart w:id="38" w:name="_Toc435001999"/>
      <w:bookmarkStart w:id="39" w:name="_Toc465622266"/>
      <w:bookmarkEnd w:id="36"/>
      <w:bookmarkEnd w:id="37"/>
      <w:r w:rsidRPr="00996482">
        <w:rPr>
          <w:lang w:val="ru-RU"/>
        </w:rPr>
        <w:tab/>
      </w:r>
      <w:r w:rsidRPr="00350483">
        <w:t>A</w:t>
      </w:r>
      <w:r w:rsidRPr="00996482">
        <w:rPr>
          <w:lang w:val="ru-RU"/>
        </w:rPr>
        <w:t>.</w:t>
      </w:r>
      <w:r w:rsidRPr="00996482">
        <w:rPr>
          <w:lang w:val="ru-RU"/>
        </w:rPr>
        <w:tab/>
      </w:r>
      <w:r w:rsidRPr="00996482">
        <w:rPr>
          <w:bCs/>
          <w:lang w:val="ru-RU"/>
        </w:rPr>
        <w:t>Цели</w:t>
      </w:r>
      <w:bookmarkEnd w:id="38"/>
      <w:bookmarkEnd w:id="39"/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7.</w:t>
      </w:r>
      <w:r w:rsidRPr="0019624C">
        <w:rPr>
          <w:lang w:val="ru-RU"/>
        </w:rPr>
        <w:tab/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стоянке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увеличивается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br/>
      </w:r>
      <w:r w:rsidRPr="0019624C">
        <w:rPr>
          <w:lang w:val="ru-RU"/>
        </w:rPr>
        <w:t>из-за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повышения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внешней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солнечного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излучения.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повышения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следовательно,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расширения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объема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смеси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воздуха/топлива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значительно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возрастает.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вызвать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самых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легких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бензиновых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lastRenderedPageBreak/>
        <w:t>фракций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соответствующим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ростом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>
        <w:rPr>
          <w:lang w:val="ru-RU"/>
        </w:rPr>
        <w:t> </w:t>
      </w:r>
      <w:r w:rsidRPr="0019624C">
        <w:rPr>
          <w:lang w:val="ru-RU"/>
        </w:rPr>
        <w:t>негерметичных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чаще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всего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используются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традиционных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средствах,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рост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ограничивается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благодаря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высокой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вероятности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удаления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сбрасывается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главным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образом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через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фильтр(ы).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адсорбирует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накопляет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углеводороды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</w:t>
      </w:r>
      <w:r w:rsidRPr="00350483">
        <w:t>HC</w:t>
      </w:r>
      <w:r w:rsidRPr="0019624C">
        <w:rPr>
          <w:lang w:val="ru-RU"/>
        </w:rPr>
        <w:t>).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Однако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обладает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ограниченной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адсорбционной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способностью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(зависящей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нескольких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факторов,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>
        <w:rPr>
          <w:lang w:val="ru-RU"/>
        </w:rPr>
        <w:t> </w:t>
      </w:r>
      <w:r w:rsidRPr="0019624C">
        <w:rPr>
          <w:lang w:val="ru-RU"/>
        </w:rPr>
        <w:t>которых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наиболее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важны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качество,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масса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углерода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спецификация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</w:t>
      </w:r>
      <w:r w:rsidR="0019624C">
        <w:rPr>
          <w:lang w:val="ru-RU"/>
        </w:rPr>
        <w:t> </w:t>
      </w:r>
      <w:r w:rsidRPr="0019624C">
        <w:rPr>
          <w:lang w:val="ru-RU"/>
        </w:rPr>
        <w:t>также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внешняя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должен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периодически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очищаться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proofErr w:type="spellStart"/>
      <w:r w:rsidRPr="0019624C">
        <w:rPr>
          <w:lang w:val="ru-RU"/>
        </w:rPr>
        <w:t>десорбирования</w:t>
      </w:r>
      <w:proofErr w:type="spell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накопленных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углеводородов.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происходит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время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движения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воздуха,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поступающего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зону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проходит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через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смещая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адсорбированные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углеводороды,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сгорают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двигателя.</w:t>
      </w:r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8.</w:t>
      </w:r>
      <w:r w:rsidRPr="0019624C">
        <w:rPr>
          <w:lang w:val="ru-RU"/>
        </w:rPr>
        <w:tab/>
        <w:t>С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учетом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потенциально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ограниченного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времени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функционирования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двигателя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внутреннего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сгорания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гибридных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электромобилях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представляет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собой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альтернативных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решений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описанной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выше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контексте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ограничения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силу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конструкции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представляет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собой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закрытую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систему,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позволяет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хранить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пор,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достигнет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величины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удаляются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стравливаются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атмосферу.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Однако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должно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сбрасываться.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обычно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достигается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путем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открытия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предохранительного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клапана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заправкой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обеспечения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безопасной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эксплуатации.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смесь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воздуха,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выпускаемая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через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предохранительный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клапан,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накапливается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фильтре(ах),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продуваются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время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функционирования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двигателя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внутреннего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сгорания.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9.</w:t>
      </w:r>
      <w:r w:rsidRPr="0019624C">
        <w:rPr>
          <w:lang w:val="ru-RU"/>
        </w:rPr>
        <w:tab/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весьма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высоких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превысить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тогда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срабатывает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предохранительный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клапан,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позволяет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избежать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риска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разрыва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10.</w:t>
      </w:r>
      <w:r w:rsidRPr="0019624C">
        <w:rPr>
          <w:lang w:val="ru-RU"/>
        </w:rPr>
        <w:tab/>
        <w:t>Одним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технических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вариантов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ограничения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роста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увеличении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внешней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является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обеспечение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изоляции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самого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образом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добиться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того,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будет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ниже,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окружающего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воздуха.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вариант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принят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внимание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разработке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испытания.</w:t>
      </w:r>
    </w:p>
    <w:p w:rsidR="007B21DA" w:rsidRPr="0019624C" w:rsidRDefault="007B21DA" w:rsidP="00DD1630">
      <w:pPr>
        <w:pStyle w:val="H1G"/>
      </w:pPr>
      <w:bookmarkStart w:id="40" w:name="_Toc465622267"/>
      <w:bookmarkStart w:id="41" w:name="_Toc435002000"/>
      <w:r w:rsidRPr="00996482">
        <w:rPr>
          <w:lang w:val="ru-RU"/>
        </w:rPr>
        <w:tab/>
      </w:r>
      <w:r w:rsidRPr="00350483">
        <w:t>B</w:t>
      </w:r>
      <w:r w:rsidRPr="0019624C">
        <w:t>.</w:t>
      </w:r>
      <w:r w:rsidRPr="0019624C">
        <w:tab/>
        <w:t>Подход</w:t>
      </w:r>
      <w:bookmarkEnd w:id="40"/>
      <w:bookmarkEnd w:id="41"/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11.</w:t>
      </w:r>
      <w:r w:rsidRPr="0019624C">
        <w:rPr>
          <w:lang w:val="ru-RU"/>
        </w:rPr>
        <w:tab/>
        <w:t>В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совещаний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ВПИМ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обсуждались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следующие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вопросы:</w:t>
      </w:r>
    </w:p>
    <w:p w:rsidR="007B21DA" w:rsidRPr="0019624C" w:rsidRDefault="00DD1630" w:rsidP="0019624C">
      <w:pPr>
        <w:pStyle w:val="SingleTxtG"/>
        <w:rPr>
          <w:lang w:val="ru-RU"/>
        </w:rPr>
      </w:pPr>
      <w:r w:rsidRPr="00C82381">
        <w:rPr>
          <w:lang w:val="ru-RU"/>
        </w:rPr>
        <w:tab/>
      </w:r>
      <w:r w:rsidRPr="00C82381">
        <w:rPr>
          <w:lang w:val="ru-RU"/>
        </w:rPr>
        <w:tab/>
      </w:r>
      <w:r w:rsidR="007B21DA" w:rsidRPr="00350483">
        <w:t>a</w:t>
      </w:r>
      <w:r w:rsidR="007B21DA" w:rsidRPr="0019624C">
        <w:rPr>
          <w:lang w:val="ru-RU"/>
        </w:rPr>
        <w:t>)</w:t>
      </w:r>
      <w:r w:rsidR="007B21DA" w:rsidRPr="0019624C">
        <w:rPr>
          <w:lang w:val="ru-RU"/>
        </w:rPr>
        <w:tab/>
        <w:t>подлежащие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обсуждению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вопросы,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связанные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процедурой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бака: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proofErr w:type="spellStart"/>
      <w:r w:rsidRPr="00350483">
        <w:t>i</w:t>
      </w:r>
      <w:proofErr w:type="spellEnd"/>
      <w:r w:rsidRPr="0019624C">
        <w:rPr>
          <w:lang w:val="ru-RU"/>
        </w:rPr>
        <w:t>)</w:t>
      </w:r>
      <w:r w:rsidRPr="0019624C">
        <w:rPr>
          <w:lang w:val="ru-RU"/>
        </w:rPr>
        <w:tab/>
        <w:t>определения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сокращения;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ii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последовательность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непрерывное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отдельных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(автономная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автономная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потери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горячего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48-часового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суточном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режиме);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iii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требования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отношении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iv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условия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нагружением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выброса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продолжительность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v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проверка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переполнении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lastRenderedPageBreak/>
        <w:t>vi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условия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суточного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vii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насыщения;</w:t>
      </w:r>
    </w:p>
    <w:p w:rsidR="007B21DA" w:rsidRPr="0019624C" w:rsidRDefault="00DD1630" w:rsidP="0019624C">
      <w:pPr>
        <w:pStyle w:val="SingleTxtG"/>
        <w:rPr>
          <w:lang w:val="ru-RU"/>
        </w:rPr>
      </w:pPr>
      <w:r w:rsidRPr="00996482">
        <w:rPr>
          <w:lang w:val="ru-RU"/>
        </w:rPr>
        <w:tab/>
      </w:r>
      <w:r w:rsidRPr="00996482">
        <w:rPr>
          <w:lang w:val="ru-RU"/>
        </w:rPr>
        <w:tab/>
      </w:r>
      <w:r w:rsidR="007B21DA" w:rsidRPr="00350483">
        <w:t>b</w:t>
      </w:r>
      <w:r w:rsidR="007B21DA" w:rsidRPr="0019624C">
        <w:rPr>
          <w:lang w:val="ru-RU"/>
        </w:rPr>
        <w:t>)</w:t>
      </w:r>
      <w:r w:rsidR="007B21DA" w:rsidRPr="0019624C">
        <w:rPr>
          <w:lang w:val="ru-RU"/>
        </w:rPr>
        <w:tab/>
        <w:t>подлежащие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обсуждению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вопросы,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касающиеся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модернизации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последних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ООН: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proofErr w:type="spellStart"/>
      <w:r w:rsidRPr="00350483">
        <w:t>i</w:t>
      </w:r>
      <w:proofErr w:type="spellEnd"/>
      <w:r w:rsidRPr="0019624C">
        <w:rPr>
          <w:lang w:val="ru-RU"/>
        </w:rPr>
        <w:t>)</w:t>
      </w:r>
      <w:r w:rsidRPr="0019624C">
        <w:rPr>
          <w:lang w:val="ru-RU"/>
        </w:rPr>
        <w:tab/>
        <w:t>подготовка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просушка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шин;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ii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представитель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органа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официальному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утверждению,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присутствующий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испытании;</w:t>
      </w:r>
    </w:p>
    <w:p w:rsidR="007B21DA" w:rsidRPr="0019624C" w:rsidRDefault="007B21DA" w:rsidP="00DD1630">
      <w:pPr>
        <w:pStyle w:val="SingleTxtG"/>
        <w:ind w:left="1701"/>
        <w:rPr>
          <w:lang w:val="ru-RU"/>
        </w:rPr>
      </w:pPr>
      <w:r w:rsidRPr="00350483">
        <w:t>iii</w:t>
      </w:r>
      <w:r w:rsidRPr="0019624C">
        <w:rPr>
          <w:lang w:val="ru-RU"/>
        </w:rPr>
        <w:t>)</w:t>
      </w:r>
      <w:r w:rsidRPr="0019624C">
        <w:rPr>
          <w:lang w:val="ru-RU"/>
        </w:rPr>
        <w:tab/>
        <w:t>измерение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производительности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бутана</w:t>
      </w:r>
      <w:r w:rsidR="0019624C" w:rsidRPr="0019624C">
        <w:rPr>
          <w:lang w:val="ru-RU"/>
        </w:rPr>
        <w:t xml:space="preserve"> </w:t>
      </w:r>
      <w:r w:rsidR="00101EA6">
        <w:rPr>
          <w:lang w:val="ru-RU"/>
        </w:rPr>
        <w:t>(ПБ).</w:t>
      </w:r>
    </w:p>
    <w:p w:rsidR="007B21DA" w:rsidRPr="00996482" w:rsidRDefault="007B21DA" w:rsidP="00DD1630">
      <w:pPr>
        <w:pStyle w:val="H1G"/>
        <w:rPr>
          <w:lang w:val="ru-RU"/>
        </w:rPr>
      </w:pPr>
      <w:bookmarkStart w:id="42" w:name="_Toc465622268"/>
      <w:bookmarkStart w:id="43" w:name="_Toc435002001"/>
      <w:bookmarkStart w:id="44" w:name="_Toc353452938"/>
      <w:r w:rsidRPr="00996482">
        <w:rPr>
          <w:lang w:val="ru-RU"/>
        </w:rPr>
        <w:tab/>
      </w:r>
      <w:r w:rsidRPr="00350483">
        <w:t>C</w:t>
      </w:r>
      <w:r w:rsidRPr="00996482">
        <w:rPr>
          <w:lang w:val="ru-RU"/>
        </w:rPr>
        <w:t>.</w:t>
      </w:r>
      <w:r w:rsidRPr="00996482">
        <w:rPr>
          <w:lang w:val="ru-RU"/>
        </w:rPr>
        <w:tab/>
        <w:t>Предлагаемые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поправки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к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ГТП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№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19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ООН</w:t>
      </w:r>
      <w:bookmarkEnd w:id="42"/>
      <w:bookmarkEnd w:id="43"/>
    </w:p>
    <w:p w:rsidR="007B21DA" w:rsidRPr="00996482" w:rsidRDefault="007B21DA" w:rsidP="00DD1630">
      <w:pPr>
        <w:pStyle w:val="H23G"/>
        <w:rPr>
          <w:lang w:val="ru-RU"/>
        </w:rPr>
      </w:pPr>
      <w:r w:rsidRPr="00996482">
        <w:rPr>
          <w:lang w:val="ru-RU"/>
        </w:rPr>
        <w:tab/>
        <w:t>1.</w:t>
      </w:r>
      <w:r w:rsidRPr="00996482">
        <w:rPr>
          <w:lang w:val="ru-RU"/>
        </w:rPr>
        <w:tab/>
        <w:t>Процедура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герметичной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системы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топливного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бака</w:t>
      </w:r>
    </w:p>
    <w:p w:rsidR="007B21DA" w:rsidRPr="00DD1630" w:rsidRDefault="007B21DA" w:rsidP="00101EA6">
      <w:pPr>
        <w:pStyle w:val="H4G"/>
        <w:rPr>
          <w:i w:val="0"/>
          <w:lang w:val="ru-RU"/>
        </w:rPr>
      </w:pPr>
      <w:r w:rsidRPr="00DD1630">
        <w:rPr>
          <w:lang w:val="ru-RU"/>
        </w:rPr>
        <w:tab/>
        <w:t>1.1</w:t>
      </w:r>
      <w:r w:rsidRPr="00DD1630">
        <w:rPr>
          <w:lang w:val="ru-RU"/>
        </w:rPr>
        <w:tab/>
        <w:t>Определения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и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сокращения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12.</w:t>
      </w:r>
      <w:r w:rsidRPr="0019624C">
        <w:rPr>
          <w:lang w:val="ru-RU"/>
        </w:rPr>
        <w:tab/>
        <w:t>Были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добавлены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ГЭМ-БЗУ</w:t>
      </w:r>
      <w:r w:rsidRPr="0019624C">
        <w:rPr>
          <w:iCs/>
          <w:lang w:val="ru-RU"/>
        </w:rPr>
        <w:t>»</w:t>
      </w:r>
      <w:r w:rsidRPr="0019624C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ГЭМ</w:t>
      </w:r>
      <w:r w:rsidRPr="0019624C">
        <w:rPr>
          <w:iCs/>
          <w:lang w:val="ru-RU"/>
        </w:rPr>
        <w:t>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ГТС</w:t>
      </w:r>
      <w:r w:rsidRPr="0019624C">
        <w:rPr>
          <w:iCs/>
          <w:lang w:val="ru-RU"/>
        </w:rPr>
        <w:t>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приведенных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15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13.</w:t>
      </w:r>
      <w:r w:rsidRPr="0019624C">
        <w:rPr>
          <w:lang w:val="ru-RU"/>
        </w:rPr>
        <w:tab/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обновлено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proofErr w:type="spellStart"/>
      <w:r w:rsidRPr="0019624C">
        <w:rPr>
          <w:i/>
          <w:iCs/>
          <w:lang w:val="ru-RU"/>
        </w:rPr>
        <w:t>монослойный</w:t>
      </w:r>
      <w:proofErr w:type="spellEnd"/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бак</w:t>
      </w:r>
      <w:r w:rsidRPr="0019624C">
        <w:rPr>
          <w:iCs/>
          <w:lang w:val="ru-RU"/>
        </w:rPr>
        <w:t>»</w:t>
      </w:r>
      <w:r w:rsidRPr="0019624C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название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изменено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proofErr w:type="spellStart"/>
      <w:r w:rsidRPr="0019624C">
        <w:rPr>
          <w:i/>
          <w:iCs/>
          <w:lang w:val="ru-RU"/>
        </w:rPr>
        <w:t>монослойный</w:t>
      </w:r>
      <w:proofErr w:type="spellEnd"/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неметаллический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бак</w:t>
      </w:r>
      <w:r w:rsidRPr="0019624C">
        <w:rPr>
          <w:iCs/>
          <w:lang w:val="ru-RU"/>
        </w:rPr>
        <w:t>»</w:t>
      </w:r>
      <w:r w:rsidRPr="0019624C">
        <w:rPr>
          <w:lang w:val="ru-RU"/>
        </w:rPr>
        <w:t>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14.</w:t>
      </w:r>
      <w:r w:rsidRPr="0019624C">
        <w:rPr>
          <w:lang w:val="ru-RU"/>
        </w:rPr>
        <w:tab/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обновлено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lang w:val="ru-RU"/>
        </w:rPr>
        <w:t>герметичная</w:t>
      </w:r>
      <w:r w:rsidR="0019624C" w:rsidRPr="0019624C">
        <w:rPr>
          <w:lang w:val="ru-RU"/>
        </w:rPr>
        <w:t xml:space="preserve"> </w:t>
      </w:r>
      <w:r w:rsidRPr="0019624C">
        <w:rPr>
          <w:i/>
          <w:iCs/>
          <w:lang w:val="ru-RU"/>
        </w:rPr>
        <w:t>система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топливного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бака</w:t>
      </w:r>
      <w:r w:rsidRPr="0019624C">
        <w:rPr>
          <w:lang w:val="ru-RU"/>
        </w:rPr>
        <w:t>».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Обсуждался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вопрос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следует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включать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proofErr w:type="spellStart"/>
      <w:r w:rsidRPr="0019624C">
        <w:rPr>
          <w:i/>
          <w:lang w:val="ru-RU"/>
        </w:rPr>
        <w:t>полугерметичная</w:t>
      </w:r>
      <w:proofErr w:type="spellEnd"/>
      <w:r w:rsidR="0019624C" w:rsidRPr="0019624C">
        <w:rPr>
          <w:lang w:val="ru-RU"/>
        </w:rPr>
        <w:t xml:space="preserve"> </w:t>
      </w:r>
      <w:r w:rsidRPr="0019624C">
        <w:rPr>
          <w:i/>
          <w:iCs/>
          <w:lang w:val="ru-RU"/>
        </w:rPr>
        <w:t>система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топливного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бака»</w:t>
      </w:r>
      <w:r w:rsidRPr="0019624C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происходить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выпуск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первые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дневного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этапа,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последующие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дни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предохранительный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клапан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остается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закрытым.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Ввиду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отсутствия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достаточных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обсудить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вопрос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следующем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этапе.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15.</w:t>
      </w:r>
      <w:r w:rsidRPr="0019624C">
        <w:rPr>
          <w:lang w:val="ru-RU"/>
        </w:rPr>
        <w:tab/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обновлено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выбросы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в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результате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испарения</w:t>
      </w:r>
      <w:r w:rsidRPr="0019624C">
        <w:rPr>
          <w:iCs/>
          <w:lang w:val="ru-RU"/>
        </w:rPr>
        <w:t>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целью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включения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углеводородов,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выделяющихся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непосредственно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заправкой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16.</w:t>
      </w:r>
      <w:r w:rsidRPr="0019624C">
        <w:rPr>
          <w:lang w:val="ru-RU"/>
        </w:rPr>
        <w:tab/>
        <w:t>Были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добавлены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паровой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выброс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при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сбросе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давления</w:t>
      </w:r>
      <w:r w:rsidRPr="0019624C">
        <w:rPr>
          <w:lang w:val="ru-RU"/>
        </w:rPr>
        <w:t>»,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переполнение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в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результате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парового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выброса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при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сбросе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давления</w:t>
      </w:r>
      <w:r w:rsidRPr="0019624C">
        <w:rPr>
          <w:lang w:val="ru-RU"/>
        </w:rPr>
        <w:t>»</w:t>
      </w:r>
      <w:r w:rsidR="00B9298F" w:rsidRPr="00B9298F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давление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сброса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в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топливном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баке</w:t>
      </w:r>
      <w:r w:rsidRPr="0019624C">
        <w:rPr>
          <w:iCs/>
          <w:lang w:val="ru-RU"/>
        </w:rPr>
        <w:t>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вспомогательный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фильтр</w:t>
      </w:r>
      <w:r w:rsidRPr="0019624C">
        <w:rPr>
          <w:iCs/>
          <w:lang w:val="ru-RU"/>
        </w:rPr>
        <w:t>»</w:t>
      </w:r>
      <w:r w:rsidRPr="0019624C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имеют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отношение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17.</w:t>
      </w:r>
      <w:r w:rsidRPr="0019624C">
        <w:rPr>
          <w:lang w:val="ru-RU"/>
        </w:rPr>
        <w:tab/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добавлено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</w:t>
      </w:r>
      <w:r w:rsidRPr="0019624C">
        <w:rPr>
          <w:i/>
          <w:iCs/>
          <w:lang w:val="ru-RU"/>
        </w:rPr>
        <w:t>двухграммовый</w:t>
      </w:r>
      <w:r w:rsidR="0019624C" w:rsidRPr="0019624C">
        <w:rPr>
          <w:i/>
          <w:iCs/>
          <w:lang w:val="ru-RU"/>
        </w:rPr>
        <w:t xml:space="preserve"> </w:t>
      </w:r>
      <w:r w:rsidRPr="0019624C">
        <w:rPr>
          <w:i/>
          <w:iCs/>
          <w:lang w:val="ru-RU"/>
        </w:rPr>
        <w:t>проскок</w:t>
      </w:r>
      <w:r w:rsidRPr="0019624C">
        <w:rPr>
          <w:iCs/>
          <w:lang w:val="ru-RU"/>
        </w:rPr>
        <w:t>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улучшения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18.</w:t>
      </w:r>
      <w:r w:rsidRPr="0019624C">
        <w:rPr>
          <w:lang w:val="ru-RU"/>
        </w:rPr>
        <w:tab/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добавлено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сокращение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перезаряжаемой</w:t>
      </w:r>
      <w:r w:rsidR="0019624C" w:rsidRPr="0019624C">
        <w:rPr>
          <w:lang w:val="ru-RU"/>
        </w:rPr>
        <w:t xml:space="preserve"> </w:t>
      </w:r>
      <w:proofErr w:type="spellStart"/>
      <w:r w:rsidRPr="0019624C">
        <w:rPr>
          <w:lang w:val="ru-RU"/>
        </w:rPr>
        <w:t>энергоаккумулирующей</w:t>
      </w:r>
      <w:proofErr w:type="spell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имеет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отношение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19.</w:t>
      </w:r>
      <w:r w:rsidRPr="0019624C">
        <w:rPr>
          <w:lang w:val="ru-RU"/>
        </w:rPr>
        <w:tab/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редакционных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термины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сокращения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набраны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строчными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буквами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вместо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прописных.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tab/>
        <w:t>1.2</w:t>
      </w:r>
      <w:r w:rsidRPr="00996482">
        <w:rPr>
          <w:lang w:val="ru-RU"/>
        </w:rPr>
        <w:tab/>
        <w:t>Последовательность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– </w:t>
      </w:r>
      <w:r w:rsidRPr="00996482">
        <w:rPr>
          <w:lang w:val="ru-RU"/>
        </w:rPr>
        <w:t>одно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непрерывное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или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два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отдельных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(автономная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процедура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паровой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выброс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автономная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процедура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потери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результате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горячего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насыщения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48-часового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суточном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режиме)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20.</w:t>
      </w:r>
      <w:r w:rsidRPr="0019624C">
        <w:rPr>
          <w:lang w:val="ru-RU"/>
        </w:rPr>
        <w:tab/>
        <w:t>Процедура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двух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частей.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частей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объема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нагружает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непосредственно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заправкой,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измерении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переполнения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Другая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часть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автономная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состоящая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потери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горячего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48-часового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lastRenderedPageBreak/>
        <w:t>суточном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режиме,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являются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же,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21.</w:t>
      </w:r>
      <w:r w:rsidRPr="0019624C">
        <w:rPr>
          <w:lang w:val="ru-RU"/>
        </w:rPr>
        <w:tab/>
        <w:t>Нагружение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двухграммового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проскока,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применяемое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заменено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объема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всех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последующих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потери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горячего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48-часового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суточном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режиме.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22.</w:t>
      </w:r>
      <w:r w:rsidRPr="0019624C">
        <w:rPr>
          <w:lang w:val="ru-RU"/>
        </w:rPr>
        <w:tab/>
        <w:t>Япония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предложила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установить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последовательность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отдельных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повышения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эффективности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испытаний.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другой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стороны,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изготовители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указывают,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некоторых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невозможно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отделить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</w:t>
      </w:r>
      <w:r w:rsidR="00DD1630">
        <w:rPr>
          <w:lang w:val="ru-RU"/>
        </w:rPr>
        <w:t>(</w:t>
      </w:r>
      <w:r w:rsidRPr="0019624C">
        <w:rPr>
          <w:lang w:val="ru-RU"/>
        </w:rPr>
        <w:t>ы)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самой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обусловливает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необходимость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применения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непрерывного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испытательного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цикла.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учетом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существования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предусмотреть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варианта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один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непрерывный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испытательный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цикл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отдельных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tab/>
        <w:t>1.3</w:t>
      </w:r>
      <w:r w:rsidRPr="00996482">
        <w:rPr>
          <w:lang w:val="ru-RU"/>
        </w:rPr>
        <w:tab/>
        <w:t>Требования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отношении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давления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сброса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топливном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баке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для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герметичной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системы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топливного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бака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23.</w:t>
      </w:r>
      <w:r w:rsidRPr="0019624C">
        <w:rPr>
          <w:lang w:val="ru-RU"/>
        </w:rPr>
        <w:tab/>
        <w:t>Объединенный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исследовательский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центр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(ОИЦ)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предложил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установить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минимальное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требование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отношении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DD1630">
        <w:rPr>
          <w:lang w:val="ru-RU"/>
        </w:rPr>
        <w:t> </w:t>
      </w:r>
      <w:r w:rsidRPr="0019624C">
        <w:rPr>
          <w:lang w:val="ru-RU"/>
        </w:rPr>
        <w:t>предложение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связано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обеспокоенностью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отношении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имеющихся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DD1630">
        <w:rPr>
          <w:lang w:val="ru-RU"/>
        </w:rPr>
        <w:t> </w:t>
      </w:r>
      <w:r w:rsidRPr="0019624C">
        <w:rPr>
          <w:lang w:val="ru-RU"/>
        </w:rPr>
        <w:t>рынке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могут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пройти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официальное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утверждение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типа,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могут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выделять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значительное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количество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если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поднимается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выше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35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Pr="0019624C">
        <w:rPr>
          <w:lang w:val="ru-RU"/>
        </w:rPr>
        <w:t>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изготовители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вместе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Япония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выступили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против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предложения,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лишить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возможности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новые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технологии,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изолированные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чтобы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вызывающие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обеспокоенность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вопроса,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установила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условия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течение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48-часового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суточном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режиме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</w:t>
      </w:r>
      <w:r w:rsidR="00DD1630">
        <w:rPr>
          <w:lang w:val="ru-RU"/>
        </w:rPr>
        <w:t> </w:t>
      </w:r>
      <w:r w:rsidRPr="0019624C">
        <w:rPr>
          <w:lang w:val="ru-RU"/>
        </w:rPr>
        <w:t>которых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равно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превышает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30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кПа,</w:t>
      </w:r>
      <w:r w:rsidR="0019624C" w:rsidRPr="0019624C">
        <w:rPr>
          <w:lang w:val="ru-RU"/>
        </w:rPr>
        <w:t xml:space="preserve"> </w:t>
      </w:r>
      <w:r w:rsidR="00DD1630">
        <w:rPr>
          <w:lang w:val="ru-RU"/>
        </w:rPr>
        <w:br/>
      </w:r>
      <w:r w:rsidRPr="0019624C">
        <w:rPr>
          <w:lang w:val="ru-RU"/>
        </w:rPr>
        <w:t>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другое</w:t>
      </w:r>
      <w:r w:rsidR="0019624C" w:rsidRPr="0019624C">
        <w:rPr>
          <w:lang w:val="ru-RU"/>
        </w:rPr>
        <w:t xml:space="preserve"> </w:t>
      </w:r>
      <w:r w:rsidR="0019624C">
        <w:rPr>
          <w:lang w:val="ru-RU"/>
        </w:rPr>
        <w:t>–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ниже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30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кПа.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обеспечило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</w:t>
      </w:r>
      <w:r w:rsidR="00DD1630">
        <w:rPr>
          <w:lang w:val="ru-RU"/>
        </w:rPr>
        <w:t> </w:t>
      </w:r>
      <w:r w:rsidRPr="0019624C">
        <w:rPr>
          <w:lang w:val="ru-RU"/>
        </w:rPr>
        <w:t>изготовителям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возможности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разработки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включают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себя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более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широкий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спектр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новых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технологий.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24.</w:t>
      </w:r>
      <w:r w:rsidRPr="0019624C">
        <w:rPr>
          <w:lang w:val="ru-RU"/>
        </w:rPr>
        <w:tab/>
        <w:t>Вопрос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необходимом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состояния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готовности,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решен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опорой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исследования,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проведенного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членами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группы.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исследование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основывалось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максимальных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месячных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значениях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Риме,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Нью-Дели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Киото.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DD1630">
        <w:rPr>
          <w:lang w:val="ru-RU"/>
        </w:rPr>
        <w:t> </w:t>
      </w:r>
      <w:r w:rsidRPr="0019624C">
        <w:rPr>
          <w:lang w:val="ru-RU"/>
        </w:rPr>
        <w:t>исследование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включало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оценку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основанную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свойствах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доступного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рынке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условиях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режима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городах.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установить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качестве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порогового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30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учетом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отклонения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+5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максимальной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tab/>
        <w:t>1.4</w:t>
      </w:r>
      <w:r w:rsidRPr="00996482">
        <w:rPr>
          <w:lang w:val="ru-RU"/>
        </w:rPr>
        <w:tab/>
        <w:t>Условия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перед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нагружением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фильтра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для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парового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выброса</w:t>
      </w:r>
      <w:r w:rsidR="0019624C" w:rsidRPr="00996482">
        <w:rPr>
          <w:lang w:val="ru-RU"/>
        </w:rPr>
        <w:t xml:space="preserve"> – </w:t>
      </w:r>
      <w:r w:rsidRPr="00996482">
        <w:rPr>
          <w:lang w:val="ru-RU"/>
        </w:rPr>
        <w:t>температура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насыщения,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продолжительность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насыщения,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давление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внутри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системы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топливного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бака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после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сброса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давления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25.</w:t>
      </w:r>
      <w:r w:rsidRPr="0019624C">
        <w:rPr>
          <w:lang w:val="ru-RU"/>
        </w:rPr>
        <w:tab/>
        <w:t>Вопрос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горячего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нагрузкой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парами,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выброшенными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решался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24-часового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суточного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(СВИ).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истечении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камеры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выдерживания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достигает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максимального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СВИ.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Поэтому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качестве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длительности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горячего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часов.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26.</w:t>
      </w:r>
      <w:r w:rsidRPr="0019624C">
        <w:rPr>
          <w:lang w:val="ru-RU"/>
        </w:rPr>
        <w:tab/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решено,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должно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максимально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2,5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превышать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атмосферное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условиях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нормальной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эксплуатации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основано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требовании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Агентства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охране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окружающей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Соединенных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Штатов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DD1630">
        <w:rPr>
          <w:lang w:val="ru-RU"/>
        </w:rPr>
        <w:t> </w:t>
      </w:r>
      <w:r w:rsidRPr="0019624C">
        <w:rPr>
          <w:lang w:val="ru-RU"/>
        </w:rPr>
        <w:t>отношении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внутри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испытательного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прогона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потери.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lastRenderedPageBreak/>
        <w:tab/>
        <w:t>1.5</w:t>
      </w:r>
      <w:r w:rsidRPr="00996482">
        <w:rPr>
          <w:lang w:val="ru-RU"/>
        </w:rPr>
        <w:tab/>
        <w:t>Проверка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выбросов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при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переполнении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фильтра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результате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парового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выброса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после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сброса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давления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27.</w:t>
      </w:r>
      <w:r w:rsidRPr="0019624C">
        <w:rPr>
          <w:lang w:val="ru-RU"/>
        </w:rPr>
        <w:tab/>
        <w:t>Сразу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заправки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происходит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непосредственно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снятием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крышки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процессе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сбрасывается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атмосферу,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проходят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через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избежание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непредусмотренного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Япония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предложила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включить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проверку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паров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переполнения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фильтра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обстоятельных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обсуждений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поддержала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предложение.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tab/>
        <w:t>1.6</w:t>
      </w:r>
      <w:r w:rsidRPr="00996482">
        <w:rPr>
          <w:lang w:val="ru-RU"/>
        </w:rPr>
        <w:tab/>
        <w:t>Условия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суточного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испытания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выбросы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в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результате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испарения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для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герметичных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систем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топливных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баков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28.</w:t>
      </w:r>
      <w:r w:rsidRPr="0019624C">
        <w:rPr>
          <w:lang w:val="ru-RU"/>
        </w:rPr>
        <w:tab/>
        <w:t>Как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поясняется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пункте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1.3,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приняла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предусмотреть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условия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течение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48-часового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суточном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режиме,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зависимости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значения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</w:t>
      </w:r>
      <w:r w:rsidR="00DD1630">
        <w:rPr>
          <w:lang w:val="ru-RU"/>
        </w:rPr>
        <w:t> </w:t>
      </w:r>
      <w:r w:rsidRPr="0019624C">
        <w:rPr>
          <w:lang w:val="ru-RU"/>
        </w:rPr>
        <w:t>которых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сброса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равно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превышает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30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кПа,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будет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(20–3</w:t>
      </w:r>
      <w:r w:rsidR="00BE0263" w:rsidRPr="00BE0263">
        <w:rPr>
          <w:lang w:val="ru-RU"/>
        </w:rPr>
        <w:t>5</w:t>
      </w:r>
      <w:r w:rsidRPr="0019624C">
        <w:rPr>
          <w:lang w:val="ru-RU"/>
        </w:rPr>
        <w:t>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Pr="0019624C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самый,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составляет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менее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30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кПа,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должен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использоваться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(20–38)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Pr="0019624C">
        <w:rPr>
          <w:lang w:val="ru-RU"/>
        </w:rPr>
        <w:t>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профиль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оценочного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учетом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отклонения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+5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максимальной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tab/>
        <w:t>1.7</w:t>
      </w:r>
      <w:r w:rsidRPr="00996482">
        <w:rPr>
          <w:lang w:val="ru-RU"/>
        </w:rPr>
        <w:tab/>
        <w:t>Температура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насыщения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29.</w:t>
      </w:r>
      <w:r w:rsidRPr="0019624C">
        <w:rPr>
          <w:lang w:val="ru-RU"/>
        </w:rPr>
        <w:tab/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предусмотрены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различных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типа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осуществляются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разных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температурах.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проводят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динамометрическим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испытанием,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должно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осуществляться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23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Pr="0019624C">
        <w:rPr>
          <w:lang w:val="ru-RU"/>
        </w:rPr>
        <w:t>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динамометрическое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проводят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также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23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Pr="0019624C">
        <w:rPr>
          <w:lang w:val="ru-RU"/>
        </w:rPr>
        <w:t>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Насыщение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же,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проводят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нижеследующим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испытательным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циклом,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осуществляется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°С,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начинаются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Pr="0019624C">
        <w:rPr>
          <w:lang w:val="ru-RU"/>
        </w:rPr>
        <w:t>:</w:t>
      </w:r>
    </w:p>
    <w:p w:rsidR="007B21DA" w:rsidRPr="0019624C" w:rsidRDefault="00DD1630" w:rsidP="0019624C">
      <w:pPr>
        <w:pStyle w:val="SingleTxtG"/>
        <w:rPr>
          <w:lang w:val="ru-RU"/>
        </w:rPr>
      </w:pPr>
      <w:r w:rsidRPr="00996482">
        <w:rPr>
          <w:lang w:val="ru-RU"/>
        </w:rPr>
        <w:tab/>
      </w:r>
      <w:r w:rsidRPr="00996482">
        <w:rPr>
          <w:lang w:val="ru-RU"/>
        </w:rPr>
        <w:tab/>
      </w:r>
      <w:r w:rsidR="007B21DA" w:rsidRPr="00350483">
        <w:t>a</w:t>
      </w:r>
      <w:r w:rsidR="007B21DA" w:rsidRPr="0019624C">
        <w:rPr>
          <w:lang w:val="ru-RU"/>
        </w:rPr>
        <w:t>)</w:t>
      </w:r>
      <w:r w:rsidR="007B21DA" w:rsidRPr="0019624C">
        <w:rPr>
          <w:lang w:val="ru-RU"/>
        </w:rPr>
        <w:tab/>
        <w:t>испытание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дневное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время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(для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испытательных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как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негерметичной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бака,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так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случае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бака);</w:t>
      </w:r>
    </w:p>
    <w:p w:rsidR="007B21DA" w:rsidRPr="0019624C" w:rsidRDefault="00DD1630" w:rsidP="0019624C">
      <w:pPr>
        <w:pStyle w:val="SingleTxtG"/>
        <w:rPr>
          <w:lang w:val="ru-RU"/>
        </w:rPr>
      </w:pPr>
      <w:r w:rsidRPr="00996482">
        <w:rPr>
          <w:lang w:val="ru-RU"/>
        </w:rPr>
        <w:tab/>
      </w:r>
      <w:r w:rsidRPr="00996482">
        <w:rPr>
          <w:lang w:val="ru-RU"/>
        </w:rPr>
        <w:tab/>
      </w:r>
      <w:r w:rsidR="007B21DA" w:rsidRPr="00350483">
        <w:t>b</w:t>
      </w:r>
      <w:r w:rsidR="007B21DA" w:rsidRPr="0019624C">
        <w:rPr>
          <w:lang w:val="ru-RU"/>
        </w:rPr>
        <w:t>)</w:t>
      </w:r>
      <w:r w:rsidR="007B21DA" w:rsidRPr="0019624C">
        <w:rPr>
          <w:lang w:val="ru-RU"/>
        </w:rPr>
        <w:tab/>
        <w:t>выдерживание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нагрузки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фильтра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паровым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выбросом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(только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бака);</w:t>
      </w:r>
    </w:p>
    <w:p w:rsidR="007B21DA" w:rsidRPr="0019624C" w:rsidRDefault="00DD1630" w:rsidP="0019624C">
      <w:pPr>
        <w:pStyle w:val="SingleTxtG"/>
        <w:rPr>
          <w:lang w:val="ru-RU"/>
        </w:rPr>
      </w:pPr>
      <w:r w:rsidRPr="00996482">
        <w:rPr>
          <w:lang w:val="ru-RU"/>
        </w:rPr>
        <w:tab/>
      </w:r>
      <w:r w:rsidRPr="00996482">
        <w:rPr>
          <w:lang w:val="ru-RU"/>
        </w:rPr>
        <w:tab/>
      </w:r>
      <w:r w:rsidR="007B21DA" w:rsidRPr="00350483">
        <w:t>c</w:t>
      </w:r>
      <w:r w:rsidR="007B21DA" w:rsidRPr="0019624C">
        <w:rPr>
          <w:lang w:val="ru-RU"/>
        </w:rPr>
        <w:t>)</w:t>
      </w:r>
      <w:r w:rsidR="007B21DA" w:rsidRPr="0019624C">
        <w:rPr>
          <w:lang w:val="ru-RU"/>
        </w:rPr>
        <w:tab/>
        <w:t>сброс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давления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топливном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баке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(только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="007B21DA" w:rsidRPr="0019624C">
        <w:rPr>
          <w:lang w:val="ru-RU"/>
        </w:rPr>
        <w:t>бака).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30.</w:t>
      </w:r>
      <w:r w:rsidRPr="0019624C">
        <w:rPr>
          <w:lang w:val="ru-RU"/>
        </w:rPr>
        <w:tab/>
        <w:t>Вместе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герметичной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системы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топливного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бака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существует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одно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исключение.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касается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случаев,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когда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динамометрическое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начинается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выдерживания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20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(пункт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6.6.1.12,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затем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пункт</w:t>
      </w:r>
      <w:r w:rsidR="00BE0263">
        <w:rPr>
          <w:lang w:val="en-US"/>
        </w:rPr>
        <w:t> </w:t>
      </w:r>
      <w:r w:rsidR="00BE0263">
        <w:rPr>
          <w:lang w:val="ru-RU"/>
        </w:rPr>
        <w:t>6.5.6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приложения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поправке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ООН).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интенсивных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обсуждений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члены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ЦГ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пропустить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повторное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выдерживание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температуре</w:t>
      </w:r>
      <w:r w:rsidR="00BE0263">
        <w:rPr>
          <w:lang w:val="en-US"/>
        </w:rPr>
        <w:t> </w:t>
      </w:r>
      <w:r w:rsidRPr="0019624C">
        <w:rPr>
          <w:lang w:val="ru-RU"/>
        </w:rPr>
        <w:t>23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°С,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создало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дополнительное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бремя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плане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необходимости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потратить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дополнительные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шесть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часов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повторного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проведения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выдерживания.</w:t>
      </w:r>
    </w:p>
    <w:p w:rsidR="007B21DA" w:rsidRPr="00DD1630" w:rsidRDefault="007B21DA" w:rsidP="00DD1630">
      <w:pPr>
        <w:pStyle w:val="H23G"/>
        <w:rPr>
          <w:lang w:val="ru-RU"/>
        </w:rPr>
      </w:pPr>
      <w:r w:rsidRPr="00996482">
        <w:rPr>
          <w:lang w:val="ru-RU"/>
        </w:rPr>
        <w:tab/>
      </w:r>
      <w:r w:rsidRPr="00DD1630">
        <w:rPr>
          <w:lang w:val="ru-RU"/>
        </w:rPr>
        <w:t>2.</w:t>
      </w:r>
      <w:r w:rsidRPr="00DD1630">
        <w:rPr>
          <w:lang w:val="ru-RU"/>
        </w:rPr>
        <w:tab/>
        <w:t>Подлежащие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обсуждению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вопросы,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касающиеся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модернизации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последних</w:t>
      </w:r>
      <w:r w:rsidR="0019624C" w:rsidRPr="00DD1630">
        <w:rPr>
          <w:lang w:val="ru-RU"/>
        </w:rPr>
        <w:t xml:space="preserve"> </w:t>
      </w:r>
      <w:r w:rsidR="00DD1630" w:rsidRPr="00DD1630">
        <w:rPr>
          <w:lang w:val="ru-RU"/>
        </w:rPr>
        <w:br/>
      </w:r>
      <w:r w:rsidRPr="00DD1630">
        <w:rPr>
          <w:lang w:val="ru-RU"/>
        </w:rPr>
        <w:t>ГТП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№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19</w:t>
      </w:r>
    </w:p>
    <w:p w:rsidR="007B21DA" w:rsidRPr="0019624C" w:rsidRDefault="007B21DA" w:rsidP="00DD1630">
      <w:pPr>
        <w:pStyle w:val="H4G"/>
      </w:pPr>
      <w:r w:rsidRPr="00DD1630">
        <w:rPr>
          <w:lang w:val="ru-RU"/>
        </w:rPr>
        <w:tab/>
      </w:r>
      <w:r w:rsidRPr="0019624C">
        <w:t>2.1</w:t>
      </w:r>
      <w:r w:rsidRPr="0019624C">
        <w:tab/>
      </w:r>
      <w:proofErr w:type="spellStart"/>
      <w:r w:rsidRPr="0019624C">
        <w:t>Подготовка</w:t>
      </w:r>
      <w:proofErr w:type="spellEnd"/>
      <w:r w:rsidR="0019624C" w:rsidRPr="0019624C">
        <w:t xml:space="preserve"> </w:t>
      </w:r>
      <w:proofErr w:type="spellStart"/>
      <w:r w:rsidRPr="0019624C">
        <w:t>транспортного</w:t>
      </w:r>
      <w:proofErr w:type="spellEnd"/>
      <w:r w:rsidR="0019624C" w:rsidRPr="0019624C">
        <w:t xml:space="preserve"> </w:t>
      </w:r>
      <w:proofErr w:type="spellStart"/>
      <w:r w:rsidRPr="0019624C">
        <w:t>средства</w:t>
      </w:r>
      <w:proofErr w:type="spellEnd"/>
      <w:r w:rsidR="0019624C" w:rsidRPr="0019624C">
        <w:t xml:space="preserve"> </w:t>
      </w:r>
      <w:r w:rsidR="0019624C">
        <w:t>–</w:t>
      </w:r>
      <w:r w:rsidR="0019624C" w:rsidRPr="0019624C">
        <w:t xml:space="preserve"> </w:t>
      </w:r>
      <w:r w:rsidRPr="0019624C">
        <w:t>просушка</w:t>
      </w:r>
      <w:r w:rsidR="0019624C" w:rsidRPr="0019624C">
        <w:t xml:space="preserve"> </w:t>
      </w:r>
      <w:r w:rsidRPr="0019624C">
        <w:t>шин</w:t>
      </w:r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31.</w:t>
      </w:r>
      <w:r w:rsidRPr="0019624C">
        <w:rPr>
          <w:lang w:val="ru-RU"/>
        </w:rPr>
        <w:tab/>
        <w:t>В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семьдесят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четвертой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сессии</w:t>
      </w:r>
      <w:r w:rsidR="0019624C" w:rsidRPr="0019624C">
        <w:rPr>
          <w:lang w:val="ru-RU"/>
        </w:rPr>
        <w:t xml:space="preserve"> </w:t>
      </w:r>
      <w:r w:rsidRPr="00350483">
        <w:t>GRPE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Европейская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ассоциация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производителей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шин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резины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(ЕТРМА)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предложила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уточнить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просушки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шин.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Члены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изучили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многочисленные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документы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этому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вопросу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целях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установления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соответствующей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температуры.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итоге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температура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просушки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шин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установлена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основе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описания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процесса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сушки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(«</w:t>
      </w:r>
      <w:r w:rsidRPr="00350483">
        <w:t>bake</w:t>
      </w:r>
      <w:r w:rsidRPr="0019624C">
        <w:rPr>
          <w:lang w:val="ru-RU"/>
        </w:rPr>
        <w:t>»),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содержащегося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преамбуле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стандарту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«Шины-3»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США,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е.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уровне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50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°</w:t>
      </w:r>
      <w:r w:rsidRPr="00350483">
        <w:t>C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выше.</w:t>
      </w:r>
    </w:p>
    <w:p w:rsidR="007B21DA" w:rsidRPr="00DD1630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lastRenderedPageBreak/>
        <w:tab/>
      </w:r>
      <w:r w:rsidRPr="00DD1630">
        <w:rPr>
          <w:lang w:val="ru-RU"/>
        </w:rPr>
        <w:t>2.2</w:t>
      </w:r>
      <w:r w:rsidRPr="00DD1630">
        <w:rPr>
          <w:lang w:val="ru-RU"/>
        </w:rPr>
        <w:tab/>
        <w:t>Представитель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органа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по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официальному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утверждению,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присутствующий</w:t>
      </w:r>
      <w:r w:rsidR="0019624C" w:rsidRPr="00DD1630">
        <w:rPr>
          <w:lang w:val="ru-RU"/>
        </w:rPr>
        <w:t xml:space="preserve"> </w:t>
      </w:r>
      <w:r w:rsidRPr="00DD1630">
        <w:rPr>
          <w:lang w:val="ru-RU"/>
        </w:rPr>
        <w:t>при</w:t>
      </w:r>
      <w:r w:rsidR="00DD1630">
        <w:rPr>
          <w:lang w:val="ru-RU"/>
        </w:rPr>
        <w:t> </w:t>
      </w:r>
      <w:r w:rsidRPr="00DD1630">
        <w:rPr>
          <w:lang w:val="ru-RU"/>
        </w:rPr>
        <w:t>испытании</w:t>
      </w:r>
    </w:p>
    <w:p w:rsidR="007B21DA" w:rsidRPr="0019624C" w:rsidRDefault="007B21DA" w:rsidP="0019624C">
      <w:pPr>
        <w:pStyle w:val="SingleTxtG"/>
        <w:rPr>
          <w:lang w:val="ru-RU"/>
        </w:rPr>
      </w:pPr>
      <w:proofErr w:type="gramStart"/>
      <w:r w:rsidRPr="0019624C">
        <w:rPr>
          <w:lang w:val="ru-RU"/>
        </w:rPr>
        <w:t>32.</w:t>
      </w:r>
      <w:r w:rsidRPr="0019624C">
        <w:rPr>
          <w:lang w:val="ru-RU"/>
        </w:rPr>
        <w:tab/>
        <w:t>В</w:t>
      </w:r>
      <w:proofErr w:type="gramEnd"/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ходе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семьдесят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четвертой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сессии</w:t>
      </w:r>
      <w:r w:rsidR="0019624C" w:rsidRPr="0019624C">
        <w:rPr>
          <w:lang w:val="ru-RU"/>
        </w:rPr>
        <w:t xml:space="preserve"> </w:t>
      </w:r>
      <w:r w:rsidRPr="00350483">
        <w:t>GRPE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Международный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комитет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техническому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осмотру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автотранспортных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(МКТОТ)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указал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содержащаяся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описании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пункте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5.3.11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приложения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фраза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«Изготовитель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представляет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компетентному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органу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протокол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испытания»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вводить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заблуждение,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может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истолкована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означающая,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могут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присутствовать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свидетели.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Кроме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того,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девятнадцатой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сессии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Неофициальной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рабочей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(НРГ)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ВПИМ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Техническое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объединение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автомобильной,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мотоциклетной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велосипедной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промышленности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(УТАК)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указало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необходимость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более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четкого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описания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аудита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присутствии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свидетелей.</w:t>
      </w:r>
    </w:p>
    <w:p w:rsidR="007B21DA" w:rsidRPr="0019624C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33.</w:t>
      </w:r>
      <w:r w:rsidRPr="0019624C">
        <w:rPr>
          <w:lang w:val="ru-RU"/>
        </w:rPr>
        <w:tab/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многочисленных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обсуждений,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состоявшихся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между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представителями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государственных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органов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промышленности,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формулировка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пункта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5.3.11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приложения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(пункта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8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приложения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поправке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="00DD1630">
        <w:rPr>
          <w:lang w:val="ru-RU"/>
        </w:rPr>
        <w:br/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ООН)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изменена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целью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исключить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описание,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упомянутое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МКТОТ.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решено,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аудита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присутствии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свидетелей,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упомянутая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УТАК,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будет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прописана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подробно,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поскольку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конкретное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наполнение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зависит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каждой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Договаривающейся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стороны.</w:t>
      </w:r>
    </w:p>
    <w:p w:rsidR="007B21DA" w:rsidRPr="00996482" w:rsidRDefault="007B21DA" w:rsidP="00DD1630">
      <w:pPr>
        <w:pStyle w:val="H4G"/>
        <w:rPr>
          <w:lang w:val="ru-RU"/>
        </w:rPr>
      </w:pPr>
      <w:r w:rsidRPr="00996482">
        <w:rPr>
          <w:lang w:val="ru-RU"/>
        </w:rPr>
        <w:tab/>
        <w:t>2.3</w:t>
      </w:r>
      <w:r w:rsidRPr="00996482">
        <w:rPr>
          <w:lang w:val="ru-RU"/>
        </w:rPr>
        <w:tab/>
        <w:t>Измерение</w:t>
      </w:r>
      <w:r w:rsidR="0019624C" w:rsidRPr="00996482">
        <w:rPr>
          <w:lang w:val="ru-RU"/>
        </w:rPr>
        <w:t xml:space="preserve"> </w:t>
      </w:r>
      <w:r w:rsidRPr="00996482">
        <w:rPr>
          <w:lang w:val="ru-RU"/>
        </w:rPr>
        <w:t>ПБ</w:t>
      </w:r>
    </w:p>
    <w:p w:rsidR="007B21DA" w:rsidRDefault="007B21DA" w:rsidP="0019624C">
      <w:pPr>
        <w:pStyle w:val="SingleTxtG"/>
        <w:rPr>
          <w:lang w:val="ru-RU"/>
        </w:rPr>
      </w:pPr>
      <w:r w:rsidRPr="0019624C">
        <w:rPr>
          <w:lang w:val="ru-RU"/>
        </w:rPr>
        <w:t>34.</w:t>
      </w:r>
      <w:r w:rsidRPr="0019624C">
        <w:rPr>
          <w:lang w:val="ru-RU"/>
        </w:rPr>
        <w:tab/>
        <w:t>Япония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выразила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обеспокоенность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поводу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того,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что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измерений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ПБ50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никогда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не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будут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применяться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или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представляться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соответствующему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органу.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После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обсуждения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рамках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Целевой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группы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положение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об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измерении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ПБ50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исключено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процедуры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испытания.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этом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было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сохранено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измерение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ПБ300,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которое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используется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для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определения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семейства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транспортных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средств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контексте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выбросов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результате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испарения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должно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проводиться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перед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сертификационным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испытанием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соответствии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с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процедурой,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прописанной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в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поправке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к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ГТП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№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19</w:t>
      </w:r>
      <w:r w:rsidR="0019624C" w:rsidRPr="0019624C">
        <w:rPr>
          <w:lang w:val="ru-RU"/>
        </w:rPr>
        <w:t xml:space="preserve"> </w:t>
      </w:r>
      <w:r w:rsidRPr="0019624C">
        <w:rPr>
          <w:lang w:val="ru-RU"/>
        </w:rPr>
        <w:t>ООН.</w:t>
      </w:r>
      <w:bookmarkEnd w:id="44"/>
    </w:p>
    <w:p w:rsidR="009575BF" w:rsidRPr="009575BF" w:rsidRDefault="009575BF" w:rsidP="009575B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75BF" w:rsidRPr="009575BF" w:rsidSect="007B21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4C" w:rsidRPr="00A312BC" w:rsidRDefault="0019624C" w:rsidP="00A312BC"/>
  </w:endnote>
  <w:endnote w:type="continuationSeparator" w:id="0">
    <w:p w:rsidR="0019624C" w:rsidRPr="00A312BC" w:rsidRDefault="001962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4C" w:rsidRPr="007B21DA" w:rsidRDefault="0019624C">
    <w:pPr>
      <w:pStyle w:val="Footer"/>
    </w:pPr>
    <w:r w:rsidRPr="007B21DA">
      <w:rPr>
        <w:b/>
        <w:sz w:val="18"/>
      </w:rPr>
      <w:fldChar w:fldCharType="begin"/>
    </w:r>
    <w:r w:rsidRPr="007B21DA">
      <w:rPr>
        <w:b/>
        <w:sz w:val="18"/>
      </w:rPr>
      <w:instrText xml:space="preserve"> PAGE  \* MERGEFORMAT </w:instrText>
    </w:r>
    <w:r w:rsidRPr="007B21DA">
      <w:rPr>
        <w:b/>
        <w:sz w:val="18"/>
      </w:rPr>
      <w:fldChar w:fldCharType="separate"/>
    </w:r>
    <w:r w:rsidR="006015E8">
      <w:rPr>
        <w:b/>
        <w:noProof/>
        <w:sz w:val="18"/>
      </w:rPr>
      <w:t>2</w:t>
    </w:r>
    <w:r w:rsidRPr="007B21DA">
      <w:rPr>
        <w:b/>
        <w:sz w:val="18"/>
      </w:rPr>
      <w:fldChar w:fldCharType="end"/>
    </w:r>
    <w:r>
      <w:rPr>
        <w:b/>
        <w:sz w:val="18"/>
      </w:rPr>
      <w:tab/>
    </w:r>
    <w:r>
      <w:t>GE.18-05351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4C" w:rsidRPr="007B21DA" w:rsidRDefault="0019624C" w:rsidP="007B21D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GE.18-05351</w:t>
    </w:r>
    <w:r>
      <w:tab/>
    </w:r>
    <w:r w:rsidRPr="007B21DA">
      <w:rPr>
        <w:b/>
        <w:sz w:val="18"/>
      </w:rPr>
      <w:fldChar w:fldCharType="begin"/>
    </w:r>
    <w:r w:rsidRPr="007B21DA">
      <w:rPr>
        <w:b/>
        <w:sz w:val="18"/>
      </w:rPr>
      <w:instrText xml:space="preserve"> PAGE  \* MERGEFORMAT </w:instrText>
    </w:r>
    <w:r w:rsidRPr="007B21DA">
      <w:rPr>
        <w:b/>
        <w:sz w:val="18"/>
      </w:rPr>
      <w:fldChar w:fldCharType="separate"/>
    </w:r>
    <w:r w:rsidR="006015E8">
      <w:rPr>
        <w:b/>
        <w:noProof/>
        <w:sz w:val="18"/>
      </w:rPr>
      <w:t>7</w:t>
    </w:r>
    <w:r w:rsidRPr="007B21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4C" w:rsidRPr="007B21DA" w:rsidRDefault="0019624C" w:rsidP="007B21DA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18-05351  (R)</w:t>
    </w:r>
    <w:r>
      <w:rPr>
        <w:lang w:val="en-US"/>
      </w:rPr>
      <w:t xml:space="preserve">  020518  030518</w:t>
    </w:r>
    <w:r>
      <w:br/>
    </w:r>
    <w:r w:rsidRPr="007B21DA">
      <w:rPr>
        <w:rFonts w:ascii="C39T30Lfz" w:hAnsi="C39T30Lfz"/>
        <w:kern w:val="14"/>
        <w:sz w:val="56"/>
      </w:rPr>
      <w:t></w:t>
    </w:r>
    <w:r w:rsidRPr="007B21DA">
      <w:rPr>
        <w:rFonts w:ascii="C39T30Lfz" w:hAnsi="C39T30Lfz"/>
        <w:kern w:val="14"/>
        <w:sz w:val="56"/>
      </w:rPr>
      <w:t></w:t>
    </w:r>
    <w:r w:rsidRPr="007B21DA">
      <w:rPr>
        <w:rFonts w:ascii="C39T30Lfz" w:hAnsi="C39T30Lfz"/>
        <w:kern w:val="14"/>
        <w:sz w:val="56"/>
      </w:rPr>
      <w:t></w:t>
    </w:r>
    <w:r w:rsidRPr="007B21DA">
      <w:rPr>
        <w:rFonts w:ascii="C39T30Lfz" w:hAnsi="C39T30Lfz"/>
        <w:kern w:val="14"/>
        <w:sz w:val="56"/>
      </w:rPr>
      <w:t></w:t>
    </w:r>
    <w:r w:rsidRPr="007B21DA">
      <w:rPr>
        <w:rFonts w:ascii="C39T30Lfz" w:hAnsi="C39T30Lfz"/>
        <w:kern w:val="14"/>
        <w:sz w:val="56"/>
      </w:rPr>
      <w:t></w:t>
    </w:r>
    <w:r w:rsidRPr="007B21DA">
      <w:rPr>
        <w:rFonts w:ascii="C39T30Lfz" w:hAnsi="C39T30Lfz"/>
        <w:kern w:val="14"/>
        <w:sz w:val="56"/>
      </w:rPr>
      <w:t></w:t>
    </w:r>
    <w:r w:rsidRPr="007B21DA">
      <w:rPr>
        <w:rFonts w:ascii="C39T30Lfz" w:hAnsi="C39T30Lfz"/>
        <w:kern w:val="14"/>
        <w:sz w:val="56"/>
      </w:rPr>
      <w:t></w:t>
    </w:r>
    <w:r w:rsidRPr="007B21DA">
      <w:rPr>
        <w:rFonts w:ascii="C39T30Lfz" w:hAnsi="C39T30Lfz"/>
        <w:kern w:val="14"/>
        <w:sz w:val="56"/>
      </w:rPr>
      <w:t></w:t>
    </w:r>
    <w:r w:rsidRPr="007B21D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4C" w:rsidRPr="001075E9" w:rsidRDefault="001962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624C" w:rsidRDefault="001962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9624C" w:rsidRPr="00C35871" w:rsidRDefault="0019624C" w:rsidP="0019624C">
      <w:pPr>
        <w:pStyle w:val="FootnoteText"/>
      </w:pPr>
      <w:r>
        <w:tab/>
      </w:r>
      <w:r w:rsidRPr="0019624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работы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4C" w:rsidRPr="007B21DA" w:rsidRDefault="006015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D2B00">
      <w:t>ECE/TRANS/WP.29/2018/74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4C" w:rsidRPr="007B21DA" w:rsidRDefault="006015E8" w:rsidP="007B21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D2B00">
      <w:t>ECE/TRANS/WP.29/2018/74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9"/>
    <w:lvlOverride w:ilvl="0">
      <w:lvl w:ilvl="0" w:tplc="3A60C988">
        <w:numFmt w:val="decimal"/>
        <w:pStyle w:val="Bullet2G"/>
        <w:lvlText w:val="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6"/>
    <w:rsid w:val="00033EE1"/>
    <w:rsid w:val="00042B72"/>
    <w:rsid w:val="000558BD"/>
    <w:rsid w:val="000B57E7"/>
    <w:rsid w:val="000B6373"/>
    <w:rsid w:val="000E4E5B"/>
    <w:rsid w:val="000F09DF"/>
    <w:rsid w:val="000F61B2"/>
    <w:rsid w:val="00101EA6"/>
    <w:rsid w:val="001075E9"/>
    <w:rsid w:val="0014152F"/>
    <w:rsid w:val="00180183"/>
    <w:rsid w:val="0018024D"/>
    <w:rsid w:val="0018649F"/>
    <w:rsid w:val="0019624C"/>
    <w:rsid w:val="00196389"/>
    <w:rsid w:val="001B3EF6"/>
    <w:rsid w:val="001C7A89"/>
    <w:rsid w:val="001E2FD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15E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2C7"/>
    <w:rsid w:val="00757357"/>
    <w:rsid w:val="00792497"/>
    <w:rsid w:val="007B21DA"/>
    <w:rsid w:val="00801E3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5BF"/>
    <w:rsid w:val="009608F3"/>
    <w:rsid w:val="0099648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2B00"/>
    <w:rsid w:val="00B10CC7"/>
    <w:rsid w:val="00B36DF7"/>
    <w:rsid w:val="00B539E7"/>
    <w:rsid w:val="00B62458"/>
    <w:rsid w:val="00B9298F"/>
    <w:rsid w:val="00BC18B2"/>
    <w:rsid w:val="00BD33EE"/>
    <w:rsid w:val="00BE0263"/>
    <w:rsid w:val="00BE1CC7"/>
    <w:rsid w:val="00C106D6"/>
    <w:rsid w:val="00C119AE"/>
    <w:rsid w:val="00C54B8D"/>
    <w:rsid w:val="00C60F0C"/>
    <w:rsid w:val="00C805C9"/>
    <w:rsid w:val="00C82381"/>
    <w:rsid w:val="00C92939"/>
    <w:rsid w:val="00CA1679"/>
    <w:rsid w:val="00CB151C"/>
    <w:rsid w:val="00CE5A1A"/>
    <w:rsid w:val="00CF55F6"/>
    <w:rsid w:val="00D33D63"/>
    <w:rsid w:val="00D5253A"/>
    <w:rsid w:val="00D64F45"/>
    <w:rsid w:val="00D873A8"/>
    <w:rsid w:val="00D90028"/>
    <w:rsid w:val="00D90138"/>
    <w:rsid w:val="00DD163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6B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007611-9CF0-4AC8-85F6-D569DA2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7B21D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B21D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Normal"/>
    <w:rsid w:val="007B21DA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7B21DA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7B21D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7B21D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7B21D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link w:val="H56GChar"/>
    <w:rsid w:val="007B21D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7B21DA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locked/>
    <w:rsid w:val="007B21DA"/>
    <w:rPr>
      <w:lang w:val="en-GB" w:eastAsia="en-US"/>
    </w:rPr>
  </w:style>
  <w:style w:type="character" w:customStyle="1" w:styleId="H1GChar">
    <w:name w:val="_ H_1_G Char"/>
    <w:link w:val="H1G"/>
    <w:rsid w:val="007B21DA"/>
    <w:rPr>
      <w:b/>
      <w:sz w:val="24"/>
      <w:lang w:val="en-GB" w:eastAsia="en-US"/>
    </w:rPr>
  </w:style>
  <w:style w:type="character" w:customStyle="1" w:styleId="H56GChar">
    <w:name w:val="_ H_5/6_G Char"/>
    <w:link w:val="H56G"/>
    <w:rsid w:val="007B21DA"/>
    <w:rPr>
      <w:lang w:val="en-GB" w:eastAsia="en-US"/>
    </w:rPr>
  </w:style>
  <w:style w:type="character" w:customStyle="1" w:styleId="H23GChar">
    <w:name w:val="_ H_2/3_G Char"/>
    <w:link w:val="H23G"/>
    <w:rsid w:val="007B21DA"/>
    <w:rPr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2954</Words>
  <Characters>16840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ECE/TRANS/WP.29/2018/74</vt:lpstr>
      <vt:lpstr>ECE/TRANS/WP.29/2018/74</vt:lpstr>
      <vt:lpstr>A/</vt:lpstr>
    </vt:vector>
  </TitlesOfParts>
  <Company>DCM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ECE/TRANS/WP.29/2018/74</dc:title>
  <dc:subject/>
  <dc:creator>Tatiana SHARKINA</dc:creator>
  <cp:keywords/>
  <cp:lastModifiedBy>New</cp:lastModifiedBy>
  <cp:revision>2</cp:revision>
  <cp:lastPrinted>2018-05-03T08:42:00Z</cp:lastPrinted>
  <dcterms:created xsi:type="dcterms:W3CDTF">2018-05-03T15:28:00Z</dcterms:created>
  <dcterms:modified xsi:type="dcterms:W3CDTF">2018-05-03T15:28:00Z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