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83A7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83A7A" w:rsidP="00B83A7A">
            <w:pPr>
              <w:jc w:val="right"/>
            </w:pPr>
            <w:r w:rsidRPr="00B83A7A">
              <w:rPr>
                <w:sz w:val="40"/>
              </w:rPr>
              <w:t>ECE</w:t>
            </w:r>
            <w:r>
              <w:t>/TRANS/WP.29/2018/62</w:t>
            </w:r>
            <w:r w:rsidR="00D55EC3" w:rsidRPr="00D55EC3">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83A7A" w:rsidP="00C97039">
            <w:pPr>
              <w:spacing w:before="240"/>
            </w:pPr>
            <w:r>
              <w:t>Distr. générale</w:t>
            </w:r>
          </w:p>
          <w:p w:rsidR="00B83A7A" w:rsidRDefault="00D55EC3" w:rsidP="00B83A7A">
            <w:pPr>
              <w:spacing w:line="240" w:lineRule="exact"/>
            </w:pPr>
            <w:r>
              <w:t>5 </w:t>
            </w:r>
            <w:r w:rsidR="00B83A7A">
              <w:t>avril 2018</w:t>
            </w:r>
          </w:p>
          <w:p w:rsidR="00B83A7A" w:rsidRDefault="00B83A7A" w:rsidP="00B83A7A">
            <w:pPr>
              <w:spacing w:line="240" w:lineRule="exact"/>
            </w:pPr>
            <w:r>
              <w:t>Français</w:t>
            </w:r>
          </w:p>
          <w:p w:rsidR="00B83A7A" w:rsidRPr="00DB58B5" w:rsidRDefault="00D55EC3" w:rsidP="00B83A7A">
            <w:pPr>
              <w:spacing w:line="240" w:lineRule="exact"/>
            </w:pPr>
            <w:r>
              <w:t>Original </w:t>
            </w:r>
            <w:r w:rsidR="00B83A7A">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32758D" w:rsidRPr="006C231E" w:rsidRDefault="008C28A8" w:rsidP="006C231E">
      <w:pPr>
        <w:spacing w:before="120" w:after="120"/>
        <w:rPr>
          <w:b/>
          <w:sz w:val="24"/>
          <w:szCs w:val="24"/>
        </w:rPr>
      </w:pPr>
      <w:r w:rsidRPr="006C231E">
        <w:rPr>
          <w:b/>
          <w:sz w:val="24"/>
          <w:szCs w:val="24"/>
        </w:rPr>
        <w:t>Forum mondial de l</w:t>
      </w:r>
      <w:r w:rsidR="005110B4" w:rsidRPr="006C231E">
        <w:rPr>
          <w:b/>
          <w:sz w:val="24"/>
          <w:szCs w:val="24"/>
        </w:rPr>
        <w:t>’</w:t>
      </w:r>
      <w:r w:rsidRPr="006C231E">
        <w:rPr>
          <w:b/>
          <w:sz w:val="24"/>
          <w:szCs w:val="24"/>
        </w:rPr>
        <w:t xml:space="preserve">harmonisation </w:t>
      </w:r>
      <w:r w:rsidR="006C231E">
        <w:rPr>
          <w:b/>
          <w:sz w:val="24"/>
          <w:szCs w:val="24"/>
        </w:rPr>
        <w:br/>
      </w:r>
      <w:r w:rsidRPr="006C231E">
        <w:rPr>
          <w:b/>
          <w:sz w:val="24"/>
          <w:szCs w:val="24"/>
        </w:rPr>
        <w:t>des Règlements concernant les véhicules</w:t>
      </w:r>
    </w:p>
    <w:p w:rsidR="0032758D" w:rsidRPr="005110B4" w:rsidRDefault="006C231E" w:rsidP="005110B4">
      <w:pPr>
        <w:rPr>
          <w:b/>
        </w:rPr>
      </w:pPr>
      <w:r>
        <w:rPr>
          <w:b/>
        </w:rPr>
        <w:t>175</w:t>
      </w:r>
      <w:r w:rsidRPr="006C231E">
        <w:rPr>
          <w:b/>
          <w:vertAlign w:val="superscript"/>
        </w:rPr>
        <w:t>e</w:t>
      </w:r>
      <w:r w:rsidR="008C28A8" w:rsidRPr="005110B4">
        <w:rPr>
          <w:b/>
        </w:rPr>
        <w:t xml:space="preserve"> session</w:t>
      </w:r>
    </w:p>
    <w:p w:rsidR="0032758D" w:rsidRPr="005110B4" w:rsidRDefault="008C28A8" w:rsidP="005110B4">
      <w:r w:rsidRPr="005110B4">
        <w:t>Genève, 19-22</w:t>
      </w:r>
      <w:r w:rsidR="00E812B5">
        <w:t> </w:t>
      </w:r>
      <w:r w:rsidRPr="005110B4">
        <w:t>juin 2018</w:t>
      </w:r>
    </w:p>
    <w:p w:rsidR="0032758D" w:rsidRPr="005110B4" w:rsidRDefault="008C28A8" w:rsidP="005110B4">
      <w:r w:rsidRPr="005110B4">
        <w:t>Point 4.9.1 de l</w:t>
      </w:r>
      <w:r w:rsidR="005110B4" w:rsidRPr="005110B4">
        <w:t>’</w:t>
      </w:r>
      <w:r w:rsidRPr="005110B4">
        <w:t>ordre du jour provisoire</w:t>
      </w:r>
    </w:p>
    <w:p w:rsidR="0032758D" w:rsidRPr="005110B4" w:rsidRDefault="006473EB" w:rsidP="005110B4">
      <w:pPr>
        <w:rPr>
          <w:b/>
        </w:rPr>
      </w:pPr>
      <w:r>
        <w:rPr>
          <w:b/>
        </w:rPr>
        <w:t>Accord de 1958 </w:t>
      </w:r>
      <w:r w:rsidR="008C28A8" w:rsidRPr="005110B4">
        <w:rPr>
          <w:b/>
        </w:rPr>
        <w:t>:</w:t>
      </w:r>
      <w:r w:rsidR="008C28A8" w:rsidRPr="005110B4">
        <w:rPr>
          <w:b/>
        </w:rPr>
        <w:br/>
        <w:t>Examen de projets d</w:t>
      </w:r>
      <w:r w:rsidR="005110B4" w:rsidRPr="005110B4">
        <w:rPr>
          <w:b/>
        </w:rPr>
        <w:t>’</w:t>
      </w:r>
      <w:r w:rsidR="008C28A8" w:rsidRPr="005110B4">
        <w:rPr>
          <w:b/>
        </w:rPr>
        <w:t xml:space="preserve">amendements </w:t>
      </w:r>
      <w:r w:rsidR="005110B4">
        <w:rPr>
          <w:b/>
        </w:rPr>
        <w:br/>
      </w:r>
      <w:r w:rsidR="008C28A8" w:rsidRPr="005110B4">
        <w:rPr>
          <w:b/>
        </w:rPr>
        <w:t>à des Règlements</w:t>
      </w:r>
      <w:r w:rsidR="00D55EC3">
        <w:rPr>
          <w:b/>
        </w:rPr>
        <w:t xml:space="preserve"> ONU</w:t>
      </w:r>
      <w:r w:rsidR="008C28A8" w:rsidRPr="005110B4">
        <w:rPr>
          <w:b/>
        </w:rPr>
        <w:t xml:space="preserve"> existants, soumis par le GRB</w:t>
      </w:r>
    </w:p>
    <w:p w:rsidR="0032758D" w:rsidRPr="005110B4" w:rsidRDefault="005110B4" w:rsidP="005110B4">
      <w:pPr>
        <w:pStyle w:val="HChG"/>
      </w:pPr>
      <w:r>
        <w:tab/>
      </w:r>
      <w:r>
        <w:tab/>
      </w:r>
      <w:r w:rsidR="008C28A8" w:rsidRPr="005110B4">
        <w:t>Proposition de complément 4 à la série 02 d</w:t>
      </w:r>
      <w:r w:rsidRPr="005110B4">
        <w:t>’</w:t>
      </w:r>
      <w:r w:rsidR="008C28A8" w:rsidRPr="005110B4">
        <w:t xml:space="preserve">amendements </w:t>
      </w:r>
      <w:r w:rsidR="006C231E">
        <w:br/>
      </w:r>
      <w:r w:rsidR="008C28A8" w:rsidRPr="005110B4">
        <w:t xml:space="preserve">au Règlement </w:t>
      </w:r>
      <w:r w:rsidR="00D55EC3">
        <w:t xml:space="preserve">ONU </w:t>
      </w:r>
      <w:r w:rsidR="008C28A8" w:rsidRPr="005110B4">
        <w:t>n</w:t>
      </w:r>
      <w:r w:rsidR="008C28A8" w:rsidRPr="005110B4">
        <w:rPr>
          <w:vertAlign w:val="superscript"/>
        </w:rPr>
        <w:t>o</w:t>
      </w:r>
      <w:r w:rsidR="008C28A8" w:rsidRPr="005110B4">
        <w:t> 63 (Bruit émis par les cyclomoteurs)</w:t>
      </w:r>
    </w:p>
    <w:p w:rsidR="00D55EC3" w:rsidRPr="00D55EC3" w:rsidRDefault="005110B4" w:rsidP="00D55EC3">
      <w:pPr>
        <w:pStyle w:val="H1G"/>
        <w:rPr>
          <w:b w:val="0"/>
          <w:sz w:val="20"/>
        </w:rPr>
      </w:pPr>
      <w:r>
        <w:tab/>
      </w:r>
      <w:r>
        <w:tab/>
      </w:r>
      <w:r w:rsidR="008C28A8" w:rsidRPr="005110B4">
        <w:t>Communication du Groupe de travail du bruit</w:t>
      </w:r>
      <w:r w:rsidR="00D55EC3" w:rsidRPr="00714B50">
        <w:rPr>
          <w:rStyle w:val="FootnoteReference"/>
          <w:b w:val="0"/>
          <w:sz w:val="20"/>
          <w:vertAlign w:val="baseline"/>
        </w:rPr>
        <w:footnoteReference w:customMarkFollows="1" w:id="3"/>
        <w:t>**</w:t>
      </w:r>
    </w:p>
    <w:p w:rsidR="0032758D" w:rsidRPr="005110B4" w:rsidRDefault="008C28A8" w:rsidP="005110B4">
      <w:pPr>
        <w:pStyle w:val="SingleTxtG"/>
      </w:pPr>
      <w:r w:rsidRPr="005110B4">
        <w:tab/>
        <w:t>Le texte ci-après, établi par le Groupe de travail du bruit (GRB) à sa soixante-septième sessio</w:t>
      </w:r>
      <w:r w:rsidR="005110B4">
        <w:t>n (ECE/TRANS/WP.29/GRB/65, par. </w:t>
      </w:r>
      <w:r w:rsidRPr="005110B4">
        <w:t>14), est fondé sur le document ECE/TRANS/WP.29/GRB/2018/4, non modifié. Il est soumis au Forum mondial de l</w:t>
      </w:r>
      <w:r w:rsidR="005110B4" w:rsidRPr="005110B4">
        <w:t>’</w:t>
      </w:r>
      <w:r w:rsidRPr="005110B4">
        <w:t>harmonisation des Règlements concernant les véhicules (WP.29) et au Comité d</w:t>
      </w:r>
      <w:r w:rsidR="005110B4" w:rsidRPr="005110B4">
        <w:t>’</w:t>
      </w:r>
      <w:r w:rsidRPr="005110B4">
        <w:t>administration de l</w:t>
      </w:r>
      <w:r w:rsidR="005110B4" w:rsidRPr="005110B4">
        <w:t>’</w:t>
      </w:r>
      <w:r w:rsidRPr="005110B4">
        <w:t xml:space="preserve">Accord de 1958 (AC.1) pour examen à leurs sessions de juin 2018. </w:t>
      </w:r>
    </w:p>
    <w:p w:rsidR="0032758D" w:rsidRPr="005110B4" w:rsidRDefault="008C28A8" w:rsidP="00AB3796">
      <w:pPr>
        <w:pStyle w:val="HChG"/>
      </w:pPr>
      <w:r w:rsidRPr="005110B4">
        <w:br w:type="page"/>
      </w:r>
      <w:r w:rsidRPr="005110B4">
        <w:lastRenderedPageBreak/>
        <w:tab/>
      </w:r>
      <w:r w:rsidRPr="005110B4">
        <w:tab/>
        <w:t>Proposition de complément 4 à la série 02 d</w:t>
      </w:r>
      <w:r w:rsidR="005110B4" w:rsidRPr="005110B4">
        <w:t>’</w:t>
      </w:r>
      <w:r w:rsidRPr="005110B4">
        <w:t xml:space="preserve">amendements </w:t>
      </w:r>
      <w:r w:rsidR="00F04F1A">
        <w:br/>
      </w:r>
      <w:r w:rsidRPr="005110B4">
        <w:t xml:space="preserve">au Règlement </w:t>
      </w:r>
      <w:r w:rsidR="00D55EC3">
        <w:t xml:space="preserve">ONU </w:t>
      </w:r>
      <w:r w:rsidRPr="005110B4">
        <w:t>n</w:t>
      </w:r>
      <w:r w:rsidRPr="005110B4">
        <w:rPr>
          <w:vertAlign w:val="superscript"/>
        </w:rPr>
        <w:t>o</w:t>
      </w:r>
      <w:r w:rsidRPr="005110B4">
        <w:t> 63 (Bruit émis par les cyclomoteurs)</w:t>
      </w:r>
    </w:p>
    <w:p w:rsidR="0032758D" w:rsidRPr="005110B4" w:rsidRDefault="008C28A8" w:rsidP="00AB3796">
      <w:pPr>
        <w:pStyle w:val="SingleTxtG"/>
      </w:pPr>
      <w:r w:rsidRPr="00AB3796">
        <w:rPr>
          <w:i/>
        </w:rPr>
        <w:t>Paragraphe 1</w:t>
      </w:r>
      <w:r w:rsidRPr="005110B4">
        <w:t>, lire</w:t>
      </w:r>
      <w:r w:rsidR="00AB3796">
        <w:t> </w:t>
      </w:r>
      <w:r w:rsidRPr="005110B4">
        <w:t>:</w:t>
      </w:r>
    </w:p>
    <w:p w:rsidR="0032758D" w:rsidRPr="005110B4" w:rsidRDefault="00F62F6D" w:rsidP="00750D1D">
      <w:pPr>
        <w:pStyle w:val="HChG"/>
        <w:ind w:left="2268"/>
      </w:pPr>
      <w:r w:rsidRPr="00750D1D">
        <w:rPr>
          <w:b w:val="0"/>
          <w:sz w:val="20"/>
        </w:rPr>
        <w:t>« </w:t>
      </w:r>
      <w:r>
        <w:t>1.</w:t>
      </w:r>
      <w:r>
        <w:tab/>
      </w:r>
      <w:r w:rsidR="00750D1D">
        <w:tab/>
      </w:r>
      <w:r w:rsidR="008C28A8" w:rsidRPr="005110B4">
        <w:t>Domaine d</w:t>
      </w:r>
      <w:r w:rsidR="005110B4" w:rsidRPr="005110B4">
        <w:t>’</w:t>
      </w:r>
      <w:r w:rsidR="008C28A8" w:rsidRPr="005110B4">
        <w:t>application</w:t>
      </w:r>
    </w:p>
    <w:p w:rsidR="0032758D" w:rsidRPr="005110B4" w:rsidRDefault="008C28A8" w:rsidP="009E5D45">
      <w:pPr>
        <w:pStyle w:val="SingleTxtG"/>
        <w:ind w:left="2268"/>
      </w:pPr>
      <w:r w:rsidRPr="005110B4">
        <w:t>Le présent Règlement s</w:t>
      </w:r>
      <w:r w:rsidR="005110B4" w:rsidRPr="005110B4">
        <w:t>’</w:t>
      </w:r>
      <w:r w:rsidRPr="005110B4">
        <w:t>applique aux émissions sonores des véhicules de la catégorie L</w:t>
      </w:r>
      <w:r w:rsidRPr="005110B4">
        <w:rPr>
          <w:vertAlign w:val="subscript"/>
        </w:rPr>
        <w:t>1</w:t>
      </w:r>
      <w:r w:rsidRPr="0053604F">
        <w:rPr>
          <w:sz w:val="18"/>
          <w:szCs w:val="18"/>
          <w:vertAlign w:val="superscript"/>
        </w:rPr>
        <w:t>1</w:t>
      </w:r>
      <w:r w:rsidRPr="005110B4">
        <w:t>. Les véhicules électriques purs, y compris les véhicules à propulsion électrique auxiliaire, sont exclus du champ d</w:t>
      </w:r>
      <w:r w:rsidR="005110B4" w:rsidRPr="005110B4">
        <w:t>’</w:t>
      </w:r>
      <w:r w:rsidRPr="005110B4">
        <w:t>application du présent Règlement. ».</w:t>
      </w:r>
    </w:p>
    <w:p w:rsidR="0032758D" w:rsidRPr="005110B4" w:rsidRDefault="008C28A8" w:rsidP="005110B4">
      <w:pPr>
        <w:pStyle w:val="SingleTxtG"/>
        <w:rPr>
          <w:i/>
        </w:rPr>
      </w:pPr>
      <w:r w:rsidRPr="005110B4">
        <w:rPr>
          <w:i/>
          <w:iCs/>
        </w:rPr>
        <w:t>Annexe 3,</w:t>
      </w:r>
    </w:p>
    <w:p w:rsidR="0032758D" w:rsidRPr="005110B4" w:rsidRDefault="008C28A8" w:rsidP="005110B4">
      <w:pPr>
        <w:pStyle w:val="SingleTxtG"/>
      </w:pPr>
      <w:r w:rsidRPr="005110B4">
        <w:rPr>
          <w:i/>
          <w:iCs/>
        </w:rPr>
        <w:t>Paragraphe 2.2.1</w:t>
      </w:r>
      <w:r w:rsidRPr="0053604F">
        <w:rPr>
          <w:iCs/>
        </w:rPr>
        <w:t>,</w:t>
      </w:r>
      <w:r w:rsidR="0053604F">
        <w:t xml:space="preserve"> lire </w:t>
      </w:r>
      <w:r w:rsidRPr="005110B4">
        <w:t>:</w:t>
      </w:r>
    </w:p>
    <w:p w:rsidR="0032758D" w:rsidRPr="005110B4" w:rsidRDefault="008C28A8" w:rsidP="00F62F6D">
      <w:pPr>
        <w:pStyle w:val="SingleTxtG"/>
        <w:ind w:left="2268" w:hanging="1134"/>
      </w:pPr>
      <w:r w:rsidRPr="005110B4">
        <w:t>« 2.2.1</w:t>
      </w:r>
      <w:r w:rsidRPr="005110B4">
        <w:tab/>
        <w:t>État général</w:t>
      </w:r>
    </w:p>
    <w:p w:rsidR="0032758D" w:rsidRPr="005110B4" w:rsidRDefault="008C28A8" w:rsidP="009E5D45">
      <w:pPr>
        <w:pStyle w:val="SingleTxtG"/>
        <w:ind w:left="2268"/>
      </w:pPr>
      <w:r w:rsidRPr="005110B4">
        <w:t>Avant qu</w:t>
      </w:r>
      <w:r w:rsidR="005110B4" w:rsidRPr="005110B4">
        <w:t>’</w:t>
      </w:r>
      <w:r w:rsidRPr="005110B4">
        <w:t>il soit procédé aux mesures, le moteur est porté à son état normal de fonctionnement en ce qui concerne :</w:t>
      </w:r>
    </w:p>
    <w:p w:rsidR="0032758D" w:rsidRPr="005110B4" w:rsidRDefault="008C28A8" w:rsidP="009E5D45">
      <w:pPr>
        <w:pStyle w:val="SingleTxtG"/>
        <w:ind w:left="2268"/>
      </w:pPr>
      <w:r w:rsidRPr="005110B4">
        <w:t>a)</w:t>
      </w:r>
      <w:r w:rsidR="009E5D45">
        <w:tab/>
      </w:r>
      <w:r w:rsidRPr="005110B4">
        <w:t>Les températures ;</w:t>
      </w:r>
    </w:p>
    <w:p w:rsidR="0032758D" w:rsidRPr="005110B4" w:rsidRDefault="008C28A8" w:rsidP="009E5D45">
      <w:pPr>
        <w:pStyle w:val="SingleTxtG"/>
        <w:ind w:left="2268"/>
      </w:pPr>
      <w:r w:rsidRPr="005110B4">
        <w:t>b)</w:t>
      </w:r>
      <w:r w:rsidR="009E5D45">
        <w:tab/>
      </w:r>
      <w:r w:rsidRPr="005110B4">
        <w:t>Les réglages ;</w:t>
      </w:r>
    </w:p>
    <w:p w:rsidR="0032758D" w:rsidRPr="005110B4" w:rsidRDefault="008C28A8" w:rsidP="009E5D45">
      <w:pPr>
        <w:pStyle w:val="SingleTxtG"/>
        <w:ind w:left="2268"/>
      </w:pPr>
      <w:r w:rsidRPr="005110B4">
        <w:t>c)</w:t>
      </w:r>
      <w:r w:rsidR="009E5D45">
        <w:tab/>
      </w:r>
      <w:r w:rsidRPr="005110B4">
        <w:t>Le carburant ;</w:t>
      </w:r>
    </w:p>
    <w:p w:rsidR="0032758D" w:rsidRPr="005110B4" w:rsidRDefault="009E5D45" w:rsidP="009E5D45">
      <w:pPr>
        <w:pStyle w:val="SingleTxtG"/>
        <w:ind w:left="2268"/>
      </w:pPr>
      <w:r>
        <w:t>d)</w:t>
      </w:r>
      <w:r>
        <w:tab/>
      </w:r>
      <w:r w:rsidR="008C28A8" w:rsidRPr="005110B4">
        <w:t>Les bougies, le(s) carburateur(s), etc., (selon qu</w:t>
      </w:r>
      <w:r w:rsidR="005110B4" w:rsidRPr="005110B4">
        <w:t>’</w:t>
      </w:r>
      <w:r w:rsidR="008C28A8" w:rsidRPr="005110B4">
        <w:t>il convient).</w:t>
      </w:r>
    </w:p>
    <w:p w:rsidR="0032758D" w:rsidRPr="00BB53F4" w:rsidRDefault="008C28A8" w:rsidP="009E5D45">
      <w:pPr>
        <w:pStyle w:val="SingleTxtG"/>
        <w:ind w:left="2268"/>
        <w:rPr>
          <w:spacing w:val="-6"/>
        </w:rPr>
      </w:pPr>
      <w:r w:rsidRPr="00BB53F4">
        <w:rPr>
          <w:spacing w:val="-6"/>
        </w:rPr>
        <w:t>Si le véhicule est équipé de ventilateurs à enclenchement automatique, leur fonctionnement ne doit pas être perturbé pendant la mesure des émissions sonores.</w:t>
      </w:r>
    </w:p>
    <w:p w:rsidR="0032758D" w:rsidRPr="005110B4" w:rsidRDefault="008C28A8" w:rsidP="009E5D45">
      <w:pPr>
        <w:pStyle w:val="SingleTxtG"/>
        <w:ind w:left="2268"/>
      </w:pPr>
      <w:r w:rsidRPr="005110B4">
        <w:t>Si le véhicule est équipé de dispositifs qui ne sont pas nécessaires à sa propulsion mais qui sont utilisés quand le véhicule est en circulation normale sur route, ces dispositifs doivent être en fonctionnement conformément aux spécifications du fabricant.</w:t>
      </w:r>
    </w:p>
    <w:p w:rsidR="005110B4" w:rsidRDefault="008C28A8" w:rsidP="009E5D45">
      <w:pPr>
        <w:pStyle w:val="SingleTxtG"/>
        <w:ind w:left="2268"/>
      </w:pPr>
      <w:r w:rsidRPr="005110B4">
        <w:t>Dans le cas des moteurs à air comprimé, l</w:t>
      </w:r>
      <w:r w:rsidR="005110B4" w:rsidRPr="005110B4">
        <w:t>’</w:t>
      </w:r>
      <w:r w:rsidRPr="005110B4">
        <w:t>état normal de fonctionnement, qui diffère de l</w:t>
      </w:r>
      <w:r w:rsidR="005110B4" w:rsidRPr="005110B4">
        <w:t>’</w:t>
      </w:r>
      <w:r w:rsidRPr="005110B4">
        <w:t>état susmentionné dans le présent paragraphe, doit être convenu entre le fabricant et l</w:t>
      </w:r>
      <w:r w:rsidR="005110B4" w:rsidRPr="005110B4">
        <w:t>’</w:t>
      </w:r>
      <w:r w:rsidRPr="005110B4">
        <w:t>autorité d</w:t>
      </w:r>
      <w:r w:rsidR="005110B4" w:rsidRPr="005110B4">
        <w:t>’</w:t>
      </w:r>
      <w:r w:rsidRPr="005110B4">
        <w:t>homologation de type et être annexé à la demande d</w:t>
      </w:r>
      <w:r w:rsidR="005110B4" w:rsidRPr="005110B4">
        <w:t>’</w:t>
      </w:r>
      <w:r w:rsidRPr="005110B4">
        <w:t>homologation de type présentée par le fabricant en application du présent Règlement. ».</w:t>
      </w:r>
    </w:p>
    <w:p w:rsidR="0032758D" w:rsidRPr="005110B4" w:rsidRDefault="008C28A8" w:rsidP="005110B4">
      <w:pPr>
        <w:pStyle w:val="SingleTxtG"/>
      </w:pPr>
      <w:r w:rsidRPr="005110B4">
        <w:rPr>
          <w:i/>
          <w:iCs/>
        </w:rPr>
        <w:t>Paragraphe 3.1.2.1</w:t>
      </w:r>
      <w:r w:rsidRPr="005110B4">
        <w:t>, lire</w:t>
      </w:r>
      <w:r w:rsidR="00D55EC3">
        <w:t> </w:t>
      </w:r>
      <w:r w:rsidRPr="005110B4">
        <w:t>:</w:t>
      </w:r>
    </w:p>
    <w:p w:rsidR="0032758D" w:rsidRPr="005110B4" w:rsidRDefault="008C28A8" w:rsidP="00F62F6D">
      <w:pPr>
        <w:pStyle w:val="SingleTxtG"/>
        <w:ind w:left="2268" w:hanging="1134"/>
      </w:pPr>
      <w:r w:rsidRPr="005110B4">
        <w:t>« 3.1.2.1</w:t>
      </w:r>
      <w:r w:rsidRPr="005110B4">
        <w:tab/>
      </w:r>
      <w:r w:rsidRPr="005110B4">
        <w:tab/>
        <w:t>Exécution de l</w:t>
      </w:r>
      <w:r w:rsidR="005110B4" w:rsidRPr="005110B4">
        <w:t>’</w:t>
      </w:r>
      <w:r w:rsidRPr="005110B4">
        <w:t>essai d</w:t>
      </w:r>
      <w:r w:rsidR="005110B4" w:rsidRPr="005110B4">
        <w:t>’</w:t>
      </w:r>
      <w:r w:rsidRPr="005110B4">
        <w:t>accélération</w:t>
      </w:r>
    </w:p>
    <w:p w:rsidR="0032758D" w:rsidRPr="00BB53F4" w:rsidRDefault="008C28A8" w:rsidP="009E5D45">
      <w:pPr>
        <w:pStyle w:val="SingleTxtG"/>
        <w:ind w:left="2268"/>
        <w:rPr>
          <w:spacing w:val="-2"/>
        </w:rPr>
      </w:pPr>
      <w:r w:rsidRPr="00BB53F4">
        <w:rPr>
          <w:spacing w:val="-2"/>
        </w:rPr>
        <w:t>Le véhicule est amené, à la vitesse stabilisée définie ci</w:t>
      </w:r>
      <w:r w:rsidRPr="00BB53F4">
        <w:rPr>
          <w:spacing w:val="-2"/>
        </w:rPr>
        <w:noBreakHyphen/>
        <w:t>dessous, jusqu</w:t>
      </w:r>
      <w:r w:rsidR="005110B4" w:rsidRPr="00BB53F4">
        <w:rPr>
          <w:spacing w:val="-2"/>
        </w:rPr>
        <w:t>’</w:t>
      </w:r>
      <w:r w:rsidRPr="00BB53F4">
        <w:rPr>
          <w:spacing w:val="-2"/>
        </w:rPr>
        <w:t>à la ligne AA</w:t>
      </w:r>
      <w:r w:rsidR="005110B4" w:rsidRPr="00BB53F4">
        <w:rPr>
          <w:spacing w:val="-2"/>
        </w:rPr>
        <w:t>’</w:t>
      </w:r>
      <w:r w:rsidRPr="00BB53F4">
        <w:rPr>
          <w:spacing w:val="-2"/>
        </w:rPr>
        <w:t>. Dès que l</w:t>
      </w:r>
      <w:r w:rsidR="005110B4" w:rsidRPr="00BB53F4">
        <w:rPr>
          <w:spacing w:val="-2"/>
        </w:rPr>
        <w:t>’</w:t>
      </w:r>
      <w:r w:rsidRPr="00BB53F4">
        <w:rPr>
          <w:spacing w:val="-2"/>
        </w:rPr>
        <w:t>avant du véhicule franchit cette ligne, la commande d</w:t>
      </w:r>
      <w:r w:rsidR="005110B4" w:rsidRPr="00BB53F4">
        <w:rPr>
          <w:spacing w:val="-2"/>
        </w:rPr>
        <w:t>’</w:t>
      </w:r>
      <w:r w:rsidRPr="00BB53F4">
        <w:rPr>
          <w:spacing w:val="-2"/>
        </w:rPr>
        <w:t>accélérateur est actionnée à fond aussi rapidement que possible et maintenu</w:t>
      </w:r>
      <w:r w:rsidRPr="002101F9">
        <w:rPr>
          <w:spacing w:val="-2"/>
        </w:rPr>
        <w:t>e</w:t>
      </w:r>
      <w:r w:rsidRPr="00BB53F4">
        <w:rPr>
          <w:spacing w:val="-2"/>
        </w:rPr>
        <w:t xml:space="preserve"> dans cette position jusqu</w:t>
      </w:r>
      <w:r w:rsidR="005110B4" w:rsidRPr="00BB53F4">
        <w:rPr>
          <w:spacing w:val="-2"/>
        </w:rPr>
        <w:t>’</w:t>
      </w:r>
      <w:r w:rsidRPr="00BB53F4">
        <w:rPr>
          <w:spacing w:val="-2"/>
        </w:rPr>
        <w:t>à ce que l</w:t>
      </w:r>
      <w:r w:rsidR="005110B4" w:rsidRPr="00BB53F4">
        <w:rPr>
          <w:spacing w:val="-2"/>
        </w:rPr>
        <w:t>’</w:t>
      </w:r>
      <w:r w:rsidRPr="00BB53F4">
        <w:rPr>
          <w:spacing w:val="-2"/>
        </w:rPr>
        <w:t>arrière du véhicule dépasse la ligne BB</w:t>
      </w:r>
      <w:r w:rsidR="005110B4" w:rsidRPr="00BB53F4">
        <w:rPr>
          <w:spacing w:val="-2"/>
        </w:rPr>
        <w:t>’</w:t>
      </w:r>
      <w:r w:rsidRPr="00BB53F4">
        <w:rPr>
          <w:spacing w:val="-2"/>
        </w:rPr>
        <w:t>, puis ramené</w:t>
      </w:r>
      <w:r w:rsidRPr="002101F9">
        <w:rPr>
          <w:spacing w:val="-2"/>
        </w:rPr>
        <w:t>e</w:t>
      </w:r>
      <w:r w:rsidRPr="00BB53F4">
        <w:rPr>
          <w:spacing w:val="-2"/>
        </w:rPr>
        <w:t xml:space="preserve"> aussi rapidement que possible à la position du ralenti.</w:t>
      </w:r>
    </w:p>
    <w:p w:rsidR="005110B4" w:rsidRDefault="008C28A8" w:rsidP="009E5D45">
      <w:pPr>
        <w:pStyle w:val="SingleTxtG"/>
        <w:ind w:left="2268"/>
      </w:pPr>
      <w:r w:rsidRPr="005110B4">
        <w:t>Pour toutes les mesures, le véhicule est conduit en ligne droite sur la piste d</w:t>
      </w:r>
      <w:r w:rsidR="005110B4" w:rsidRPr="005110B4">
        <w:t>’</w:t>
      </w:r>
      <w:r w:rsidRPr="005110B4">
        <w:t>essai de telle manière que son plan longitudinal médian suive d</w:t>
      </w:r>
      <w:r w:rsidR="005110B4" w:rsidRPr="005110B4">
        <w:t>’</w:t>
      </w:r>
      <w:r w:rsidRPr="005110B4">
        <w:t>aussi près que possible la ligne CC</w:t>
      </w:r>
      <w:r w:rsidR="005110B4" w:rsidRPr="005110B4">
        <w:t>’</w:t>
      </w:r>
      <w:r w:rsidRPr="005110B4">
        <w:t>. ».</w:t>
      </w:r>
    </w:p>
    <w:p w:rsidR="0032758D" w:rsidRPr="005110B4" w:rsidRDefault="008C28A8" w:rsidP="005110B4">
      <w:pPr>
        <w:pStyle w:val="SingleTxtG"/>
      </w:pPr>
      <w:r w:rsidRPr="005110B4">
        <w:rPr>
          <w:i/>
          <w:iCs/>
        </w:rPr>
        <w:t>Paragraphe 3.2.3.2</w:t>
      </w:r>
      <w:r w:rsidR="0053604F">
        <w:t>, lire </w:t>
      </w:r>
      <w:r w:rsidRPr="005110B4">
        <w:t>:</w:t>
      </w:r>
    </w:p>
    <w:p w:rsidR="0032758D" w:rsidRPr="005110B4" w:rsidRDefault="008C28A8" w:rsidP="00F62F6D">
      <w:pPr>
        <w:pStyle w:val="SingleTxtG"/>
        <w:ind w:left="2268" w:hanging="1134"/>
      </w:pPr>
      <w:r w:rsidRPr="005110B4">
        <w:rPr>
          <w:noProof/>
          <w:lang w:eastAsia="fr-CH"/>
        </w:rPr>
        <mc:AlternateContent>
          <mc:Choice Requires="wps">
            <w:drawing>
              <wp:anchor distT="0" distB="0" distL="114300" distR="114300" simplePos="0" relativeHeight="251658752" behindDoc="0" locked="0" layoutInCell="1" allowOverlap="1" wp14:anchorId="7B8FF2BE" wp14:editId="5C606732">
                <wp:simplePos x="0" y="0"/>
                <wp:positionH relativeFrom="column">
                  <wp:posOffset>0</wp:posOffset>
                </wp:positionH>
                <wp:positionV relativeFrom="paragraph">
                  <wp:posOffset>0</wp:posOffset>
                </wp:positionV>
                <wp:extent cx="635000" cy="635000"/>
                <wp:effectExtent l="0" t="0" r="0" b="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1C34C" id="_x0000_t202" coordsize="21600,21600" o:spt="202" path="m,l,21600r21600,l21600,xe">
                <v:stroke joinstyle="miter"/>
                <v:path gradientshapeok="t" o:connecttype="rect"/>
              </v:shapetype>
              <v:shape id="Text Box 11"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Pr="005110B4">
        <w:t>« 3.2.3.2</w:t>
      </w:r>
      <w:r w:rsidRPr="005110B4">
        <w:tab/>
      </w:r>
      <w:r w:rsidRPr="005110B4">
        <w:tab/>
        <w:t>Position et préparation du véhicule</w:t>
      </w:r>
    </w:p>
    <w:p w:rsidR="0032758D" w:rsidRPr="005110B4" w:rsidRDefault="008C28A8" w:rsidP="009E5D45">
      <w:pPr>
        <w:pStyle w:val="SingleTxtG"/>
        <w:ind w:left="2268"/>
      </w:pPr>
      <w:r w:rsidRPr="005110B4">
        <w:t>Avant le début des mesures, le moteur du véhicule est porté à sa température de fonctionnement normale, s</w:t>
      </w:r>
      <w:r w:rsidR="005110B4" w:rsidRPr="005110B4">
        <w:t>’</w:t>
      </w:r>
      <w:r w:rsidRPr="005110B4">
        <w:t>il s</w:t>
      </w:r>
      <w:r w:rsidR="005110B4" w:rsidRPr="005110B4">
        <w:t>’</w:t>
      </w:r>
      <w:r w:rsidRPr="005110B4">
        <w:t>agit d</w:t>
      </w:r>
      <w:r w:rsidR="005110B4" w:rsidRPr="005110B4">
        <w:t>’</w:t>
      </w:r>
      <w:r w:rsidRPr="005110B4">
        <w:t>un moteur à combustion interne, ou à son état normal de fonctionnement, s</w:t>
      </w:r>
      <w:r w:rsidR="005110B4" w:rsidRPr="005110B4">
        <w:t>’</w:t>
      </w:r>
      <w:r w:rsidRPr="005110B4">
        <w:t>il s</w:t>
      </w:r>
      <w:r w:rsidR="005110B4" w:rsidRPr="005110B4">
        <w:t>’</w:t>
      </w:r>
      <w:r w:rsidRPr="005110B4">
        <w:t>agit d</w:t>
      </w:r>
      <w:r w:rsidR="005110B4" w:rsidRPr="005110B4">
        <w:t>’</w:t>
      </w:r>
      <w:r w:rsidRPr="005110B4">
        <w:t>un moteur à air comprimé. Si le véhicule est doté de ventilateurs à commande automatique, leurs réglages ne doivent pas être modifiés pour la mesure du niveau sonore.</w:t>
      </w:r>
    </w:p>
    <w:p w:rsidR="005110B4" w:rsidRDefault="008C28A8" w:rsidP="009E5D45">
      <w:pPr>
        <w:pStyle w:val="SingleTxtG"/>
        <w:ind w:left="2268"/>
      </w:pPr>
      <w:r w:rsidRPr="005110B4">
        <w:lastRenderedPageBreak/>
        <w:t>Durant les mesures, la commande de la boîte de vitesses est au point mort. Dans le cas où il est impossible de désaccoupler la transmission, on doit faire en sorte que la roue motrice du véhicule puisse tourner à vide, par exemple en mettant ce dernier sur sa béquille. ».</w:t>
      </w:r>
    </w:p>
    <w:p w:rsidR="0032758D" w:rsidRPr="005110B4" w:rsidRDefault="008C28A8" w:rsidP="005110B4">
      <w:pPr>
        <w:pStyle w:val="SingleTxtG"/>
      </w:pPr>
      <w:r w:rsidRPr="005110B4">
        <w:rPr>
          <w:i/>
          <w:iCs/>
        </w:rPr>
        <w:t>Paragraphe 3.2.3.3.2.2</w:t>
      </w:r>
      <w:r w:rsidR="0053604F">
        <w:t>, lire </w:t>
      </w:r>
      <w:r w:rsidRPr="005110B4">
        <w:t>:</w:t>
      </w:r>
    </w:p>
    <w:p w:rsidR="0032758D" w:rsidRPr="005110B4" w:rsidRDefault="008C28A8" w:rsidP="00F62F6D">
      <w:pPr>
        <w:pStyle w:val="SingleTxtG"/>
        <w:ind w:left="2268" w:hanging="1134"/>
        <w:rPr>
          <w:bCs/>
        </w:rPr>
      </w:pPr>
      <w:r w:rsidRPr="005110B4">
        <w:t>« 3.2.3.3.2.2</w:t>
      </w:r>
      <w:r w:rsidRPr="005110B4">
        <w:tab/>
      </w:r>
      <w:r w:rsidR="00F62F6D">
        <w:tab/>
      </w:r>
      <w:r w:rsidRPr="005110B4">
        <w:rPr>
          <w:bCs/>
        </w:rPr>
        <w:t xml:space="preserve">Le régime moteur est progressivement augmenté pour passer du ralenti au régime recherché et </w:t>
      </w:r>
      <w:r w:rsidRPr="005110B4">
        <w:t>ensuite</w:t>
      </w:r>
      <w:r w:rsidRPr="005110B4">
        <w:rPr>
          <w:bCs/>
        </w:rPr>
        <w:t xml:space="preserve"> maintenu constant dans une fourchette de</w:t>
      </w:r>
      <w:r w:rsidR="009E5D45">
        <w:rPr>
          <w:bCs/>
        </w:rPr>
        <w:t xml:space="preserve"> </w:t>
      </w:r>
      <w:r w:rsidR="009E5D45" w:rsidRPr="00460532">
        <w:rPr>
          <w:lang w:val="fr-CA"/>
        </w:rPr>
        <w:sym w:font="Symbol" w:char="F0B1"/>
      </w:r>
      <w:r w:rsidRPr="005110B4">
        <w:rPr>
          <w:bCs/>
        </w:rPr>
        <w:t>5 %. Ensuite, la commande d</w:t>
      </w:r>
      <w:r w:rsidR="005110B4" w:rsidRPr="005110B4">
        <w:rPr>
          <w:bCs/>
        </w:rPr>
        <w:t>’</w:t>
      </w:r>
      <w:r w:rsidRPr="005110B4">
        <w:rPr>
          <w:bCs/>
        </w:rPr>
        <w:t>accélérateur est relâchée rapidement de façon que le régime revienne au ralenti. La pression acoustique est mesurée alors que le moteur tourne à régime constant pendant au moins 1 s et pendant la totalité de la décélération. C</w:t>
      </w:r>
      <w:r w:rsidR="005110B4" w:rsidRPr="005110B4">
        <w:rPr>
          <w:bCs/>
        </w:rPr>
        <w:t>’</w:t>
      </w:r>
      <w:r w:rsidRPr="005110B4">
        <w:rPr>
          <w:bCs/>
        </w:rPr>
        <w:t>est la valeur acoustique la plus élevée qui est retenue.</w:t>
      </w:r>
    </w:p>
    <w:p w:rsidR="0032758D" w:rsidRPr="005110B4" w:rsidRDefault="008C28A8" w:rsidP="009E5D45">
      <w:pPr>
        <w:pStyle w:val="SingleTxtG"/>
        <w:ind w:left="2268"/>
        <w:rPr>
          <w:bCs/>
        </w:rPr>
      </w:pPr>
      <w:r w:rsidRPr="005110B4">
        <w:t>Une mesure est considérée comme valable à condition que le régime du moteur pendant l</w:t>
      </w:r>
      <w:r w:rsidR="005110B4" w:rsidRPr="005110B4">
        <w:t>’</w:t>
      </w:r>
      <w:r w:rsidRPr="005110B4">
        <w:t>essai ne s</w:t>
      </w:r>
      <w:r w:rsidR="005110B4" w:rsidRPr="005110B4">
        <w:t>’</w:t>
      </w:r>
      <w:r w:rsidRPr="005110B4">
        <w:t>éca</w:t>
      </w:r>
      <w:r w:rsidR="009E5D45">
        <w:t xml:space="preserve">rte pas du régime recherché de </w:t>
      </w:r>
      <w:r w:rsidR="009E5D45" w:rsidRPr="00460532">
        <w:rPr>
          <w:lang w:val="fr-CA"/>
        </w:rPr>
        <w:sym w:font="Symbol" w:char="F0B1"/>
      </w:r>
      <w:r w:rsidRPr="005110B4">
        <w:rPr>
          <w:bCs/>
        </w:rPr>
        <w:t>5 % pendant au moins 1 s. ».</w:t>
      </w:r>
    </w:p>
    <w:p w:rsidR="0032758D" w:rsidRPr="005110B4" w:rsidRDefault="008C28A8" w:rsidP="005110B4">
      <w:pPr>
        <w:pStyle w:val="SingleTxtG"/>
      </w:pPr>
      <w:r w:rsidRPr="005110B4">
        <w:rPr>
          <w:i/>
          <w:iCs/>
        </w:rPr>
        <w:t>Paragraphe 4.2</w:t>
      </w:r>
      <w:r w:rsidR="0053604F">
        <w:t>, lire </w:t>
      </w:r>
      <w:r w:rsidRPr="005110B4">
        <w:t>:</w:t>
      </w:r>
    </w:p>
    <w:p w:rsidR="0032758D" w:rsidRPr="005110B4" w:rsidRDefault="008C28A8" w:rsidP="00F62F6D">
      <w:pPr>
        <w:pStyle w:val="SingleTxtG"/>
        <w:ind w:left="2268" w:hanging="1134"/>
      </w:pPr>
      <w:r w:rsidRPr="005110B4">
        <w:t>« 4.2</w:t>
      </w:r>
      <w:r w:rsidRPr="005110B4">
        <w:tab/>
        <w:t>Afin de faciliter les essais de vérification de la conformité des véhicules en circulation, il est admis que les données ci-après relatives aux mesures de la pression acoustique effectuées conformément au paragraphe 3.1 de l</w:t>
      </w:r>
      <w:r w:rsidR="005110B4" w:rsidRPr="005110B4">
        <w:t>’</w:t>
      </w:r>
      <w:r w:rsidRPr="005110B4">
        <w:t>annexe 3 sur un véhicule en marche constituent les données de référence du contrôle de la conformité en circulation :</w:t>
      </w:r>
    </w:p>
    <w:p w:rsidR="0032758D" w:rsidRPr="005110B4" w:rsidRDefault="008C28A8" w:rsidP="00750D1D">
      <w:pPr>
        <w:pStyle w:val="SingleTxtG"/>
        <w:ind w:left="2835" w:hanging="567"/>
      </w:pPr>
      <w:r w:rsidRPr="005110B4">
        <w:rPr>
          <w:bCs/>
        </w:rPr>
        <w:t>a)</w:t>
      </w:r>
      <w:r w:rsidRPr="005110B4">
        <w:tab/>
        <w:t>Le rapport i) ou, pour les véhicules soumis à essai sur des rapports non verrouillés, la position du sélecteur de vitesse retenue pour l</w:t>
      </w:r>
      <w:r w:rsidR="005110B4" w:rsidRPr="005110B4">
        <w:t>’</w:t>
      </w:r>
      <w:r w:rsidRPr="005110B4">
        <w:t>essai ;</w:t>
      </w:r>
    </w:p>
    <w:p w:rsidR="0032758D" w:rsidRPr="005110B4" w:rsidRDefault="008C28A8" w:rsidP="00750D1D">
      <w:pPr>
        <w:pStyle w:val="SingleTxtG"/>
        <w:ind w:left="2835" w:hanging="567"/>
        <w:rPr>
          <w:bCs/>
        </w:rPr>
      </w:pPr>
      <w:r w:rsidRPr="005110B4">
        <w:rPr>
          <w:bCs/>
        </w:rPr>
        <w:t>b)</w:t>
      </w:r>
      <w:r w:rsidRPr="005110B4">
        <w:rPr>
          <w:bCs/>
        </w:rPr>
        <w:tab/>
        <w:t>La vitesse v</w:t>
      </w:r>
      <w:r w:rsidRPr="005110B4">
        <w:rPr>
          <w:bCs/>
          <w:vertAlign w:val="subscript"/>
        </w:rPr>
        <w:t>AA</w:t>
      </w:r>
      <w:r w:rsidR="005110B4" w:rsidRPr="005110B4">
        <w:rPr>
          <w:bCs/>
          <w:vertAlign w:val="subscript"/>
        </w:rPr>
        <w:t>’</w:t>
      </w:r>
      <w:r w:rsidRPr="005110B4">
        <w:rPr>
          <w:bCs/>
        </w:rPr>
        <w:t xml:space="preserve"> du véhicule, en km/h, au début de l</w:t>
      </w:r>
      <w:r w:rsidR="005110B4" w:rsidRPr="005110B4">
        <w:rPr>
          <w:bCs/>
        </w:rPr>
        <w:t>’</w:t>
      </w:r>
      <w:r w:rsidRPr="005110B4">
        <w:rPr>
          <w:bCs/>
        </w:rPr>
        <w:t>accélération à pleins gaz ou de l</w:t>
      </w:r>
      <w:r w:rsidR="005110B4" w:rsidRPr="005110B4">
        <w:rPr>
          <w:bCs/>
        </w:rPr>
        <w:t>’</w:t>
      </w:r>
      <w:r w:rsidRPr="005110B4">
        <w:rPr>
          <w:bCs/>
        </w:rPr>
        <w:t>essai d</w:t>
      </w:r>
      <w:r w:rsidR="005110B4" w:rsidRPr="005110B4">
        <w:rPr>
          <w:bCs/>
        </w:rPr>
        <w:t>’</w:t>
      </w:r>
      <w:r w:rsidRPr="005110B4">
        <w:rPr>
          <w:bCs/>
        </w:rPr>
        <w:t>accélération, la commande d</w:t>
      </w:r>
      <w:r w:rsidR="005110B4" w:rsidRPr="005110B4">
        <w:rPr>
          <w:bCs/>
        </w:rPr>
        <w:t>’</w:t>
      </w:r>
      <w:r w:rsidRPr="005110B4">
        <w:rPr>
          <w:bCs/>
        </w:rPr>
        <w:t>accélérateur étant actionnée à fond, sur le rapport i) ;</w:t>
      </w:r>
    </w:p>
    <w:p w:rsidR="0032758D" w:rsidRPr="005110B4" w:rsidRDefault="008C28A8" w:rsidP="00750D1D">
      <w:pPr>
        <w:pStyle w:val="SingleTxtG"/>
        <w:ind w:left="2835" w:hanging="567"/>
        <w:rPr>
          <w:bCs/>
        </w:rPr>
      </w:pPr>
      <w:r w:rsidRPr="005110B4">
        <w:rPr>
          <w:bCs/>
        </w:rPr>
        <w:t>c)</w:t>
      </w:r>
      <w:r w:rsidRPr="005110B4">
        <w:rPr>
          <w:bCs/>
        </w:rPr>
        <w:tab/>
        <w:t>Le résultat final de l</w:t>
      </w:r>
      <w:r w:rsidR="005110B4" w:rsidRPr="005110B4">
        <w:rPr>
          <w:bCs/>
        </w:rPr>
        <w:t>’</w:t>
      </w:r>
      <w:r w:rsidRPr="005110B4">
        <w:rPr>
          <w:bCs/>
        </w:rPr>
        <w:t xml:space="preserve">essai, </w:t>
      </w:r>
      <w:r w:rsidRPr="005110B4">
        <w:t>en</w:t>
      </w:r>
      <w:r w:rsidRPr="005110B4">
        <w:rPr>
          <w:bCs/>
        </w:rPr>
        <w:t xml:space="preserve"> dB(A), tel que déterminé conformément au paragraphe 3.1.4 de la présente annexe. ».</w:t>
      </w:r>
    </w:p>
    <w:p w:rsidR="0032758D" w:rsidRPr="005110B4" w:rsidRDefault="008C28A8" w:rsidP="005110B4">
      <w:pPr>
        <w:pStyle w:val="SingleTxtG"/>
      </w:pPr>
      <w:r w:rsidRPr="005110B4">
        <w:rPr>
          <w:i/>
          <w:iCs/>
        </w:rPr>
        <w:t>Paragraphe 5.1.4.2.6</w:t>
      </w:r>
      <w:r w:rsidR="00750D1D">
        <w:t>, lire </w:t>
      </w:r>
      <w:r w:rsidRPr="005110B4">
        <w:t>:</w:t>
      </w:r>
    </w:p>
    <w:p w:rsidR="005110B4" w:rsidRPr="00095155" w:rsidRDefault="008C28A8" w:rsidP="00F62F6D">
      <w:pPr>
        <w:pStyle w:val="SingleTxtG"/>
        <w:ind w:left="2268" w:hanging="1134"/>
        <w:rPr>
          <w:spacing w:val="-3"/>
        </w:rPr>
      </w:pPr>
      <w:r w:rsidRPr="00095155">
        <w:rPr>
          <w:spacing w:val="-3"/>
        </w:rPr>
        <w:t>« 5.1.4.2.6</w:t>
      </w:r>
      <w:r w:rsidRPr="00095155">
        <w:rPr>
          <w:spacing w:val="-3"/>
        </w:rPr>
        <w:tab/>
        <w:t>La puissance indiquée par le dynamomètre doit être égale à 50 % de la puissance mesurée, la commande d</w:t>
      </w:r>
      <w:r w:rsidR="005110B4" w:rsidRPr="00095155">
        <w:rPr>
          <w:spacing w:val="-3"/>
        </w:rPr>
        <w:t>’</w:t>
      </w:r>
      <w:r w:rsidRPr="00095155">
        <w:rPr>
          <w:spacing w:val="-3"/>
        </w:rPr>
        <w:t>accélérateur étant actionnée à fond, à 75 % du régime nominal tel que défini au paragraphe 2.7 du présent Règlement. ».</w:t>
      </w:r>
    </w:p>
    <w:p w:rsidR="0032758D" w:rsidRPr="005110B4" w:rsidRDefault="008C28A8" w:rsidP="005110B4">
      <w:pPr>
        <w:pStyle w:val="SingleTxtG"/>
      </w:pPr>
      <w:r w:rsidRPr="005110B4">
        <w:rPr>
          <w:i/>
          <w:iCs/>
        </w:rPr>
        <w:t>Annexe 4</w:t>
      </w:r>
      <w:r w:rsidR="00750D1D">
        <w:t>, lire </w:t>
      </w:r>
      <w:r w:rsidRPr="005110B4">
        <w:t>:</w:t>
      </w:r>
    </w:p>
    <w:p w:rsidR="0032758D" w:rsidRPr="005110B4" w:rsidRDefault="008C28A8" w:rsidP="00750D1D">
      <w:pPr>
        <w:pStyle w:val="HChG"/>
      </w:pPr>
      <w:r w:rsidRPr="00750D1D">
        <w:rPr>
          <w:b w:val="0"/>
          <w:sz w:val="20"/>
        </w:rPr>
        <w:t>«</w:t>
      </w:r>
      <w:r w:rsidRPr="005110B4">
        <w:t> Annexe 4</w:t>
      </w:r>
    </w:p>
    <w:p w:rsidR="0032758D" w:rsidRPr="005110B4" w:rsidRDefault="00750D1D" w:rsidP="00750D1D">
      <w:pPr>
        <w:pStyle w:val="HChG"/>
      </w:pPr>
      <w:r>
        <w:tab/>
      </w:r>
      <w:r>
        <w:tab/>
      </w:r>
      <w:r w:rsidR="008C28A8" w:rsidRPr="005110B4">
        <w:t>Limites maximales du niveau sonore (véhicules neufs)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7"/>
        <w:gridCol w:w="3683"/>
      </w:tblGrid>
      <w:tr w:rsidR="00725B41" w:rsidRPr="00725B41" w:rsidTr="00095155">
        <w:trPr>
          <w:tblHeader/>
        </w:trPr>
        <w:tc>
          <w:tcPr>
            <w:tcW w:w="3687" w:type="dxa"/>
            <w:shd w:val="clear" w:color="auto" w:fill="auto"/>
            <w:vAlign w:val="bottom"/>
          </w:tcPr>
          <w:p w:rsidR="0032758D" w:rsidRPr="00725B41" w:rsidRDefault="008C28A8" w:rsidP="00095155">
            <w:pPr>
              <w:spacing w:before="60" w:after="60" w:line="220" w:lineRule="atLeast"/>
              <w:ind w:left="57" w:right="57"/>
              <w:rPr>
                <w:i/>
                <w:sz w:val="16"/>
              </w:rPr>
            </w:pPr>
            <w:r w:rsidRPr="00725B41">
              <w:rPr>
                <w:i/>
                <w:sz w:val="16"/>
              </w:rPr>
              <w:t>Vitesse maximale par construction exprimée en km/h</w:t>
            </w:r>
          </w:p>
        </w:tc>
        <w:tc>
          <w:tcPr>
            <w:tcW w:w="3683" w:type="dxa"/>
            <w:shd w:val="clear" w:color="auto" w:fill="auto"/>
            <w:vAlign w:val="bottom"/>
          </w:tcPr>
          <w:p w:rsidR="0032758D" w:rsidRPr="00725B41" w:rsidRDefault="008C28A8" w:rsidP="00095155">
            <w:pPr>
              <w:spacing w:before="60" w:after="60" w:line="220" w:lineRule="atLeast"/>
              <w:ind w:left="57" w:right="57"/>
              <w:rPr>
                <w:i/>
                <w:sz w:val="16"/>
              </w:rPr>
            </w:pPr>
            <w:r w:rsidRPr="00725B41">
              <w:rPr>
                <w:i/>
                <w:sz w:val="16"/>
              </w:rPr>
              <w:t>Valeurs limites du niveau sonore exprimées en dB(A)</w:t>
            </w:r>
          </w:p>
        </w:tc>
      </w:tr>
      <w:tr w:rsidR="0032758D" w:rsidRPr="00725B41" w:rsidTr="00095155">
        <w:tc>
          <w:tcPr>
            <w:tcW w:w="3687" w:type="dxa"/>
            <w:shd w:val="clear" w:color="auto" w:fill="auto"/>
          </w:tcPr>
          <w:p w:rsidR="0032758D" w:rsidRPr="00725B41" w:rsidRDefault="008C28A8" w:rsidP="00DB7347">
            <w:pPr>
              <w:spacing w:before="60" w:after="60" w:line="220" w:lineRule="atLeast"/>
              <w:ind w:left="57" w:right="57"/>
            </w:pPr>
            <w:r w:rsidRPr="00725B41">
              <w:rPr>
                <w:u w:val="single"/>
              </w:rPr>
              <w:t>&lt;</w:t>
            </w:r>
            <w:r w:rsidRPr="00725B41">
              <w:t>25</w:t>
            </w:r>
          </w:p>
          <w:p w:rsidR="0032758D" w:rsidRPr="00725B41" w:rsidRDefault="00B83F9C" w:rsidP="00DB7347">
            <w:pPr>
              <w:spacing w:before="60" w:after="60" w:line="220" w:lineRule="atLeast"/>
              <w:ind w:left="57" w:right="57"/>
            </w:pPr>
            <w:r>
              <w:t>&gt;</w:t>
            </w:r>
            <w:r w:rsidR="008C28A8" w:rsidRPr="00725B41">
              <w:t>25</w:t>
            </w:r>
          </w:p>
        </w:tc>
        <w:tc>
          <w:tcPr>
            <w:tcW w:w="3683" w:type="dxa"/>
            <w:shd w:val="clear" w:color="auto" w:fill="auto"/>
          </w:tcPr>
          <w:p w:rsidR="0032758D" w:rsidRPr="00725B41" w:rsidRDefault="008C28A8" w:rsidP="00DB7347">
            <w:pPr>
              <w:spacing w:before="60" w:after="60" w:line="220" w:lineRule="atLeast"/>
              <w:ind w:left="57" w:right="57"/>
            </w:pPr>
            <w:r w:rsidRPr="00725B41">
              <w:t>66</w:t>
            </w:r>
          </w:p>
          <w:p w:rsidR="0032758D" w:rsidRPr="00725B41" w:rsidRDefault="008C28A8" w:rsidP="00DB7347">
            <w:pPr>
              <w:spacing w:before="60" w:after="60" w:line="220" w:lineRule="atLeast"/>
              <w:ind w:left="57" w:right="57"/>
            </w:pPr>
            <w:r w:rsidRPr="00725B41">
              <w:t>71</w:t>
            </w:r>
          </w:p>
        </w:tc>
      </w:tr>
      <w:tr w:rsidR="00095155" w:rsidRPr="00725B41" w:rsidTr="00095155">
        <w:tc>
          <w:tcPr>
            <w:tcW w:w="3687" w:type="dxa"/>
            <w:shd w:val="clear" w:color="auto" w:fill="auto"/>
          </w:tcPr>
          <w:p w:rsidR="0032758D" w:rsidRPr="00725B41" w:rsidRDefault="008C28A8" w:rsidP="0043126D">
            <w:pPr>
              <w:spacing w:before="60" w:after="60" w:line="220" w:lineRule="atLeast"/>
              <w:ind w:left="57" w:right="57"/>
            </w:pPr>
            <w:r w:rsidRPr="00725B41">
              <w:t>Sur les cycles à pédales, équipés d</w:t>
            </w:r>
            <w:r w:rsidR="005110B4" w:rsidRPr="00725B41">
              <w:t>’</w:t>
            </w:r>
            <w:r w:rsidRPr="00725B41">
              <w:t>une propulsion auxiliaire autre qu</w:t>
            </w:r>
            <w:r w:rsidR="005110B4" w:rsidRPr="00725B41">
              <w:t>’</w:t>
            </w:r>
            <w:r w:rsidRPr="00725B41">
              <w:t xml:space="preserve">électrique, dont la fonction principale est de fournir une assistance au pédalage, la propulsion auxiliaire est coupée lorsque le véhicule atteint une </w:t>
            </w:r>
            <w:r w:rsidR="00B83F9C">
              <w:t>vitesse</w:t>
            </w:r>
            <w:r w:rsidR="0043126D">
              <w:t xml:space="preserve"> </w:t>
            </w:r>
            <w:r w:rsidR="00B83F9C">
              <w:t>≤</w:t>
            </w:r>
            <w:r w:rsidRPr="00725B41">
              <w:t>25 km/h.</w:t>
            </w:r>
          </w:p>
        </w:tc>
        <w:tc>
          <w:tcPr>
            <w:tcW w:w="3683" w:type="dxa"/>
            <w:shd w:val="clear" w:color="auto" w:fill="auto"/>
          </w:tcPr>
          <w:p w:rsidR="0032758D" w:rsidRPr="00B83F9C" w:rsidRDefault="008C28A8" w:rsidP="00DB7347">
            <w:pPr>
              <w:spacing w:before="60" w:after="60" w:line="220" w:lineRule="atLeast"/>
              <w:ind w:left="57" w:right="57"/>
            </w:pPr>
            <w:r w:rsidRPr="00B83F9C">
              <w:t>63</w:t>
            </w:r>
          </w:p>
        </w:tc>
      </w:tr>
    </w:tbl>
    <w:p w:rsidR="0032758D" w:rsidRPr="005110B4" w:rsidRDefault="00BB53F4" w:rsidP="00095155">
      <w:pPr>
        <w:pStyle w:val="SingleTxtG"/>
        <w:jc w:val="right"/>
      </w:pPr>
      <w:r>
        <w:t>.</w:t>
      </w:r>
      <w:r w:rsidR="008C28A8" w:rsidRPr="005110B4">
        <w:t> ».</w:t>
      </w:r>
    </w:p>
    <w:p w:rsidR="005110B4" w:rsidRPr="005110B4" w:rsidRDefault="005110B4" w:rsidP="005110B4">
      <w:pPr>
        <w:pStyle w:val="SingleTxtG"/>
        <w:spacing w:before="240" w:after="0"/>
        <w:jc w:val="center"/>
        <w:rPr>
          <w:u w:val="single"/>
        </w:rPr>
      </w:pPr>
      <w:r>
        <w:rPr>
          <w:u w:val="single"/>
        </w:rPr>
        <w:tab/>
      </w:r>
      <w:r>
        <w:rPr>
          <w:u w:val="single"/>
        </w:rPr>
        <w:tab/>
      </w:r>
      <w:r>
        <w:rPr>
          <w:u w:val="single"/>
        </w:rPr>
        <w:tab/>
      </w:r>
    </w:p>
    <w:sectPr w:rsidR="005110B4" w:rsidRPr="005110B4" w:rsidSect="00B83A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99" w:rsidRDefault="009C1B99" w:rsidP="00F95C08">
      <w:pPr>
        <w:spacing w:line="240" w:lineRule="auto"/>
      </w:pPr>
    </w:p>
  </w:endnote>
  <w:endnote w:type="continuationSeparator" w:id="0">
    <w:p w:rsidR="009C1B99" w:rsidRPr="00AC3823" w:rsidRDefault="009C1B99" w:rsidP="00AC3823">
      <w:pPr>
        <w:pStyle w:val="Footer"/>
      </w:pPr>
    </w:p>
  </w:endnote>
  <w:endnote w:type="continuationNotice" w:id="1">
    <w:p w:rsidR="009C1B99" w:rsidRDefault="009C1B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7A" w:rsidRPr="00B83A7A" w:rsidRDefault="00B83A7A" w:rsidP="00B83A7A">
    <w:pPr>
      <w:pStyle w:val="Footer"/>
      <w:tabs>
        <w:tab w:val="right" w:pos="9638"/>
      </w:tabs>
    </w:pPr>
    <w:r w:rsidRPr="00B83A7A">
      <w:rPr>
        <w:b/>
        <w:sz w:val="18"/>
      </w:rPr>
      <w:fldChar w:fldCharType="begin"/>
    </w:r>
    <w:r w:rsidRPr="00B83A7A">
      <w:rPr>
        <w:b/>
        <w:sz w:val="18"/>
      </w:rPr>
      <w:instrText xml:space="preserve"> PAGE  \* MERGEFORMAT </w:instrText>
    </w:r>
    <w:r w:rsidRPr="00B83A7A">
      <w:rPr>
        <w:b/>
        <w:sz w:val="18"/>
      </w:rPr>
      <w:fldChar w:fldCharType="separate"/>
    </w:r>
    <w:r w:rsidR="007D0EEB">
      <w:rPr>
        <w:b/>
        <w:noProof/>
        <w:sz w:val="18"/>
      </w:rPr>
      <w:t>2</w:t>
    </w:r>
    <w:r w:rsidRPr="00B83A7A">
      <w:rPr>
        <w:b/>
        <w:sz w:val="18"/>
      </w:rPr>
      <w:fldChar w:fldCharType="end"/>
    </w:r>
    <w:r>
      <w:rPr>
        <w:b/>
        <w:sz w:val="18"/>
      </w:rPr>
      <w:tab/>
    </w:r>
    <w:r>
      <w:t>GE.18-05359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7A" w:rsidRPr="00B83A7A" w:rsidRDefault="00B83A7A" w:rsidP="00B83A7A">
    <w:pPr>
      <w:pStyle w:val="Footer"/>
      <w:tabs>
        <w:tab w:val="right" w:pos="9638"/>
      </w:tabs>
      <w:rPr>
        <w:b/>
        <w:sz w:val="18"/>
      </w:rPr>
    </w:pPr>
    <w:r>
      <w:t>GE.18-05359</w:t>
    </w:r>
    <w:r>
      <w:tab/>
    </w:r>
    <w:r w:rsidRPr="00B83A7A">
      <w:rPr>
        <w:b/>
        <w:sz w:val="18"/>
      </w:rPr>
      <w:fldChar w:fldCharType="begin"/>
    </w:r>
    <w:r w:rsidRPr="00B83A7A">
      <w:rPr>
        <w:b/>
        <w:sz w:val="18"/>
      </w:rPr>
      <w:instrText xml:space="preserve"> PAGE  \* MERGEFORMAT </w:instrText>
    </w:r>
    <w:r w:rsidRPr="00B83A7A">
      <w:rPr>
        <w:b/>
        <w:sz w:val="18"/>
      </w:rPr>
      <w:fldChar w:fldCharType="separate"/>
    </w:r>
    <w:r w:rsidR="007D0EEB">
      <w:rPr>
        <w:b/>
        <w:noProof/>
        <w:sz w:val="18"/>
      </w:rPr>
      <w:t>3</w:t>
    </w:r>
    <w:r w:rsidRPr="00B83A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83A7A" w:rsidRDefault="00B83A7A" w:rsidP="00B83A7A">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18-05359  (F)    260418    030518</w:t>
    </w:r>
    <w:r>
      <w:rPr>
        <w:sz w:val="20"/>
      </w:rPr>
      <w:br/>
    </w:r>
    <w:r w:rsidRPr="00B83A7A">
      <w:rPr>
        <w:rFonts w:ascii="C39T30Lfz" w:hAnsi="C39T30Lfz"/>
        <w:sz w:val="56"/>
      </w:rPr>
      <w:t></w:t>
    </w:r>
    <w:r w:rsidRPr="00B83A7A">
      <w:rPr>
        <w:rFonts w:ascii="C39T30Lfz" w:hAnsi="C39T30Lfz"/>
        <w:sz w:val="56"/>
      </w:rPr>
      <w:t></w:t>
    </w:r>
    <w:r w:rsidRPr="00B83A7A">
      <w:rPr>
        <w:rFonts w:ascii="C39T30Lfz" w:hAnsi="C39T30Lfz"/>
        <w:sz w:val="56"/>
      </w:rPr>
      <w:t></w:t>
    </w:r>
    <w:r w:rsidRPr="00B83A7A">
      <w:rPr>
        <w:rFonts w:ascii="C39T30Lfz" w:hAnsi="C39T30Lfz"/>
        <w:sz w:val="56"/>
      </w:rPr>
      <w:t></w:t>
    </w:r>
    <w:r w:rsidRPr="00B83A7A">
      <w:rPr>
        <w:rFonts w:ascii="C39T30Lfz" w:hAnsi="C39T30Lfz"/>
        <w:sz w:val="56"/>
      </w:rPr>
      <w:t></w:t>
    </w:r>
    <w:r w:rsidRPr="00B83A7A">
      <w:rPr>
        <w:rFonts w:ascii="C39T30Lfz" w:hAnsi="C39T30Lfz"/>
        <w:sz w:val="56"/>
      </w:rPr>
      <w:t></w:t>
    </w:r>
    <w:r w:rsidRPr="00B83A7A">
      <w:rPr>
        <w:rFonts w:ascii="C39T30Lfz" w:hAnsi="C39T30Lfz"/>
        <w:sz w:val="56"/>
      </w:rPr>
      <w:t></w:t>
    </w:r>
    <w:r w:rsidRPr="00B83A7A">
      <w:rPr>
        <w:rFonts w:ascii="C39T30Lfz" w:hAnsi="C39T30Lfz"/>
        <w:sz w:val="56"/>
      </w:rPr>
      <w:t></w:t>
    </w:r>
    <w:r w:rsidRPr="00B83A7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6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6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99" w:rsidRPr="00AC3823" w:rsidRDefault="009C1B99" w:rsidP="00AC3823">
      <w:pPr>
        <w:pStyle w:val="Footer"/>
        <w:tabs>
          <w:tab w:val="right" w:pos="2155"/>
        </w:tabs>
        <w:spacing w:after="80" w:line="240" w:lineRule="atLeast"/>
        <w:ind w:left="680"/>
        <w:rPr>
          <w:u w:val="single"/>
        </w:rPr>
      </w:pPr>
      <w:r>
        <w:rPr>
          <w:u w:val="single"/>
        </w:rPr>
        <w:tab/>
      </w:r>
    </w:p>
  </w:footnote>
  <w:footnote w:type="continuationSeparator" w:id="0">
    <w:p w:rsidR="009C1B99" w:rsidRPr="00AC3823" w:rsidRDefault="009C1B99" w:rsidP="00AC3823">
      <w:pPr>
        <w:pStyle w:val="Footer"/>
        <w:tabs>
          <w:tab w:val="right" w:pos="2155"/>
        </w:tabs>
        <w:spacing w:after="80" w:line="240" w:lineRule="atLeast"/>
        <w:ind w:left="680"/>
        <w:rPr>
          <w:u w:val="single"/>
        </w:rPr>
      </w:pPr>
      <w:r>
        <w:rPr>
          <w:u w:val="single"/>
        </w:rPr>
        <w:tab/>
      </w:r>
    </w:p>
  </w:footnote>
  <w:footnote w:type="continuationNotice" w:id="1">
    <w:p w:rsidR="009C1B99" w:rsidRPr="00AC3823" w:rsidRDefault="009C1B99">
      <w:pPr>
        <w:spacing w:line="240" w:lineRule="auto"/>
        <w:rPr>
          <w:sz w:val="2"/>
          <w:szCs w:val="2"/>
        </w:rPr>
      </w:pPr>
    </w:p>
  </w:footnote>
  <w:footnote w:id="2">
    <w:p w:rsidR="00D55EC3" w:rsidRPr="00D55EC3" w:rsidRDefault="00D55EC3">
      <w:pPr>
        <w:pStyle w:val="FootnoteText"/>
      </w:pPr>
      <w:r>
        <w:rPr>
          <w:rStyle w:val="FootnoteReference"/>
        </w:rPr>
        <w:tab/>
      </w:r>
      <w:r w:rsidRPr="00D55EC3">
        <w:rPr>
          <w:rStyle w:val="FootnoteReference"/>
          <w:sz w:val="20"/>
          <w:vertAlign w:val="baseline"/>
        </w:rPr>
        <w:t>*</w:t>
      </w:r>
      <w:r>
        <w:rPr>
          <w:rStyle w:val="FootnoteReference"/>
          <w:sz w:val="20"/>
          <w:vertAlign w:val="baseline"/>
        </w:rPr>
        <w:tab/>
      </w:r>
      <w:r>
        <w:t>Retirage pour raisons techniques (9 mai 2018).</w:t>
      </w:r>
    </w:p>
  </w:footnote>
  <w:footnote w:id="3">
    <w:p w:rsidR="00D55EC3" w:rsidRPr="00D55EC3" w:rsidRDefault="00D55EC3">
      <w:pPr>
        <w:pStyle w:val="FootnoteText"/>
      </w:pPr>
      <w:r>
        <w:rPr>
          <w:rStyle w:val="FootnoteReference"/>
        </w:rPr>
        <w:tab/>
      </w:r>
      <w:r w:rsidRPr="00D55EC3">
        <w:rPr>
          <w:rStyle w:val="FootnoteReference"/>
          <w:sz w:val="20"/>
          <w:vertAlign w:val="baseline"/>
        </w:rPr>
        <w:t>**</w:t>
      </w:r>
      <w:r>
        <w:rPr>
          <w:rStyle w:val="FootnoteReference"/>
          <w:sz w:val="20"/>
          <w:vertAlign w:val="baseline"/>
        </w:rPr>
        <w:tab/>
      </w:r>
      <w:r w:rsidRPr="00D55EC3">
        <w:rPr>
          <w:spacing w:val="-1"/>
        </w:rPr>
        <w:t>Conformément au programme de travail du Comité des transports intérieurs pour la période 2018-2019 (ECE/TRANS/274, par. 123, et ECE/TRANS/2018/21, activité 3.1),</w:t>
      </w:r>
      <w:r w:rsidRPr="00D55EC3">
        <w:rPr>
          <w:spacing w:val="-1"/>
          <w:sz w:val="20"/>
        </w:rPr>
        <w:t xml:space="preserve"> </w:t>
      </w:r>
      <w:r w:rsidRPr="00D55EC3">
        <w:rPr>
          <w:spacing w:val="-1"/>
        </w:rPr>
        <w:t>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7A" w:rsidRPr="00B83A7A" w:rsidRDefault="007D0EEB">
    <w:pPr>
      <w:pStyle w:val="Header"/>
    </w:pPr>
    <w:r>
      <w:fldChar w:fldCharType="begin"/>
    </w:r>
    <w:r>
      <w:instrText xml:space="preserve"> TITLE  \* MERGEFORMAT </w:instrText>
    </w:r>
    <w:r>
      <w:fldChar w:fldCharType="separate"/>
    </w:r>
    <w:r w:rsidR="008C28A8">
      <w:t>ECE/TRANS/WP.29/2018/62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A7A" w:rsidRPr="00B83A7A" w:rsidRDefault="007D0EEB" w:rsidP="00B83A7A">
    <w:pPr>
      <w:pStyle w:val="Header"/>
      <w:jc w:val="right"/>
    </w:pPr>
    <w:r>
      <w:fldChar w:fldCharType="begin"/>
    </w:r>
    <w:r>
      <w:instrText xml:space="preserve"> TITLE  \* MERGEFORMAT </w:instrText>
    </w:r>
    <w:r>
      <w:fldChar w:fldCharType="separate"/>
    </w:r>
    <w:r w:rsidR="008C28A8">
      <w:t>ECE/TRANS/WP.29/2018/62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99"/>
    <w:rsid w:val="00017F94"/>
    <w:rsid w:val="00023842"/>
    <w:rsid w:val="000334F9"/>
    <w:rsid w:val="00045FEB"/>
    <w:rsid w:val="0007796D"/>
    <w:rsid w:val="00095155"/>
    <w:rsid w:val="000B1898"/>
    <w:rsid w:val="000B7790"/>
    <w:rsid w:val="00111F2F"/>
    <w:rsid w:val="0014365E"/>
    <w:rsid w:val="00143C66"/>
    <w:rsid w:val="00176178"/>
    <w:rsid w:val="001A7EFC"/>
    <w:rsid w:val="001F525A"/>
    <w:rsid w:val="002101F9"/>
    <w:rsid w:val="00223272"/>
    <w:rsid w:val="0024779E"/>
    <w:rsid w:val="00257168"/>
    <w:rsid w:val="002744B8"/>
    <w:rsid w:val="002832AC"/>
    <w:rsid w:val="002A7033"/>
    <w:rsid w:val="002D7C93"/>
    <w:rsid w:val="00305801"/>
    <w:rsid w:val="003916DE"/>
    <w:rsid w:val="0043126D"/>
    <w:rsid w:val="00441C3B"/>
    <w:rsid w:val="00446FE5"/>
    <w:rsid w:val="00452396"/>
    <w:rsid w:val="004837D8"/>
    <w:rsid w:val="004E468C"/>
    <w:rsid w:val="005110B4"/>
    <w:rsid w:val="0053604F"/>
    <w:rsid w:val="005505B7"/>
    <w:rsid w:val="00573BE5"/>
    <w:rsid w:val="005864EE"/>
    <w:rsid w:val="00586ED3"/>
    <w:rsid w:val="00596AA9"/>
    <w:rsid w:val="006473EB"/>
    <w:rsid w:val="006C231E"/>
    <w:rsid w:val="006F74C9"/>
    <w:rsid w:val="00714B50"/>
    <w:rsid w:val="0071601D"/>
    <w:rsid w:val="00725B41"/>
    <w:rsid w:val="00741F31"/>
    <w:rsid w:val="00750D1D"/>
    <w:rsid w:val="007A62E6"/>
    <w:rsid w:val="007D0EEB"/>
    <w:rsid w:val="007D1B75"/>
    <w:rsid w:val="007F20FA"/>
    <w:rsid w:val="0080684C"/>
    <w:rsid w:val="00871C75"/>
    <w:rsid w:val="008776DC"/>
    <w:rsid w:val="008C28A8"/>
    <w:rsid w:val="009446C0"/>
    <w:rsid w:val="009705C8"/>
    <w:rsid w:val="009C1B99"/>
    <w:rsid w:val="009C1CF4"/>
    <w:rsid w:val="009E5D45"/>
    <w:rsid w:val="009F6B74"/>
    <w:rsid w:val="00A30353"/>
    <w:rsid w:val="00AB3796"/>
    <w:rsid w:val="00AC3823"/>
    <w:rsid w:val="00AE323C"/>
    <w:rsid w:val="00AF0CB5"/>
    <w:rsid w:val="00B00181"/>
    <w:rsid w:val="00B00B0D"/>
    <w:rsid w:val="00B765F7"/>
    <w:rsid w:val="00B83A7A"/>
    <w:rsid w:val="00B83F9C"/>
    <w:rsid w:val="00BA0CA9"/>
    <w:rsid w:val="00BA35BE"/>
    <w:rsid w:val="00BB53F4"/>
    <w:rsid w:val="00BD6577"/>
    <w:rsid w:val="00C02897"/>
    <w:rsid w:val="00C97039"/>
    <w:rsid w:val="00D3439C"/>
    <w:rsid w:val="00D55EC3"/>
    <w:rsid w:val="00DB1831"/>
    <w:rsid w:val="00DB33A4"/>
    <w:rsid w:val="00DB7347"/>
    <w:rsid w:val="00DD3BFD"/>
    <w:rsid w:val="00DF6678"/>
    <w:rsid w:val="00E0299A"/>
    <w:rsid w:val="00E812B5"/>
    <w:rsid w:val="00E85C74"/>
    <w:rsid w:val="00EA6547"/>
    <w:rsid w:val="00EF2E22"/>
    <w:rsid w:val="00F04F1A"/>
    <w:rsid w:val="00F35BAF"/>
    <w:rsid w:val="00F62F6D"/>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02E9B0-D272-4FD8-8882-E706BCF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tandard">
    <w:name w:val="Standard"/>
    <w:rsid w:val="009E5D45"/>
    <w:pPr>
      <w:widowControl w:val="0"/>
      <w:suppressAutoHyphens/>
      <w:autoSpaceDN w:val="0"/>
      <w:spacing w:after="0" w:line="240" w:lineRule="auto"/>
      <w:textAlignment w:val="baseline"/>
    </w:pPr>
    <w:rPr>
      <w:rFonts w:ascii="Liberation Serif" w:eastAsia="SimSun" w:hAnsi="Liberation Serif"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5122</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ECE/TRANS/WP.29/2018/62</vt:lpstr>
      <vt:lpstr>ECE/TRANS/WP.29/2018/62</vt:lpstr>
    </vt:vector>
  </TitlesOfParts>
  <Company>DCM</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ECE/TRANS/WP.29/2018/62</dc:title>
  <dc:subject/>
  <dc:creator>Maud DARICHE</dc:creator>
  <cp:keywords/>
  <cp:lastModifiedBy>New</cp:lastModifiedBy>
  <cp:revision>2</cp:revision>
  <cp:lastPrinted>2018-05-03T11:11:00Z</cp:lastPrinted>
  <dcterms:created xsi:type="dcterms:W3CDTF">2018-05-14T14:13:00Z</dcterms:created>
  <dcterms:modified xsi:type="dcterms:W3CDTF">2018-05-14T14:13:00Z</dcterms:modified>
</cp:coreProperties>
</file>