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B5A8C" w:rsidTr="00C97039">
        <w:trPr>
          <w:trHeight w:hRule="exact" w:val="851"/>
        </w:trPr>
        <w:tc>
          <w:tcPr>
            <w:tcW w:w="1276" w:type="dxa"/>
            <w:tcBorders>
              <w:bottom w:val="single" w:sz="4" w:space="0" w:color="auto"/>
            </w:tcBorders>
          </w:tcPr>
          <w:p w:rsidR="00F35BAF" w:rsidRPr="004B5A8C" w:rsidRDefault="00F35BAF" w:rsidP="004B5A8C">
            <w:bookmarkStart w:id="0" w:name="_GoBack"/>
            <w:bookmarkEnd w:id="0"/>
          </w:p>
        </w:tc>
        <w:tc>
          <w:tcPr>
            <w:tcW w:w="2268" w:type="dxa"/>
            <w:tcBorders>
              <w:bottom w:val="single" w:sz="4" w:space="0" w:color="auto"/>
            </w:tcBorders>
            <w:vAlign w:val="bottom"/>
          </w:tcPr>
          <w:p w:rsidR="00F35BAF" w:rsidRPr="004B5A8C" w:rsidRDefault="00F35BAF" w:rsidP="00C97039">
            <w:pPr>
              <w:spacing w:after="80" w:line="300" w:lineRule="exact"/>
              <w:rPr>
                <w:sz w:val="28"/>
              </w:rPr>
            </w:pPr>
            <w:r w:rsidRPr="004B5A8C">
              <w:rPr>
                <w:sz w:val="28"/>
              </w:rPr>
              <w:t>Nations Unies</w:t>
            </w:r>
          </w:p>
        </w:tc>
        <w:tc>
          <w:tcPr>
            <w:tcW w:w="6095" w:type="dxa"/>
            <w:gridSpan w:val="2"/>
            <w:tcBorders>
              <w:bottom w:val="single" w:sz="4" w:space="0" w:color="auto"/>
            </w:tcBorders>
            <w:vAlign w:val="bottom"/>
          </w:tcPr>
          <w:p w:rsidR="00F35BAF" w:rsidRPr="004B5A8C" w:rsidRDefault="004B5A8C" w:rsidP="004B5A8C">
            <w:pPr>
              <w:jc w:val="right"/>
            </w:pPr>
            <w:r w:rsidRPr="004B5A8C">
              <w:rPr>
                <w:sz w:val="40"/>
              </w:rPr>
              <w:t>ECE</w:t>
            </w:r>
            <w:r w:rsidRPr="004B5A8C">
              <w:t>/TRANS/WP.29/2018/10</w:t>
            </w:r>
          </w:p>
        </w:tc>
      </w:tr>
      <w:tr w:rsidR="00F35BAF" w:rsidRPr="004B5A8C" w:rsidTr="00C97039">
        <w:trPr>
          <w:trHeight w:hRule="exact" w:val="2835"/>
        </w:trPr>
        <w:tc>
          <w:tcPr>
            <w:tcW w:w="1276" w:type="dxa"/>
            <w:tcBorders>
              <w:top w:val="single" w:sz="4" w:space="0" w:color="auto"/>
              <w:bottom w:val="single" w:sz="12" w:space="0" w:color="auto"/>
            </w:tcBorders>
          </w:tcPr>
          <w:p w:rsidR="00F35BAF" w:rsidRPr="004B5A8C" w:rsidRDefault="00F35BAF" w:rsidP="00C97039">
            <w:pPr>
              <w:spacing w:before="120"/>
              <w:jc w:val="center"/>
            </w:pPr>
            <w:r w:rsidRPr="004B5A8C">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B5A8C" w:rsidRDefault="00F35BAF" w:rsidP="00C97039">
            <w:pPr>
              <w:spacing w:before="120" w:line="420" w:lineRule="exact"/>
              <w:rPr>
                <w:b/>
                <w:sz w:val="40"/>
                <w:szCs w:val="40"/>
              </w:rPr>
            </w:pPr>
            <w:r w:rsidRPr="004B5A8C">
              <w:rPr>
                <w:b/>
                <w:sz w:val="40"/>
                <w:szCs w:val="40"/>
              </w:rPr>
              <w:t>Conseil économique et social</w:t>
            </w:r>
          </w:p>
        </w:tc>
        <w:tc>
          <w:tcPr>
            <w:tcW w:w="2835" w:type="dxa"/>
            <w:tcBorders>
              <w:top w:val="single" w:sz="4" w:space="0" w:color="auto"/>
              <w:bottom w:val="single" w:sz="12" w:space="0" w:color="auto"/>
            </w:tcBorders>
          </w:tcPr>
          <w:p w:rsidR="00F35BAF" w:rsidRPr="004B5A8C" w:rsidRDefault="004B5A8C" w:rsidP="00C97039">
            <w:pPr>
              <w:spacing w:before="240"/>
            </w:pPr>
            <w:r w:rsidRPr="004B5A8C">
              <w:t>Distr. générale</w:t>
            </w:r>
          </w:p>
          <w:p w:rsidR="004B5A8C" w:rsidRPr="004B5A8C" w:rsidRDefault="004B5A8C" w:rsidP="004B5A8C">
            <w:pPr>
              <w:spacing w:line="240" w:lineRule="exact"/>
            </w:pPr>
            <w:r w:rsidRPr="004B5A8C">
              <w:t>28 décembre 2017</w:t>
            </w:r>
          </w:p>
          <w:p w:rsidR="004B5A8C" w:rsidRPr="004B5A8C" w:rsidRDefault="004B5A8C" w:rsidP="004B5A8C">
            <w:pPr>
              <w:spacing w:line="240" w:lineRule="exact"/>
            </w:pPr>
            <w:r w:rsidRPr="004B5A8C">
              <w:t>Français</w:t>
            </w:r>
          </w:p>
          <w:p w:rsidR="004B5A8C" w:rsidRPr="004B5A8C" w:rsidRDefault="004B5A8C" w:rsidP="004B5A8C">
            <w:pPr>
              <w:spacing w:line="240" w:lineRule="exact"/>
            </w:pPr>
            <w:r w:rsidRPr="004B5A8C">
              <w:t>Original : anglais</w:t>
            </w:r>
          </w:p>
        </w:tc>
      </w:tr>
    </w:tbl>
    <w:p w:rsidR="007F20FA" w:rsidRPr="004B5A8C" w:rsidRDefault="007F20FA" w:rsidP="007F20FA">
      <w:pPr>
        <w:spacing w:before="120"/>
        <w:rPr>
          <w:b/>
          <w:sz w:val="28"/>
          <w:szCs w:val="28"/>
        </w:rPr>
      </w:pPr>
      <w:r w:rsidRPr="004B5A8C">
        <w:rPr>
          <w:b/>
          <w:sz w:val="28"/>
          <w:szCs w:val="28"/>
        </w:rPr>
        <w:t>Commission économique pour l’Europe</w:t>
      </w:r>
    </w:p>
    <w:p w:rsidR="007F20FA" w:rsidRPr="004B5A8C" w:rsidRDefault="007F20FA" w:rsidP="007F20FA">
      <w:pPr>
        <w:spacing w:before="120"/>
        <w:rPr>
          <w:sz w:val="28"/>
          <w:szCs w:val="28"/>
        </w:rPr>
      </w:pPr>
      <w:r w:rsidRPr="004B5A8C">
        <w:rPr>
          <w:sz w:val="28"/>
          <w:szCs w:val="28"/>
        </w:rPr>
        <w:t>Comité des transports intérieurs</w:t>
      </w:r>
    </w:p>
    <w:p w:rsidR="004B5A8C" w:rsidRPr="004B5A8C" w:rsidRDefault="004B5A8C" w:rsidP="004B5A8C">
      <w:pPr>
        <w:spacing w:before="120"/>
        <w:rPr>
          <w:b/>
          <w:sz w:val="24"/>
          <w:szCs w:val="24"/>
        </w:rPr>
      </w:pPr>
      <w:r w:rsidRPr="004B5A8C">
        <w:rPr>
          <w:b/>
          <w:sz w:val="24"/>
          <w:szCs w:val="24"/>
        </w:rPr>
        <w:t>Forum mondial de l’harmonisation</w:t>
      </w:r>
      <w:r w:rsidRPr="004B5A8C">
        <w:rPr>
          <w:b/>
          <w:sz w:val="24"/>
          <w:szCs w:val="24"/>
        </w:rPr>
        <w:br/>
        <w:t>des Règlements concernant les véhicules</w:t>
      </w:r>
    </w:p>
    <w:p w:rsidR="004B5A8C" w:rsidRPr="004B5A8C" w:rsidRDefault="004B5A8C" w:rsidP="004B5A8C">
      <w:pPr>
        <w:tabs>
          <w:tab w:val="center" w:pos="4819"/>
        </w:tabs>
        <w:kinsoku/>
        <w:overflowPunct/>
        <w:autoSpaceDE/>
        <w:autoSpaceDN/>
        <w:adjustRightInd/>
        <w:snapToGrid/>
        <w:spacing w:before="120"/>
        <w:rPr>
          <w:rFonts w:eastAsia="Times New Roman"/>
          <w:b/>
        </w:rPr>
      </w:pPr>
      <w:r w:rsidRPr="004B5A8C">
        <w:rPr>
          <w:b/>
        </w:rPr>
        <w:t>174</w:t>
      </w:r>
      <w:r w:rsidRPr="004B5A8C">
        <w:rPr>
          <w:b/>
          <w:vertAlign w:val="superscript"/>
        </w:rPr>
        <w:t>e</w:t>
      </w:r>
      <w:r w:rsidRPr="004B5A8C">
        <w:rPr>
          <w:b/>
        </w:rPr>
        <w:t xml:space="preserve"> session</w:t>
      </w:r>
    </w:p>
    <w:p w:rsidR="004B5A8C" w:rsidRPr="004B5A8C" w:rsidRDefault="004B5A8C" w:rsidP="004B5A8C">
      <w:pPr>
        <w:kinsoku/>
        <w:overflowPunct/>
        <w:autoSpaceDE/>
        <w:autoSpaceDN/>
        <w:adjustRightInd/>
        <w:snapToGrid/>
        <w:rPr>
          <w:rFonts w:eastAsia="Times New Roman"/>
        </w:rPr>
      </w:pPr>
      <w:r w:rsidRPr="004B5A8C">
        <w:t>Genève, 13-16 mars 2018</w:t>
      </w:r>
    </w:p>
    <w:p w:rsidR="004B5A8C" w:rsidRPr="004B5A8C" w:rsidRDefault="004B5A8C" w:rsidP="004B5A8C">
      <w:pPr>
        <w:kinsoku/>
        <w:overflowPunct/>
        <w:autoSpaceDE/>
        <w:autoSpaceDN/>
        <w:adjustRightInd/>
        <w:snapToGrid/>
        <w:rPr>
          <w:rFonts w:eastAsia="Times New Roman"/>
        </w:rPr>
      </w:pPr>
      <w:r w:rsidRPr="004B5A8C">
        <w:t>Point 4.7.3 de l’ordre du jour provisoire</w:t>
      </w:r>
    </w:p>
    <w:p w:rsidR="004B5A8C" w:rsidRPr="004B5A8C" w:rsidRDefault="004B5A8C" w:rsidP="004B5A8C">
      <w:pPr>
        <w:kinsoku/>
        <w:overflowPunct/>
        <w:autoSpaceDE/>
        <w:autoSpaceDN/>
        <w:adjustRightInd/>
        <w:snapToGrid/>
        <w:rPr>
          <w:rFonts w:eastAsia="Times New Roman"/>
          <w:b/>
        </w:rPr>
      </w:pPr>
      <w:r w:rsidRPr="004B5A8C">
        <w:rPr>
          <w:b/>
        </w:rPr>
        <w:t>Accord de 1958 :</w:t>
      </w:r>
      <w:r w:rsidRPr="004B5A8C">
        <w:rPr>
          <w:b/>
        </w:rPr>
        <w:br/>
        <w:t>Examen de projets d’amendements</w:t>
      </w:r>
    </w:p>
    <w:p w:rsidR="004B5A8C" w:rsidRPr="004B5A8C" w:rsidRDefault="004B5A8C" w:rsidP="004B5A8C">
      <w:pPr>
        <w:kinsoku/>
        <w:overflowPunct/>
        <w:autoSpaceDE/>
        <w:autoSpaceDN/>
        <w:adjustRightInd/>
        <w:snapToGrid/>
        <w:rPr>
          <w:rFonts w:eastAsia="Times New Roman"/>
          <w:b/>
        </w:rPr>
      </w:pPr>
      <w:r w:rsidRPr="004B5A8C">
        <w:rPr>
          <w:b/>
        </w:rPr>
        <w:t>à des Règlements existants, soumis par le GRRF</w:t>
      </w:r>
    </w:p>
    <w:p w:rsidR="004B5A8C" w:rsidRPr="004B5A8C" w:rsidRDefault="004B5A8C" w:rsidP="004B5A8C">
      <w:pPr>
        <w:pStyle w:val="HChG"/>
        <w:rPr>
          <w:rFonts w:eastAsia="Times New Roman"/>
          <w:spacing w:val="-1"/>
        </w:rPr>
      </w:pPr>
      <w:r w:rsidRPr="004B5A8C">
        <w:tab/>
      </w:r>
      <w:r w:rsidRPr="004B5A8C">
        <w:tab/>
      </w:r>
      <w:r w:rsidRPr="004B5A8C">
        <w:rPr>
          <w:spacing w:val="-1"/>
        </w:rPr>
        <w:t>Proposition de complément 20 à la série 02 d’amendements</w:t>
      </w:r>
      <w:r w:rsidRPr="004B5A8C">
        <w:rPr>
          <w:spacing w:val="-1"/>
        </w:rPr>
        <w:br/>
        <w:t>au Règlement n</w:t>
      </w:r>
      <w:r w:rsidRPr="004B5A8C">
        <w:rPr>
          <w:spacing w:val="-1"/>
          <w:vertAlign w:val="superscript"/>
        </w:rPr>
        <w:t>o</w:t>
      </w:r>
      <w:r w:rsidRPr="004B5A8C">
        <w:rPr>
          <w:spacing w:val="-1"/>
        </w:rPr>
        <w:t> 30 (Pneumatiques pour voitures particulières et leurs remorques)</w:t>
      </w:r>
    </w:p>
    <w:p w:rsidR="004B5A8C" w:rsidRPr="004B5A8C" w:rsidRDefault="004B5A8C" w:rsidP="004B5A8C">
      <w:pPr>
        <w:pStyle w:val="H1G"/>
        <w:rPr>
          <w:rFonts w:eastAsia="Times New Roman"/>
        </w:rPr>
      </w:pPr>
      <w:r w:rsidRPr="004B5A8C">
        <w:tab/>
      </w:r>
      <w:r w:rsidRPr="004B5A8C">
        <w:tab/>
        <w:t xml:space="preserve">Communication du Groupe de travail en matière de roulement </w:t>
      </w:r>
      <w:r w:rsidRPr="004B5A8C">
        <w:br/>
        <w:t>et de freinage</w:t>
      </w:r>
      <w:r w:rsidRPr="004B5A8C">
        <w:rPr>
          <w:rFonts w:eastAsia="Times New Roman"/>
          <w:b w:val="0"/>
          <w:sz w:val="20"/>
        </w:rPr>
        <w:footnoteReference w:customMarkFollows="1" w:id="2"/>
        <w:t>*</w:t>
      </w:r>
    </w:p>
    <w:p w:rsidR="004B5A8C" w:rsidRPr="004B5A8C" w:rsidRDefault="004B5A8C" w:rsidP="004B5A8C">
      <w:pPr>
        <w:pStyle w:val="SingleTxtG"/>
        <w:ind w:firstLine="567"/>
        <w:rPr>
          <w:rFonts w:eastAsia="Times New Roman"/>
        </w:rPr>
      </w:pPr>
      <w:r w:rsidRPr="004B5A8C">
        <w:t>Le texte ci-après, adopté par le Groupe de travail en matière de roulement et de freinage (GRRF) à sa quatre-vingt-quatrième session (ECE/TRANS/WP.29/GRRF/84, par. 27), est fondé sur le document ECE/TRANS/WP.29/GRRF/2017/17 tel que modifié par l’annexe III du rapport de la session. Il est soumis au Forum mondial de l’harmonisation des Règlements concernant les véhicules (WP.29) et au Comité d’administration (AC.1) pour examen à leurs sessions de mars 2018.</w:t>
      </w:r>
    </w:p>
    <w:p w:rsidR="004B5A8C" w:rsidRPr="004B5A8C" w:rsidRDefault="004B5A8C" w:rsidP="004B5A8C">
      <w:pPr>
        <w:pStyle w:val="HChG"/>
        <w:rPr>
          <w:rFonts w:eastAsia="Times New Roman"/>
          <w:sz w:val="20"/>
        </w:rPr>
      </w:pPr>
      <w:r w:rsidRPr="004B5A8C">
        <w:br w:type="page"/>
      </w:r>
      <w:r w:rsidRPr="004B5A8C">
        <w:lastRenderedPageBreak/>
        <w:tab/>
      </w:r>
      <w:r w:rsidRPr="004B5A8C">
        <w:tab/>
        <w:t xml:space="preserve">Complément 20 à la série 02 d’amendements </w:t>
      </w:r>
      <w:r w:rsidRPr="004B5A8C">
        <w:br/>
      </w:r>
      <w:r w:rsidRPr="004B5A8C">
        <w:rPr>
          <w:spacing w:val="-1"/>
        </w:rPr>
        <w:t xml:space="preserve">au Règlement </w:t>
      </w:r>
      <w:r w:rsidRPr="004B5A8C">
        <w:rPr>
          <w:rFonts w:eastAsia="MS Mincho"/>
          <w:spacing w:val="-1"/>
        </w:rPr>
        <w:t>n</w:t>
      </w:r>
      <w:r w:rsidRPr="004B5A8C">
        <w:rPr>
          <w:rFonts w:eastAsia="MS Mincho"/>
          <w:spacing w:val="-1"/>
          <w:vertAlign w:val="superscript"/>
        </w:rPr>
        <w:t>o</w:t>
      </w:r>
      <w:r w:rsidRPr="004B5A8C">
        <w:rPr>
          <w:spacing w:val="-1"/>
        </w:rPr>
        <w:t> 30 (Pneumatiques pour voitures</w:t>
      </w:r>
      <w:r w:rsidRPr="004B5A8C">
        <w:t xml:space="preserve"> particulières et leurs remorques)</w:t>
      </w:r>
    </w:p>
    <w:p w:rsidR="004B5A8C" w:rsidRPr="004B5A8C" w:rsidRDefault="004B5A8C" w:rsidP="004B5A8C">
      <w:pPr>
        <w:pStyle w:val="SingleTxtG"/>
        <w:keepNext/>
        <w:rPr>
          <w:rFonts w:eastAsia="Times New Roman"/>
        </w:rPr>
      </w:pPr>
      <w:r w:rsidRPr="004B5A8C">
        <w:rPr>
          <w:i/>
        </w:rPr>
        <w:t>Paragraphe 3.1.12</w:t>
      </w:r>
      <w:r w:rsidRPr="004B5A8C">
        <w:t>, lire :</w:t>
      </w:r>
    </w:p>
    <w:p w:rsidR="004B5A8C" w:rsidRPr="004B5A8C" w:rsidRDefault="004B5A8C" w:rsidP="004B5A8C">
      <w:pPr>
        <w:pStyle w:val="SingleTxtG"/>
        <w:ind w:left="2268" w:hanging="1134"/>
        <w:rPr>
          <w:rFonts w:eastAsia="Times New Roman"/>
          <w:bCs/>
          <w:iCs/>
        </w:rPr>
      </w:pPr>
      <w:r w:rsidRPr="004B5A8C">
        <w:t>« 3.1.12</w:t>
      </w:r>
      <w:r w:rsidRPr="004B5A8C">
        <w:tab/>
        <w:t xml:space="preserve">Dans le cas de pneumatiques homologués pour la première fois après l’entrée en vigueur du complément 13 à la série 02 d’amendements au Règlement </w:t>
      </w:r>
      <w:r>
        <w:rPr>
          <w:rFonts w:eastAsia="MS Mincho"/>
        </w:rPr>
        <w:t>n</w:t>
      </w:r>
      <w:r>
        <w:rPr>
          <w:rFonts w:eastAsia="MS Mincho"/>
          <w:vertAlign w:val="superscript"/>
        </w:rPr>
        <w:t>o</w:t>
      </w:r>
      <w:r>
        <w:t> </w:t>
      </w:r>
      <w:r w:rsidRPr="004B5A8C">
        <w:t>30, le symbole d’identification visé au paragraphe 2.22.1.5 doit être placé immédiatement après l’indication du diamètre de la jante t</w:t>
      </w:r>
      <w:r>
        <w:t>elle que définie au paragraphe 2.22.1.3. </w:t>
      </w:r>
      <w:r w:rsidRPr="004B5A8C">
        <w:t>».</w:t>
      </w:r>
    </w:p>
    <w:p w:rsidR="004B5A8C" w:rsidRPr="004B5A8C" w:rsidRDefault="004B5A8C" w:rsidP="004B5A8C">
      <w:pPr>
        <w:pStyle w:val="SingleTxtG"/>
        <w:keepNext/>
        <w:rPr>
          <w:rFonts w:eastAsia="Times New Roman"/>
        </w:rPr>
      </w:pPr>
      <w:r w:rsidRPr="004B5A8C">
        <w:rPr>
          <w:i/>
        </w:rPr>
        <w:t>Paragraphe 3.4</w:t>
      </w:r>
      <w:r w:rsidRPr="004B5A8C">
        <w:t>, lire</w:t>
      </w:r>
      <w:r>
        <w:t> </w:t>
      </w:r>
      <w:r w:rsidRPr="004B5A8C">
        <w:t>:</w:t>
      </w:r>
    </w:p>
    <w:p w:rsidR="00F9573C" w:rsidRDefault="004B5A8C" w:rsidP="004B5A8C">
      <w:pPr>
        <w:pStyle w:val="SingleTxtG"/>
        <w:ind w:left="2268" w:hanging="1134"/>
      </w:pPr>
      <w:r w:rsidRPr="004B5A8C">
        <w:t>«</w:t>
      </w:r>
      <w:r>
        <w:t> </w:t>
      </w:r>
      <w:r w:rsidRPr="004B5A8C">
        <w:t>3.4</w:t>
      </w:r>
      <w:r w:rsidRPr="004B5A8C">
        <w:tab/>
        <w:t xml:space="preserve">Les inscriptions mentionnées au </w:t>
      </w:r>
      <w:r>
        <w:t>paragraphe </w:t>
      </w:r>
      <w:r w:rsidRPr="004B5A8C">
        <w:t>3.1 et la marque d’homologation prévue par le paragraphe 5.4 du présent Règlement doivent être moulées en relief ou en creux sur les pneumatiques. Elles doivent être nettement lisibles et situées dans la zone basse du pneumatique sur au moins un des flancs, à l’exception de l’inscrip</w:t>
      </w:r>
      <w:r>
        <w:t>tion mentionnée aux paragraphes 3.1.1, 3.1.2 et 3.1.13. </w:t>
      </w:r>
      <w:r w:rsidRPr="004B5A8C">
        <w:t>».</w:t>
      </w:r>
    </w:p>
    <w:p w:rsidR="004B5A8C" w:rsidRPr="004B5A8C" w:rsidRDefault="004B5A8C" w:rsidP="004B5A8C">
      <w:pPr>
        <w:pStyle w:val="SingleTxtG"/>
        <w:spacing w:before="240" w:after="0"/>
        <w:jc w:val="center"/>
        <w:rPr>
          <w:u w:val="single"/>
        </w:rPr>
      </w:pPr>
      <w:r>
        <w:rPr>
          <w:u w:val="single"/>
        </w:rPr>
        <w:tab/>
      </w:r>
      <w:r>
        <w:rPr>
          <w:u w:val="single"/>
        </w:rPr>
        <w:tab/>
      </w:r>
      <w:r>
        <w:rPr>
          <w:u w:val="single"/>
        </w:rPr>
        <w:tab/>
      </w:r>
    </w:p>
    <w:sectPr w:rsidR="004B5A8C" w:rsidRPr="004B5A8C" w:rsidSect="004B5A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AB" w:rsidRDefault="004307AB" w:rsidP="00F95C08">
      <w:pPr>
        <w:spacing w:line="240" w:lineRule="auto"/>
      </w:pPr>
    </w:p>
  </w:endnote>
  <w:endnote w:type="continuationSeparator" w:id="0">
    <w:p w:rsidR="004307AB" w:rsidRPr="00AC3823" w:rsidRDefault="004307AB" w:rsidP="00AC3823">
      <w:pPr>
        <w:pStyle w:val="Footer"/>
      </w:pPr>
    </w:p>
  </w:endnote>
  <w:endnote w:type="continuationNotice" w:id="1">
    <w:p w:rsidR="004307AB" w:rsidRDefault="004307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8C" w:rsidRPr="004B5A8C" w:rsidRDefault="004B5A8C" w:rsidP="004B5A8C">
    <w:pPr>
      <w:pStyle w:val="Footer"/>
      <w:tabs>
        <w:tab w:val="right" w:pos="9638"/>
      </w:tabs>
    </w:pPr>
    <w:r w:rsidRPr="004B5A8C">
      <w:rPr>
        <w:b/>
        <w:sz w:val="18"/>
      </w:rPr>
      <w:fldChar w:fldCharType="begin"/>
    </w:r>
    <w:r w:rsidRPr="004B5A8C">
      <w:rPr>
        <w:b/>
        <w:sz w:val="18"/>
      </w:rPr>
      <w:instrText xml:space="preserve"> PAGE  \* MERGEFORMAT </w:instrText>
    </w:r>
    <w:r w:rsidRPr="004B5A8C">
      <w:rPr>
        <w:b/>
        <w:sz w:val="18"/>
      </w:rPr>
      <w:fldChar w:fldCharType="separate"/>
    </w:r>
    <w:r w:rsidR="00366786">
      <w:rPr>
        <w:b/>
        <w:noProof/>
        <w:sz w:val="18"/>
      </w:rPr>
      <w:t>2</w:t>
    </w:r>
    <w:r w:rsidRPr="004B5A8C">
      <w:rPr>
        <w:b/>
        <w:sz w:val="18"/>
      </w:rPr>
      <w:fldChar w:fldCharType="end"/>
    </w:r>
    <w:r>
      <w:rPr>
        <w:b/>
        <w:sz w:val="18"/>
      </w:rPr>
      <w:tab/>
    </w:r>
    <w:r>
      <w:t>GE.17-23514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8C" w:rsidRPr="004B5A8C" w:rsidRDefault="004B5A8C" w:rsidP="004B5A8C">
    <w:pPr>
      <w:pStyle w:val="Footer"/>
      <w:tabs>
        <w:tab w:val="right" w:pos="9638"/>
      </w:tabs>
      <w:rPr>
        <w:b/>
        <w:sz w:val="18"/>
      </w:rPr>
    </w:pPr>
    <w:r>
      <w:t>GE.17-23514</w:t>
    </w:r>
    <w:r>
      <w:tab/>
    </w:r>
    <w:r w:rsidRPr="004B5A8C">
      <w:rPr>
        <w:b/>
        <w:sz w:val="18"/>
      </w:rPr>
      <w:fldChar w:fldCharType="begin"/>
    </w:r>
    <w:r w:rsidRPr="004B5A8C">
      <w:rPr>
        <w:b/>
        <w:sz w:val="18"/>
      </w:rPr>
      <w:instrText xml:space="preserve"> PAGE  \* MERGEFORMAT </w:instrText>
    </w:r>
    <w:r w:rsidRPr="004B5A8C">
      <w:rPr>
        <w:b/>
        <w:sz w:val="18"/>
      </w:rPr>
      <w:fldChar w:fldCharType="separate"/>
    </w:r>
    <w:r w:rsidR="00827F30">
      <w:rPr>
        <w:b/>
        <w:noProof/>
        <w:sz w:val="18"/>
      </w:rPr>
      <w:t>2</w:t>
    </w:r>
    <w:r w:rsidRPr="004B5A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4B5A8C" w:rsidRDefault="004B5A8C" w:rsidP="004B5A8C">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17-23514  (F)    300118   300118</w:t>
    </w:r>
    <w:r>
      <w:rPr>
        <w:sz w:val="20"/>
      </w:rPr>
      <w:br/>
    </w:r>
    <w:r w:rsidRPr="004B5A8C">
      <w:rPr>
        <w:rFonts w:ascii="C39T30Lfz" w:hAnsi="C39T30Lfz"/>
        <w:sz w:val="56"/>
      </w:rPr>
      <w:t></w:t>
    </w:r>
    <w:r w:rsidRPr="004B5A8C">
      <w:rPr>
        <w:rFonts w:ascii="C39T30Lfz" w:hAnsi="C39T30Lfz"/>
        <w:sz w:val="56"/>
      </w:rPr>
      <w:t></w:t>
    </w:r>
    <w:r w:rsidRPr="004B5A8C">
      <w:rPr>
        <w:rFonts w:ascii="C39T30Lfz" w:hAnsi="C39T30Lfz"/>
        <w:sz w:val="56"/>
      </w:rPr>
      <w:t></w:t>
    </w:r>
    <w:r w:rsidRPr="004B5A8C">
      <w:rPr>
        <w:rFonts w:ascii="C39T30Lfz" w:hAnsi="C39T30Lfz"/>
        <w:sz w:val="56"/>
      </w:rPr>
      <w:t></w:t>
    </w:r>
    <w:r w:rsidRPr="004B5A8C">
      <w:rPr>
        <w:rFonts w:ascii="C39T30Lfz" w:hAnsi="C39T30Lfz"/>
        <w:sz w:val="56"/>
      </w:rPr>
      <w:t></w:t>
    </w:r>
    <w:r w:rsidRPr="004B5A8C">
      <w:rPr>
        <w:rFonts w:ascii="C39T30Lfz" w:hAnsi="C39T30Lfz"/>
        <w:sz w:val="56"/>
      </w:rPr>
      <w:t></w:t>
    </w:r>
    <w:r w:rsidRPr="004B5A8C">
      <w:rPr>
        <w:rFonts w:ascii="C39T30Lfz" w:hAnsi="C39T30Lfz"/>
        <w:sz w:val="56"/>
      </w:rPr>
      <w:t></w:t>
    </w:r>
    <w:r w:rsidRPr="004B5A8C">
      <w:rPr>
        <w:rFonts w:ascii="C39T30Lfz" w:hAnsi="C39T30Lfz"/>
        <w:sz w:val="56"/>
      </w:rPr>
      <w:t></w:t>
    </w:r>
    <w:r w:rsidRPr="004B5A8C">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AB" w:rsidRPr="00AC3823" w:rsidRDefault="004307AB" w:rsidP="00AC3823">
      <w:pPr>
        <w:pStyle w:val="Footer"/>
        <w:tabs>
          <w:tab w:val="right" w:pos="2155"/>
        </w:tabs>
        <w:spacing w:after="80" w:line="240" w:lineRule="atLeast"/>
        <w:ind w:left="680"/>
        <w:rPr>
          <w:u w:val="single"/>
        </w:rPr>
      </w:pPr>
      <w:r>
        <w:rPr>
          <w:u w:val="single"/>
        </w:rPr>
        <w:tab/>
      </w:r>
    </w:p>
  </w:footnote>
  <w:footnote w:type="continuationSeparator" w:id="0">
    <w:p w:rsidR="004307AB" w:rsidRPr="00AC3823" w:rsidRDefault="004307AB" w:rsidP="00AC3823">
      <w:pPr>
        <w:pStyle w:val="Footer"/>
        <w:tabs>
          <w:tab w:val="right" w:pos="2155"/>
        </w:tabs>
        <w:spacing w:after="80" w:line="240" w:lineRule="atLeast"/>
        <w:ind w:left="680"/>
        <w:rPr>
          <w:u w:val="single"/>
        </w:rPr>
      </w:pPr>
      <w:r>
        <w:rPr>
          <w:u w:val="single"/>
        </w:rPr>
        <w:tab/>
      </w:r>
    </w:p>
  </w:footnote>
  <w:footnote w:type="continuationNotice" w:id="1">
    <w:p w:rsidR="004307AB" w:rsidRPr="00AC3823" w:rsidRDefault="004307AB">
      <w:pPr>
        <w:spacing w:line="240" w:lineRule="auto"/>
        <w:rPr>
          <w:sz w:val="2"/>
          <w:szCs w:val="2"/>
        </w:rPr>
      </w:pPr>
    </w:p>
  </w:footnote>
  <w:footnote w:id="2">
    <w:p w:rsidR="004B5A8C" w:rsidRPr="00706101" w:rsidRDefault="004B5A8C" w:rsidP="004B5A8C">
      <w:pPr>
        <w:pStyle w:val="FootnoteText"/>
      </w:pPr>
      <w:r>
        <w:tab/>
      </w:r>
      <w:r>
        <w:rPr>
          <w:sz w:val="20"/>
        </w:rPr>
        <w:t>*</w:t>
      </w:r>
      <w:r>
        <w:rPr>
          <w:sz w:val="20"/>
        </w:rPr>
        <w:tab/>
      </w:r>
      <w:r>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8C" w:rsidRPr="004B5A8C" w:rsidRDefault="00366786">
    <w:pPr>
      <w:pStyle w:val="Header"/>
    </w:pPr>
    <w:r>
      <w:fldChar w:fldCharType="begin"/>
    </w:r>
    <w:r>
      <w:instrText xml:space="preserve"> TITLE  \* MERGEFORMAT </w:instrText>
    </w:r>
    <w:r>
      <w:fldChar w:fldCharType="separate"/>
    </w:r>
    <w:r w:rsidR="00827F30">
      <w:t>ECE/TRANS/WP.29/2018/10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8C" w:rsidRPr="004B5A8C" w:rsidRDefault="00366786" w:rsidP="004B5A8C">
    <w:pPr>
      <w:pStyle w:val="Header"/>
      <w:jc w:val="right"/>
    </w:pPr>
    <w:r>
      <w:fldChar w:fldCharType="begin"/>
    </w:r>
    <w:r>
      <w:instrText xml:space="preserve"> TITLE  \* MERGEFORMAT </w:instrText>
    </w:r>
    <w:r>
      <w:fldChar w:fldCharType="separate"/>
    </w:r>
    <w:r w:rsidR="00827F30">
      <w:t>ECE/TRANS/WP.29/2018/10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A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6786"/>
    <w:rsid w:val="003916DE"/>
    <w:rsid w:val="004307AB"/>
    <w:rsid w:val="00441C3B"/>
    <w:rsid w:val="00446FE5"/>
    <w:rsid w:val="00452396"/>
    <w:rsid w:val="004837D8"/>
    <w:rsid w:val="004B5A8C"/>
    <w:rsid w:val="004E468C"/>
    <w:rsid w:val="005505B7"/>
    <w:rsid w:val="00573BE5"/>
    <w:rsid w:val="00586ED3"/>
    <w:rsid w:val="00596AA9"/>
    <w:rsid w:val="0071601D"/>
    <w:rsid w:val="007A62E6"/>
    <w:rsid w:val="007F20FA"/>
    <w:rsid w:val="0080684C"/>
    <w:rsid w:val="00827F30"/>
    <w:rsid w:val="00871C75"/>
    <w:rsid w:val="008776DC"/>
    <w:rsid w:val="009446C0"/>
    <w:rsid w:val="009705C8"/>
    <w:rsid w:val="009C1CF4"/>
    <w:rsid w:val="009F6B74"/>
    <w:rsid w:val="00A30353"/>
    <w:rsid w:val="00AC3823"/>
    <w:rsid w:val="00AE323C"/>
    <w:rsid w:val="00AF0CB5"/>
    <w:rsid w:val="00B00181"/>
    <w:rsid w:val="00B00B0D"/>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128631-5844-45A3-B462-E83B86F7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vt:lpstr>
      <vt:lpstr>ECE/TRANS/WP.29/2018/10</vt:lpstr>
    </vt:vector>
  </TitlesOfParts>
  <Company>DCM</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dc:title>
  <dc:subject/>
  <dc:creator>Nathalie VITTOZ</dc:creator>
  <cp:keywords/>
  <cp:lastModifiedBy>CRP.1/A.6</cp:lastModifiedBy>
  <cp:revision>2</cp:revision>
  <cp:lastPrinted>2018-01-30T15:15:00Z</cp:lastPrinted>
  <dcterms:created xsi:type="dcterms:W3CDTF">2018-01-30T16:06:00Z</dcterms:created>
  <dcterms:modified xsi:type="dcterms:W3CDTF">2018-01-30T16:06:00Z</dcterms:modified>
</cp:coreProperties>
</file>