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05EC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05ECE" w:rsidP="00805ECE">
            <w:pPr>
              <w:jc w:val="right"/>
            </w:pPr>
            <w:r w:rsidRPr="00805ECE">
              <w:rPr>
                <w:sz w:val="40"/>
              </w:rPr>
              <w:t>ECE</w:t>
            </w:r>
            <w:r>
              <w:t>/TRANS/WP.11/2018/13</w:t>
            </w:r>
          </w:p>
        </w:tc>
      </w:tr>
      <w:tr w:rsidR="002D5AAC" w:rsidRPr="00805EC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05ECE" w:rsidP="00387CD4">
            <w:pPr>
              <w:spacing w:before="240"/>
              <w:rPr>
                <w:lang w:val="en-US"/>
              </w:rPr>
            </w:pPr>
            <w:r>
              <w:rPr>
                <w:lang w:val="en-US"/>
              </w:rPr>
              <w:t>Distr.: General</w:t>
            </w:r>
          </w:p>
          <w:p w:rsidR="00805ECE" w:rsidRDefault="00805ECE" w:rsidP="00805ECE">
            <w:pPr>
              <w:spacing w:line="240" w:lineRule="exact"/>
              <w:rPr>
                <w:lang w:val="en-US"/>
              </w:rPr>
            </w:pPr>
            <w:r>
              <w:rPr>
                <w:lang w:val="en-US"/>
              </w:rPr>
              <w:t>24 July 2018</w:t>
            </w:r>
          </w:p>
          <w:p w:rsidR="00805ECE" w:rsidRDefault="00805ECE" w:rsidP="00805ECE">
            <w:pPr>
              <w:spacing w:line="240" w:lineRule="exact"/>
              <w:rPr>
                <w:lang w:val="en-US"/>
              </w:rPr>
            </w:pPr>
            <w:r>
              <w:rPr>
                <w:lang w:val="en-US"/>
              </w:rPr>
              <w:t>Russian</w:t>
            </w:r>
          </w:p>
          <w:p w:rsidR="00805ECE" w:rsidRPr="008D53B6" w:rsidRDefault="00805ECE" w:rsidP="00805EC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9492A" w:rsidRPr="00A30C88" w:rsidRDefault="0069492A" w:rsidP="0069492A">
      <w:pPr>
        <w:spacing w:before="120"/>
        <w:rPr>
          <w:sz w:val="28"/>
          <w:szCs w:val="28"/>
        </w:rPr>
      </w:pPr>
      <w:r w:rsidRPr="00135848">
        <w:rPr>
          <w:sz w:val="28"/>
          <w:szCs w:val="28"/>
        </w:rPr>
        <w:t>Комитет по внутреннему транспорту</w:t>
      </w:r>
    </w:p>
    <w:p w:rsidR="0069492A" w:rsidRPr="00A30C88" w:rsidRDefault="0069492A" w:rsidP="0069492A">
      <w:pPr>
        <w:spacing w:before="120"/>
        <w:rPr>
          <w:b/>
          <w:bCs/>
          <w:sz w:val="24"/>
          <w:szCs w:val="24"/>
        </w:rPr>
      </w:pPr>
      <w:r w:rsidRPr="00135848">
        <w:rPr>
          <w:b/>
          <w:bCs/>
          <w:sz w:val="24"/>
          <w:szCs w:val="24"/>
        </w:rPr>
        <w:t xml:space="preserve">Рабочая группа по перевозкам </w:t>
      </w:r>
      <w:r>
        <w:rPr>
          <w:b/>
          <w:bCs/>
          <w:sz w:val="24"/>
          <w:szCs w:val="24"/>
        </w:rPr>
        <w:br/>
      </w:r>
      <w:r w:rsidRPr="00135848">
        <w:rPr>
          <w:b/>
          <w:bCs/>
          <w:sz w:val="24"/>
          <w:szCs w:val="24"/>
        </w:rPr>
        <w:t>скоропортящихся пищевых продуктов</w:t>
      </w:r>
    </w:p>
    <w:p w:rsidR="0069492A" w:rsidRPr="00A30C88" w:rsidRDefault="0069492A" w:rsidP="0069492A">
      <w:pPr>
        <w:spacing w:before="120"/>
        <w:rPr>
          <w:b/>
          <w:bCs/>
        </w:rPr>
      </w:pPr>
      <w:r w:rsidRPr="00135848">
        <w:rPr>
          <w:b/>
          <w:bCs/>
        </w:rPr>
        <w:t>Семьдесят четвертая сессия</w:t>
      </w:r>
    </w:p>
    <w:p w:rsidR="0069492A" w:rsidRPr="00A30C88" w:rsidRDefault="0069492A" w:rsidP="0069492A">
      <w:r>
        <w:t>Женева, 8–12 октября 2018 года</w:t>
      </w:r>
    </w:p>
    <w:p w:rsidR="0069492A" w:rsidRPr="00A30C88" w:rsidRDefault="0069492A" w:rsidP="0069492A">
      <w:r>
        <w:t>Пункт 6 b) предварительной повестки дня</w:t>
      </w:r>
    </w:p>
    <w:p w:rsidR="0069492A" w:rsidRDefault="0069492A" w:rsidP="0069492A">
      <w:pPr>
        <w:rPr>
          <w:b/>
          <w:bCs/>
        </w:rPr>
      </w:pPr>
      <w:r w:rsidRPr="00135848">
        <w:rPr>
          <w:b/>
          <w:bCs/>
        </w:rPr>
        <w:t>Предложения по поправкам к СПС:</w:t>
      </w:r>
    </w:p>
    <w:p w:rsidR="0069492A" w:rsidRPr="00135848" w:rsidRDefault="0069492A" w:rsidP="0069492A">
      <w:pPr>
        <w:suppressAutoHyphens w:val="0"/>
        <w:spacing w:after="200" w:line="276" w:lineRule="auto"/>
        <w:rPr>
          <w:b/>
          <w:bCs/>
        </w:rPr>
      </w:pPr>
      <w:r w:rsidRPr="00135848">
        <w:rPr>
          <w:b/>
          <w:bCs/>
        </w:rPr>
        <w:t>новые предложения</w:t>
      </w:r>
    </w:p>
    <w:p w:rsidR="0069492A" w:rsidRPr="006E56F2" w:rsidRDefault="0069492A" w:rsidP="0069492A">
      <w:pPr>
        <w:pStyle w:val="HChG"/>
      </w:pPr>
      <w:r>
        <w:rPr>
          <w:lang w:val="ru-RU"/>
        </w:rPr>
        <w:tab/>
      </w:r>
      <w:r>
        <w:rPr>
          <w:lang w:val="ru-RU"/>
        </w:rPr>
        <w:tab/>
        <w:t>Предложение об изменении образца № 12 в добавлении 2 к приложению 1: действительность протоколов испытаний для механических холодильных установок</w:t>
      </w:r>
    </w:p>
    <w:p w:rsidR="0069492A" w:rsidRDefault="0069492A" w:rsidP="0069492A">
      <w:pPr>
        <w:pStyle w:val="H1G"/>
        <w:rPr>
          <w:lang w:val="ru-RU"/>
        </w:rPr>
      </w:pPr>
      <w:r>
        <w:rPr>
          <w:lang w:val="ru-RU"/>
        </w:rPr>
        <w:tab/>
      </w:r>
      <w:r>
        <w:rPr>
          <w:lang w:val="ru-RU"/>
        </w:rPr>
        <w:tab/>
        <w:t>Передано правительством Германии</w:t>
      </w:r>
    </w:p>
    <w:tbl>
      <w:tblPr>
        <w:tblStyle w:val="TableGrid"/>
        <w:tblW w:w="0" w:type="auto"/>
        <w:jc w:val="center"/>
        <w:tblLook w:val="05E0" w:firstRow="1" w:lastRow="1" w:firstColumn="1" w:lastColumn="1" w:noHBand="0" w:noVBand="1"/>
      </w:tblPr>
      <w:tblGrid>
        <w:gridCol w:w="9628"/>
      </w:tblGrid>
      <w:tr w:rsidR="0069492A" w:rsidRPr="0069492A" w:rsidTr="00850215">
        <w:trPr>
          <w:jc w:val="center"/>
        </w:trPr>
        <w:tc>
          <w:tcPr>
            <w:tcW w:w="9637" w:type="dxa"/>
            <w:tcBorders>
              <w:bottom w:val="nil"/>
            </w:tcBorders>
          </w:tcPr>
          <w:p w:rsidR="0069492A" w:rsidRPr="0069492A" w:rsidRDefault="0069492A" w:rsidP="00850215">
            <w:pPr>
              <w:tabs>
                <w:tab w:val="left" w:pos="255"/>
              </w:tabs>
              <w:spacing w:before="240" w:after="120"/>
              <w:rPr>
                <w:rFonts w:cs="Times New Roman"/>
                <w:sz w:val="24"/>
              </w:rPr>
            </w:pPr>
            <w:r w:rsidRPr="0069492A">
              <w:rPr>
                <w:rFonts w:cs="Times New Roman"/>
              </w:rPr>
              <w:tab/>
            </w:r>
            <w:r w:rsidRPr="0069492A">
              <w:rPr>
                <w:rFonts w:cs="Times New Roman"/>
                <w:i/>
                <w:sz w:val="24"/>
              </w:rPr>
              <w:t>Резюме</w:t>
            </w:r>
          </w:p>
        </w:tc>
      </w:tr>
      <w:tr w:rsidR="0069492A" w:rsidRPr="0069492A" w:rsidTr="00850215">
        <w:trPr>
          <w:jc w:val="center"/>
        </w:trPr>
        <w:tc>
          <w:tcPr>
            <w:tcW w:w="9637" w:type="dxa"/>
            <w:tcBorders>
              <w:top w:val="nil"/>
              <w:bottom w:val="nil"/>
            </w:tcBorders>
            <w:shd w:val="clear" w:color="auto" w:fill="auto"/>
          </w:tcPr>
          <w:p w:rsidR="0069492A" w:rsidRPr="0069492A" w:rsidRDefault="0069492A" w:rsidP="0069492A">
            <w:pPr>
              <w:pStyle w:val="SingleTxtGR"/>
              <w:ind w:left="3969" w:hanging="2835"/>
            </w:pPr>
            <w:r w:rsidRPr="0033624F">
              <w:rPr>
                <w:b/>
                <w:bCs/>
              </w:rPr>
              <w:t>Существо предл</w:t>
            </w:r>
            <w:r w:rsidRPr="0069492A">
              <w:rPr>
                <w:b/>
                <w:bCs/>
              </w:rPr>
              <w:t>ожения</w:t>
            </w:r>
            <w:r w:rsidRPr="0069492A">
              <w:rPr>
                <w:b/>
              </w:rPr>
              <w:t>:</w:t>
            </w:r>
            <w:r w:rsidRPr="0069492A">
              <w:rPr>
                <w:b/>
              </w:rPr>
              <w:tab/>
            </w:r>
            <w:r>
              <w:tab/>
              <w:t xml:space="preserve">Если никаких модификаций холодильной установки, имеющих отношение к СПС, произведено не было, то повторное испытание холодильной установки ранее допущенного типа лишь дает те же результаты, что и первое испытание, и не позволяет получить каких-либо новых данных. Поэтому следует предусмотреть возможность продления срока действия свидетельства о допущении типа </w:t>
            </w:r>
            <w:proofErr w:type="spellStart"/>
            <w:r>
              <w:t>немодифицированной</w:t>
            </w:r>
            <w:proofErr w:type="spellEnd"/>
            <w:r>
              <w:t xml:space="preserve"> холодильной установки на основе подтверждения компетентного органа о том, что данная холодильная установка изготовлена в соответствии с ранее допущенным типом.</w:t>
            </w:r>
          </w:p>
        </w:tc>
      </w:tr>
      <w:tr w:rsidR="0069492A" w:rsidRPr="0069492A" w:rsidTr="00850215">
        <w:trPr>
          <w:jc w:val="center"/>
        </w:trPr>
        <w:tc>
          <w:tcPr>
            <w:tcW w:w="9637" w:type="dxa"/>
            <w:tcBorders>
              <w:top w:val="nil"/>
              <w:bottom w:val="nil"/>
            </w:tcBorders>
            <w:shd w:val="clear" w:color="auto" w:fill="auto"/>
          </w:tcPr>
          <w:p w:rsidR="0069492A" w:rsidRPr="0069492A" w:rsidRDefault="0069492A" w:rsidP="0069492A">
            <w:pPr>
              <w:pStyle w:val="SingleTxtGR"/>
              <w:ind w:left="3969" w:hanging="2835"/>
              <w:rPr>
                <w:b/>
                <w:bCs/>
              </w:rPr>
            </w:pPr>
            <w:r w:rsidRPr="0033624F">
              <w:rPr>
                <w:b/>
                <w:bCs/>
              </w:rPr>
              <w:t>Предлагаемое реше</w:t>
            </w:r>
            <w:r w:rsidRPr="0069492A">
              <w:rPr>
                <w:b/>
                <w:bCs/>
              </w:rPr>
              <w:t>ние</w:t>
            </w:r>
            <w:r w:rsidRPr="0069492A">
              <w:rPr>
                <w:b/>
              </w:rPr>
              <w:t>:</w:t>
            </w:r>
            <w:r w:rsidRPr="0069492A">
              <w:rPr>
                <w:b/>
              </w:rPr>
              <w:tab/>
            </w:r>
            <w:r>
              <w:tab/>
              <w:t xml:space="preserve">Изменить образец № 12 в добавлении 2 к </w:t>
            </w:r>
            <w:r>
              <w:tab/>
              <w:t>приложению 1.</w:t>
            </w:r>
          </w:p>
        </w:tc>
      </w:tr>
      <w:tr w:rsidR="0069492A" w:rsidRPr="0069492A" w:rsidTr="00850215">
        <w:trPr>
          <w:jc w:val="center"/>
        </w:trPr>
        <w:tc>
          <w:tcPr>
            <w:tcW w:w="9637" w:type="dxa"/>
            <w:tcBorders>
              <w:top w:val="nil"/>
              <w:bottom w:val="nil"/>
            </w:tcBorders>
            <w:shd w:val="clear" w:color="auto" w:fill="auto"/>
          </w:tcPr>
          <w:p w:rsidR="0069492A" w:rsidRPr="0033624F" w:rsidRDefault="0069492A" w:rsidP="0069492A">
            <w:pPr>
              <w:pStyle w:val="SingleTxtGR"/>
              <w:ind w:left="3969" w:hanging="2835"/>
              <w:rPr>
                <w:b/>
                <w:bCs/>
              </w:rPr>
            </w:pPr>
            <w:r w:rsidRPr="0033624F">
              <w:rPr>
                <w:b/>
                <w:bCs/>
              </w:rPr>
              <w:t>Справочные докумен</w:t>
            </w:r>
            <w:r w:rsidRPr="0069492A">
              <w:rPr>
                <w:b/>
                <w:bCs/>
              </w:rPr>
              <w:t>ты</w:t>
            </w:r>
            <w:r w:rsidRPr="0069492A">
              <w:rPr>
                <w:b/>
              </w:rPr>
              <w:t>:</w:t>
            </w:r>
            <w:r>
              <w:tab/>
              <w:t>ECE/TRANS/WP.11/2015/1</w:t>
            </w:r>
          </w:p>
        </w:tc>
      </w:tr>
      <w:tr w:rsidR="0069492A" w:rsidRPr="0069492A" w:rsidTr="00850215">
        <w:trPr>
          <w:jc w:val="center"/>
        </w:trPr>
        <w:tc>
          <w:tcPr>
            <w:tcW w:w="9637" w:type="dxa"/>
            <w:tcBorders>
              <w:top w:val="nil"/>
            </w:tcBorders>
          </w:tcPr>
          <w:p w:rsidR="0069492A" w:rsidRPr="0069492A" w:rsidRDefault="0069492A" w:rsidP="00850215">
            <w:pPr>
              <w:rPr>
                <w:rFonts w:cs="Times New Roman"/>
              </w:rPr>
            </w:pPr>
          </w:p>
        </w:tc>
      </w:tr>
    </w:tbl>
    <w:p w:rsidR="0069492A" w:rsidRDefault="0069492A" w:rsidP="0069492A"/>
    <w:p w:rsidR="0069492A" w:rsidRDefault="0069492A" w:rsidP="0069492A"/>
    <w:p w:rsidR="0069492A" w:rsidRDefault="0069492A" w:rsidP="0069492A"/>
    <w:p w:rsidR="0069492A" w:rsidRPr="00A30C88" w:rsidRDefault="0069492A" w:rsidP="0069492A">
      <w:pPr>
        <w:pStyle w:val="HChG"/>
        <w:rPr>
          <w:lang w:val="ru-RU"/>
        </w:rPr>
      </w:pPr>
      <w:r>
        <w:rPr>
          <w:lang w:val="ru-RU"/>
        </w:rPr>
        <w:lastRenderedPageBreak/>
        <w:tab/>
      </w:r>
      <w:r>
        <w:rPr>
          <w:lang w:val="ru-RU"/>
        </w:rPr>
        <w:tab/>
        <w:t>Введение</w:t>
      </w:r>
    </w:p>
    <w:p w:rsidR="0069492A" w:rsidRPr="001A7986" w:rsidRDefault="0069492A" w:rsidP="0069492A">
      <w:pPr>
        <w:spacing w:after="120"/>
        <w:ind w:left="1134" w:right="1134"/>
        <w:jc w:val="both"/>
      </w:pPr>
      <w:r>
        <w:t>1.</w:t>
      </w:r>
      <w:r>
        <w:tab/>
        <w:t>На семьдесят первой сессии в 2015 году Соединенное Королевство представило предложение ECE/TRANS/WP.11/2015/1, в соответствии с которым в образец № 12 в добавлении 2 к приложению 1 было включено следующее:</w:t>
      </w:r>
    </w:p>
    <w:p w:rsidR="0069492A" w:rsidRPr="001A7986" w:rsidRDefault="0069492A" w:rsidP="0069492A">
      <w:pPr>
        <w:spacing w:after="120"/>
        <w:ind w:left="1134" w:right="1134"/>
        <w:jc w:val="both"/>
      </w:pPr>
      <w:r>
        <w:tab/>
        <w:t>«</w:t>
      </w:r>
      <w:r w:rsidRPr="001A7986">
        <w:t xml:space="preserve">Исходя из приведенных выше результатов испытания, использование настоящего протокола в качестве свидетельства </w:t>
      </w:r>
      <w:r>
        <w:t>о допущении</w:t>
      </w:r>
      <w:r w:rsidRPr="001A7986">
        <w:t xml:space="preserve"> типа транспортного средства </w:t>
      </w:r>
      <w:r w:rsidRPr="005132DF">
        <w:t xml:space="preserve">в соответствии с пунктом </w:t>
      </w:r>
      <w:proofErr w:type="gramStart"/>
      <w:r w:rsidRPr="005132DF">
        <w:t>6</w:t>
      </w:r>
      <w:proofErr w:type="gramEnd"/>
      <w:r w:rsidRPr="005132DF">
        <w:t xml:space="preserve"> а) добавления 1 к приложению 1 к СПС возможно только в течение не более шести лет, т.</w:t>
      </w:r>
      <w:r>
        <w:t> </w:t>
      </w:r>
      <w:r w:rsidRPr="005132DF">
        <w:t>е. до</w:t>
      </w:r>
      <w:r>
        <w:t>...».</w:t>
      </w:r>
    </w:p>
    <w:p w:rsidR="0069492A" w:rsidRPr="00A30C88" w:rsidRDefault="0069492A" w:rsidP="0069492A">
      <w:pPr>
        <w:spacing w:after="120"/>
        <w:ind w:left="1134" w:right="1134"/>
        <w:jc w:val="both"/>
      </w:pPr>
      <w:r>
        <w:t>2.</w:t>
      </w:r>
      <w:r>
        <w:tab/>
        <w:t xml:space="preserve">До вступления в силу этого добавления свидетельства о допущении типа холодильных установок не имели ограничений срока действия при условии, что никаких модификаций ранее допущенного типа, имеющих отношение к СПС, произведено не было. </w:t>
      </w:r>
    </w:p>
    <w:p w:rsidR="0069492A" w:rsidRPr="00A30C88" w:rsidRDefault="0069492A" w:rsidP="0069492A">
      <w:pPr>
        <w:spacing w:after="120"/>
        <w:ind w:left="1134" w:right="1134"/>
        <w:jc w:val="both"/>
      </w:pPr>
      <w:r>
        <w:t>3.</w:t>
      </w:r>
      <w:r>
        <w:tab/>
        <w:t>Если никаких модификаций холодильной установки, имеющих отношение к СПС, произведено не было, то повторное испытание холодильной установки ранее допущенного типа дает те же результаты, что и первое испытание, и, таким образом, не позволяет получить каких-либо новых данных.</w:t>
      </w:r>
    </w:p>
    <w:p w:rsidR="0069492A" w:rsidRPr="00A30C88" w:rsidRDefault="0069492A" w:rsidP="0069492A">
      <w:pPr>
        <w:spacing w:after="120"/>
        <w:ind w:left="1134" w:right="1134"/>
        <w:jc w:val="both"/>
      </w:pPr>
      <w:r>
        <w:t>4.</w:t>
      </w:r>
      <w:r>
        <w:tab/>
        <w:t xml:space="preserve">Для малых и средних изготовителей холодильных установок ограничение срока действия протоколов испытания является серьезным экономическим бременем, поскольку эти изготовители зачастую ориентируются на конкретные потребности своих заказчиков. Таким образом, они предлагают широкий ассортимент изделий, как правило, изготовленных небольшими партиями и существенно отличающихся от изделий серийного производства. </w:t>
      </w:r>
    </w:p>
    <w:p w:rsidR="0069492A" w:rsidRPr="00A30C88" w:rsidRDefault="0069492A" w:rsidP="0069492A">
      <w:pPr>
        <w:spacing w:after="120"/>
        <w:ind w:left="1134" w:right="1134"/>
        <w:jc w:val="both"/>
      </w:pPr>
      <w:r>
        <w:t>5.</w:t>
      </w:r>
      <w:r>
        <w:tab/>
        <w:t xml:space="preserve">После того как изготовитель получает свидетельство о допущении типа, зачастую никаких модификаций испытанной холодильной установки, имеющих отношение к СПС, не производится на протяжении многих лет. Расходы на обязательные повторные испытания </w:t>
      </w:r>
      <w:proofErr w:type="spellStart"/>
      <w:r>
        <w:t>немодифицированных</w:t>
      </w:r>
      <w:proofErr w:type="spellEnd"/>
      <w:r>
        <w:t xml:space="preserve"> холодильных установок каждые шесть лет являются чрезмерно высокими, особенно в случае</w:t>
      </w:r>
      <w:r w:rsidRPr="0041036B">
        <w:t xml:space="preserve"> </w:t>
      </w:r>
      <w:proofErr w:type="spellStart"/>
      <w:r w:rsidRPr="0041036B">
        <w:t>мультитемпературных</w:t>
      </w:r>
      <w:proofErr w:type="spellEnd"/>
      <w:r>
        <w:t xml:space="preserve"> холодильных установок. </w:t>
      </w:r>
    </w:p>
    <w:p w:rsidR="0069492A" w:rsidRPr="00A30C88" w:rsidRDefault="0069492A" w:rsidP="0069492A">
      <w:pPr>
        <w:spacing w:after="120"/>
        <w:ind w:left="1134" w:right="1134"/>
        <w:jc w:val="both"/>
      </w:pPr>
      <w:r>
        <w:t>6.</w:t>
      </w:r>
      <w:r>
        <w:tab/>
        <w:t>Германия отметила, что холодильная установка как таковая не подпадает под определение транспортного средства. По этой причине ссылка в образце № 12 добавления 2 к приложению 1 на пункт 6 a) добавления 1 к приложению 1 вводит в заблуждение. В настоящее время текст СПС не содержит какого-либо положения, касающегося оборудования и сопоставимого с пунктом 6 a) добавления 1 к приложению 1. Отсутствие аналогичного положения для оборудования объясняется тем, что к компонентам транспортной холодильной установки – за исключением изотермических транспортных средств – можно легко получить доступ. Это позволяет увидеть невооруженным глазом, соответствуют ли компоненты данной транспортной холодильной установки компонентам испытанной установки, указанным в протоколе испытания типа.</w:t>
      </w:r>
    </w:p>
    <w:p w:rsidR="0069492A" w:rsidRPr="00A30C88" w:rsidRDefault="0069492A" w:rsidP="0069492A">
      <w:pPr>
        <w:pStyle w:val="HChG"/>
        <w:rPr>
          <w:lang w:val="ru-RU"/>
        </w:rPr>
      </w:pPr>
      <w:r>
        <w:rPr>
          <w:lang w:val="ru-RU"/>
        </w:rPr>
        <w:tab/>
      </w:r>
      <w:r>
        <w:rPr>
          <w:lang w:val="ru-RU"/>
        </w:rPr>
        <w:tab/>
        <w:t>Предложение по поправке</w:t>
      </w:r>
    </w:p>
    <w:p w:rsidR="0069492A" w:rsidRPr="0041036B" w:rsidRDefault="0069492A" w:rsidP="0069492A">
      <w:pPr>
        <w:spacing w:after="120"/>
        <w:ind w:left="1134" w:right="1134"/>
        <w:jc w:val="both"/>
      </w:pPr>
      <w:r>
        <w:t>7.</w:t>
      </w:r>
      <w:r>
        <w:tab/>
        <w:t>Включить в пункт d) «Замечания» образца № 12 в добавлении 2 к приложению 1 следующее:</w:t>
      </w:r>
    </w:p>
    <w:p w:rsidR="0069492A" w:rsidRPr="00A30C88" w:rsidRDefault="0069492A" w:rsidP="0069492A">
      <w:pPr>
        <w:spacing w:after="120"/>
        <w:ind w:left="1134" w:right="1134"/>
        <w:jc w:val="both"/>
      </w:pPr>
      <w:r>
        <w:tab/>
        <w:t>«В случае если никаких модификаций ранее допущенного типа холодильной установки, имеющих отношение к СПС, произведено не было, то срок действия протокола испытания соответствующей холодильной установки может быть продлен на три года на основе подтверждения компетентного органа о том, что эта холодильная установка изготовлена в соответствии с ранее допущенным типом.</w:t>
      </w:r>
    </w:p>
    <w:p w:rsidR="0069492A" w:rsidRPr="00A30C88" w:rsidRDefault="0069492A" w:rsidP="0069492A">
      <w:pPr>
        <w:spacing w:after="120"/>
        <w:ind w:left="1134" w:right="1134"/>
        <w:jc w:val="both"/>
        <w:rPr>
          <w:b/>
        </w:rPr>
      </w:pPr>
      <w:r>
        <w:t>Это подтверждение должно быть представлено в течение одного месяца после истечения срока действия свидетельства о допущении типа или недавней проверки. Подтверждение может выдаваться компетентным органом повторно с интервалом в три года».</w:t>
      </w:r>
    </w:p>
    <w:p w:rsidR="0069492A" w:rsidRDefault="0069492A" w:rsidP="0069492A">
      <w:pPr>
        <w:pStyle w:val="HChG"/>
      </w:pPr>
      <w:r>
        <w:rPr>
          <w:lang w:val="ru-RU"/>
        </w:rPr>
        <w:lastRenderedPageBreak/>
        <w:tab/>
      </w:r>
      <w:r>
        <w:rPr>
          <w:lang w:val="ru-RU"/>
        </w:rPr>
        <w:tab/>
        <w:t>Последствия</w:t>
      </w:r>
    </w:p>
    <w:tbl>
      <w:tblPr>
        <w:tblW w:w="0" w:type="auto"/>
        <w:tblInd w:w="1134" w:type="dxa"/>
        <w:tblLayout w:type="fixed"/>
        <w:tblCellMar>
          <w:left w:w="0" w:type="dxa"/>
          <w:right w:w="0" w:type="dxa"/>
        </w:tblCellMar>
        <w:tblLook w:val="01E0" w:firstRow="1" w:lastRow="1" w:firstColumn="1" w:lastColumn="1" w:noHBand="0" w:noVBand="0"/>
      </w:tblPr>
      <w:tblGrid>
        <w:gridCol w:w="1656"/>
        <w:gridCol w:w="6092"/>
      </w:tblGrid>
      <w:tr w:rsidR="0069492A" w:rsidRPr="00811683" w:rsidTr="00114FF3">
        <w:tc>
          <w:tcPr>
            <w:tcW w:w="1656" w:type="dxa"/>
            <w:shd w:val="clear" w:color="auto" w:fill="auto"/>
          </w:tcPr>
          <w:p w:rsidR="0069492A" w:rsidRPr="004A099D" w:rsidRDefault="0069492A" w:rsidP="00114FF3">
            <w:pPr>
              <w:spacing w:after="120"/>
              <w:jc w:val="both"/>
            </w:pPr>
            <w:r>
              <w:t>Расходы:</w:t>
            </w:r>
          </w:p>
        </w:tc>
        <w:tc>
          <w:tcPr>
            <w:tcW w:w="6092" w:type="dxa"/>
            <w:shd w:val="clear" w:color="auto" w:fill="auto"/>
          </w:tcPr>
          <w:p w:rsidR="0069492A" w:rsidRPr="00A30C88" w:rsidRDefault="0069492A" w:rsidP="00114FF3">
            <w:pPr>
              <w:spacing w:after="120"/>
              <w:ind w:left="145"/>
            </w:pPr>
            <w:r>
              <w:t xml:space="preserve">Расходы на повторные испытания </w:t>
            </w:r>
            <w:proofErr w:type="spellStart"/>
            <w:r>
              <w:t>немодифицированных</w:t>
            </w:r>
            <w:proofErr w:type="spellEnd"/>
            <w:r>
              <w:t xml:space="preserve"> ранее допущенных типов холодильных установок существенно сократятся.</w:t>
            </w:r>
          </w:p>
        </w:tc>
      </w:tr>
      <w:tr w:rsidR="0069492A" w:rsidRPr="004A099D" w:rsidTr="00114FF3">
        <w:tc>
          <w:tcPr>
            <w:tcW w:w="1656" w:type="dxa"/>
            <w:shd w:val="clear" w:color="auto" w:fill="auto"/>
          </w:tcPr>
          <w:p w:rsidR="0069492A" w:rsidRPr="004A099D" w:rsidRDefault="0069492A" w:rsidP="00114FF3">
            <w:pPr>
              <w:spacing w:after="120"/>
              <w:jc w:val="both"/>
            </w:pPr>
            <w:r>
              <w:t>Осуществимость:</w:t>
            </w:r>
          </w:p>
        </w:tc>
        <w:tc>
          <w:tcPr>
            <w:tcW w:w="6092" w:type="dxa"/>
            <w:shd w:val="clear" w:color="auto" w:fill="auto"/>
          </w:tcPr>
          <w:p w:rsidR="0069492A" w:rsidRPr="004A099D" w:rsidRDefault="0069492A" w:rsidP="00114FF3">
            <w:pPr>
              <w:spacing w:after="120"/>
              <w:ind w:left="145"/>
            </w:pPr>
            <w:r>
              <w:t>Предлагаемая поправка может быть легко реализована в рамках СПС. Переходный период не требуется.</w:t>
            </w:r>
          </w:p>
        </w:tc>
      </w:tr>
      <w:tr w:rsidR="0069492A" w:rsidRPr="004A099D" w:rsidTr="00114FF3">
        <w:tc>
          <w:tcPr>
            <w:tcW w:w="1656" w:type="dxa"/>
            <w:shd w:val="clear" w:color="auto" w:fill="auto"/>
          </w:tcPr>
          <w:p w:rsidR="0069492A" w:rsidRPr="004A099D" w:rsidRDefault="0069492A" w:rsidP="00114FF3">
            <w:pPr>
              <w:spacing w:after="120"/>
              <w:jc w:val="both"/>
            </w:pPr>
            <w:r>
              <w:t>Обеспечение применения:</w:t>
            </w:r>
          </w:p>
        </w:tc>
        <w:tc>
          <w:tcPr>
            <w:tcW w:w="6092" w:type="dxa"/>
            <w:shd w:val="clear" w:color="auto" w:fill="auto"/>
          </w:tcPr>
          <w:p w:rsidR="0069492A" w:rsidRPr="004A099D" w:rsidRDefault="0069492A" w:rsidP="00114FF3">
            <w:pPr>
              <w:spacing w:after="120"/>
              <w:ind w:left="145"/>
              <w:jc w:val="both"/>
            </w:pPr>
            <w:r>
              <w:t>Никаких проблем не ожидается.</w:t>
            </w:r>
          </w:p>
        </w:tc>
      </w:tr>
    </w:tbl>
    <w:p w:rsidR="0069492A" w:rsidRPr="00992429" w:rsidRDefault="0069492A" w:rsidP="0069492A">
      <w:pPr>
        <w:spacing w:before="240"/>
        <w:jc w:val="center"/>
        <w:rPr>
          <w:u w:val="single"/>
        </w:rPr>
      </w:pPr>
      <w:r>
        <w:rPr>
          <w:u w:val="single"/>
        </w:rPr>
        <w:tab/>
      </w:r>
      <w:r>
        <w:rPr>
          <w:u w:val="single"/>
        </w:rPr>
        <w:tab/>
      </w:r>
      <w:r>
        <w:rPr>
          <w:u w:val="single"/>
        </w:rPr>
        <w:tab/>
      </w:r>
    </w:p>
    <w:p w:rsidR="00805ECE" w:rsidRDefault="00805ECE">
      <w:pPr>
        <w:suppressAutoHyphens w:val="0"/>
        <w:spacing w:line="240" w:lineRule="auto"/>
      </w:pPr>
    </w:p>
    <w:p w:rsidR="00805ECE" w:rsidRDefault="00805ECE">
      <w:pPr>
        <w:suppressAutoHyphens w:val="0"/>
        <w:spacing w:line="240" w:lineRule="auto"/>
      </w:pPr>
    </w:p>
    <w:p w:rsidR="00E12C5F" w:rsidRPr="008D53B6" w:rsidRDefault="00E12C5F" w:rsidP="002E5067"/>
    <w:sectPr w:rsidR="00E12C5F" w:rsidRPr="008D53B6" w:rsidSect="00805EC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31" w:rsidRPr="00A312BC" w:rsidRDefault="00420231" w:rsidP="00A312BC"/>
  </w:endnote>
  <w:endnote w:type="continuationSeparator" w:id="0">
    <w:p w:rsidR="00420231" w:rsidRPr="00A312BC" w:rsidRDefault="004202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CE" w:rsidRPr="00805ECE" w:rsidRDefault="00805ECE">
    <w:pPr>
      <w:pStyle w:val="Footer"/>
    </w:pPr>
    <w:r w:rsidRPr="00805ECE">
      <w:rPr>
        <w:b/>
        <w:sz w:val="18"/>
      </w:rPr>
      <w:fldChar w:fldCharType="begin"/>
    </w:r>
    <w:r w:rsidRPr="00805ECE">
      <w:rPr>
        <w:b/>
        <w:sz w:val="18"/>
      </w:rPr>
      <w:instrText xml:space="preserve"> PAGE  \* MERGEFORMAT </w:instrText>
    </w:r>
    <w:r w:rsidRPr="00805ECE">
      <w:rPr>
        <w:b/>
        <w:sz w:val="18"/>
      </w:rPr>
      <w:fldChar w:fldCharType="separate"/>
    </w:r>
    <w:r w:rsidR="005643D6">
      <w:rPr>
        <w:b/>
        <w:noProof/>
        <w:sz w:val="18"/>
      </w:rPr>
      <w:t>2</w:t>
    </w:r>
    <w:r w:rsidRPr="00805ECE">
      <w:rPr>
        <w:b/>
        <w:sz w:val="18"/>
      </w:rPr>
      <w:fldChar w:fldCharType="end"/>
    </w:r>
    <w:r>
      <w:rPr>
        <w:b/>
        <w:sz w:val="18"/>
      </w:rPr>
      <w:tab/>
    </w:r>
    <w:r>
      <w:t>GE.18-12262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CE" w:rsidRPr="00805ECE" w:rsidRDefault="00805ECE" w:rsidP="00805ECE">
    <w:pPr>
      <w:pStyle w:val="Footer"/>
      <w:tabs>
        <w:tab w:val="clear" w:pos="9639"/>
        <w:tab w:val="right" w:pos="9638"/>
      </w:tabs>
      <w:rPr>
        <w:b/>
        <w:sz w:val="18"/>
      </w:rPr>
    </w:pPr>
    <w:r>
      <w:t>GE.18-12262</w:t>
    </w:r>
    <w:r>
      <w:tab/>
    </w:r>
    <w:r w:rsidRPr="00805ECE">
      <w:rPr>
        <w:b/>
        <w:sz w:val="18"/>
      </w:rPr>
      <w:fldChar w:fldCharType="begin"/>
    </w:r>
    <w:r w:rsidRPr="00805ECE">
      <w:rPr>
        <w:b/>
        <w:sz w:val="18"/>
      </w:rPr>
      <w:instrText xml:space="preserve"> PAGE  \* MERGEFORMAT </w:instrText>
    </w:r>
    <w:r w:rsidRPr="00805ECE">
      <w:rPr>
        <w:b/>
        <w:sz w:val="18"/>
      </w:rPr>
      <w:fldChar w:fldCharType="separate"/>
    </w:r>
    <w:r w:rsidR="005643D6">
      <w:rPr>
        <w:b/>
        <w:noProof/>
        <w:sz w:val="18"/>
      </w:rPr>
      <w:t>3</w:t>
    </w:r>
    <w:r w:rsidRPr="0080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805ECE" w:rsidRDefault="00805ECE" w:rsidP="00805EC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12262  (</w:t>
    </w:r>
    <w:proofErr w:type="gramEnd"/>
    <w:r>
      <w:t>R)</w:t>
    </w:r>
    <w:r>
      <w:rPr>
        <w:lang w:val="en-US"/>
      </w:rPr>
      <w:t xml:space="preserve">  220818  220818</w:t>
    </w:r>
    <w:r>
      <w:br/>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sidRPr="00805EC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8/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31" w:rsidRPr="001075E9" w:rsidRDefault="00420231" w:rsidP="001075E9">
      <w:pPr>
        <w:tabs>
          <w:tab w:val="right" w:pos="2155"/>
        </w:tabs>
        <w:spacing w:after="80" w:line="240" w:lineRule="auto"/>
        <w:ind w:left="680"/>
        <w:rPr>
          <w:u w:val="single"/>
        </w:rPr>
      </w:pPr>
      <w:r>
        <w:rPr>
          <w:u w:val="single"/>
        </w:rPr>
        <w:tab/>
      </w:r>
    </w:p>
  </w:footnote>
  <w:footnote w:type="continuationSeparator" w:id="0">
    <w:p w:rsidR="00420231" w:rsidRDefault="0042023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CE" w:rsidRPr="00805ECE" w:rsidRDefault="009F36CB">
    <w:pPr>
      <w:pStyle w:val="Header"/>
    </w:pPr>
    <w:r>
      <w:fldChar w:fldCharType="begin"/>
    </w:r>
    <w:r>
      <w:instrText xml:space="preserve"> TITLE  \* MERGEFORMAT </w:instrText>
    </w:r>
    <w:r>
      <w:fldChar w:fldCharType="separate"/>
    </w:r>
    <w:r w:rsidR="005643D6">
      <w:t>ECE/TRANS/WP.11/2018/13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CE" w:rsidRPr="00805ECE" w:rsidRDefault="009F36CB" w:rsidP="00805ECE">
    <w:pPr>
      <w:pStyle w:val="Header"/>
      <w:jc w:val="right"/>
    </w:pPr>
    <w:r>
      <w:fldChar w:fldCharType="begin"/>
    </w:r>
    <w:r>
      <w:instrText xml:space="preserve"> TITLE  \* MERGEFORMAT </w:instrText>
    </w:r>
    <w:r>
      <w:fldChar w:fldCharType="separate"/>
    </w:r>
    <w:r w:rsidR="005643D6">
      <w:t>ECE/TRANS/WP.11/2018/13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231"/>
    <w:rsid w:val="00033EE1"/>
    <w:rsid w:val="00042B72"/>
    <w:rsid w:val="000558BD"/>
    <w:rsid w:val="000B57E7"/>
    <w:rsid w:val="000B6373"/>
    <w:rsid w:val="000E4E5B"/>
    <w:rsid w:val="000F09DF"/>
    <w:rsid w:val="000F61B2"/>
    <w:rsid w:val="001075E9"/>
    <w:rsid w:val="00140F33"/>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0231"/>
    <w:rsid w:val="00424203"/>
    <w:rsid w:val="00452493"/>
    <w:rsid w:val="00453318"/>
    <w:rsid w:val="00454AF2"/>
    <w:rsid w:val="00454E07"/>
    <w:rsid w:val="00472C5C"/>
    <w:rsid w:val="004E05B7"/>
    <w:rsid w:val="0050108D"/>
    <w:rsid w:val="00513081"/>
    <w:rsid w:val="00517901"/>
    <w:rsid w:val="00526683"/>
    <w:rsid w:val="005639C1"/>
    <w:rsid w:val="005643D6"/>
    <w:rsid w:val="005709E0"/>
    <w:rsid w:val="00572E19"/>
    <w:rsid w:val="005961C8"/>
    <w:rsid w:val="005966F1"/>
    <w:rsid w:val="005D7914"/>
    <w:rsid w:val="005E2B41"/>
    <w:rsid w:val="005F0B42"/>
    <w:rsid w:val="005F1AC1"/>
    <w:rsid w:val="00617A43"/>
    <w:rsid w:val="006345DB"/>
    <w:rsid w:val="00640F49"/>
    <w:rsid w:val="00680D03"/>
    <w:rsid w:val="00681A10"/>
    <w:rsid w:val="0069492A"/>
    <w:rsid w:val="006A1ED8"/>
    <w:rsid w:val="006C2031"/>
    <w:rsid w:val="006D461A"/>
    <w:rsid w:val="006F35EE"/>
    <w:rsid w:val="007021FF"/>
    <w:rsid w:val="00712895"/>
    <w:rsid w:val="00734ACB"/>
    <w:rsid w:val="00757357"/>
    <w:rsid w:val="00792497"/>
    <w:rsid w:val="00805ECE"/>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F36CB"/>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F39A5F-8A76-41E7-8C85-027D9796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rsid w:val="0069492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69492A"/>
    <w:pPr>
      <w:keepNext/>
      <w:keepLines/>
      <w:tabs>
        <w:tab w:val="right" w:pos="851"/>
      </w:tabs>
      <w:spacing w:before="360" w:after="240" w:line="270" w:lineRule="exact"/>
      <w:ind w:left="1134" w:right="1134" w:hanging="1134"/>
    </w:pPr>
    <w:rPr>
      <w:rFonts w:eastAsia="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ECE/TRANS/WP.11/2018/13</vt:lpstr>
      <vt:lpstr>A/</vt:lpstr>
      <vt:lpstr>A/</vt:lpstr>
    </vt:vector>
  </TitlesOfParts>
  <Company>DCM</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ECE/TRANS/WP.11/2018/13</dc:title>
  <dc:subject/>
  <dc:creator>Ekaterina SALYNSKAYA</dc:creator>
  <cp:keywords/>
  <cp:lastModifiedBy>Secretariat</cp:lastModifiedBy>
  <cp:revision>2</cp:revision>
  <cp:lastPrinted>2018-08-22T14:22:00Z</cp:lastPrinted>
  <dcterms:created xsi:type="dcterms:W3CDTF">2018-08-27T14:30:00Z</dcterms:created>
  <dcterms:modified xsi:type="dcterms:W3CDTF">2018-08-27T14:30:00Z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