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8D5B27">
            <w:pPr>
              <w:jc w:val="right"/>
            </w:pPr>
            <w:r w:rsidRPr="00C30088">
              <w:rPr>
                <w:sz w:val="40"/>
              </w:rPr>
              <w:t>ECE</w:t>
            </w:r>
            <w:r w:rsidR="00594375">
              <w:t>/TRANS/WP.11/</w:t>
            </w:r>
            <w:r w:rsidR="00D01123">
              <w:t>201</w:t>
            </w:r>
            <w:r w:rsidR="008D5B27">
              <w:t>8</w:t>
            </w:r>
            <w:r>
              <w:t>/</w:t>
            </w:r>
            <w:r w:rsidR="00F45D3F">
              <w:t>7</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D56E6F" w:rsidP="00C30088">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85934" w:rsidRDefault="00D773DF" w:rsidP="00C30088">
            <w:pPr>
              <w:spacing w:before="120" w:line="420" w:lineRule="exact"/>
              <w:rPr>
                <w:sz w:val="40"/>
                <w:szCs w:val="40"/>
              </w:rPr>
            </w:pPr>
            <w:r w:rsidRPr="00E85934">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Pr="00E85934" w:rsidRDefault="00EA2D92" w:rsidP="00C30088">
            <w:pPr>
              <w:spacing w:before="240" w:line="240" w:lineRule="exact"/>
            </w:pPr>
            <w:r w:rsidRPr="00E85934">
              <w:t>Distr.: General</w:t>
            </w:r>
          </w:p>
          <w:p w:rsidR="00EA2D92" w:rsidRPr="00E85934" w:rsidRDefault="00244E26" w:rsidP="00C30088">
            <w:pPr>
              <w:spacing w:line="240" w:lineRule="exact"/>
            </w:pPr>
            <w:r>
              <w:t>29</w:t>
            </w:r>
            <w:r w:rsidR="009D4338" w:rsidRPr="00E85934">
              <w:t xml:space="preserve"> </w:t>
            </w:r>
            <w:r w:rsidR="006578AE">
              <w:t>June</w:t>
            </w:r>
            <w:r w:rsidR="00594375" w:rsidRPr="00E85934">
              <w:t xml:space="preserve"> </w:t>
            </w:r>
            <w:r w:rsidR="00D01123" w:rsidRPr="00E85934">
              <w:t>201</w:t>
            </w:r>
            <w:r w:rsidR="008D5B27" w:rsidRPr="00E85934">
              <w:t>8</w:t>
            </w:r>
          </w:p>
          <w:p w:rsidR="00EA2D92" w:rsidRPr="00E85934" w:rsidRDefault="00EA2D92" w:rsidP="00C30088">
            <w:pPr>
              <w:spacing w:line="240" w:lineRule="exact"/>
            </w:pPr>
          </w:p>
          <w:p w:rsidR="00B56E9C" w:rsidRPr="00E85934" w:rsidRDefault="00EA2D92" w:rsidP="00C30088">
            <w:pPr>
              <w:spacing w:line="240" w:lineRule="exact"/>
            </w:pPr>
            <w:r w:rsidRPr="00E85934">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Pr="00470CC6" w:rsidRDefault="00EA2D92" w:rsidP="00C96DF2">
      <w:pPr>
        <w:spacing w:before="120"/>
        <w:rPr>
          <w:b/>
        </w:rPr>
      </w:pPr>
      <w:r w:rsidRPr="00470CC6">
        <w:rPr>
          <w:b/>
        </w:rPr>
        <w:t>S</w:t>
      </w:r>
      <w:r w:rsidR="00BD46AE" w:rsidRPr="00470CC6">
        <w:rPr>
          <w:b/>
        </w:rPr>
        <w:t>event</w:t>
      </w:r>
      <w:r w:rsidR="001B6719" w:rsidRPr="00470CC6">
        <w:rPr>
          <w:b/>
        </w:rPr>
        <w:t>y-</w:t>
      </w:r>
      <w:r w:rsidR="00CD24A9" w:rsidRPr="00470CC6">
        <w:rPr>
          <w:b/>
        </w:rPr>
        <w:t>fourth</w:t>
      </w:r>
      <w:r w:rsidRPr="00470CC6">
        <w:rPr>
          <w:b/>
        </w:rPr>
        <w:t xml:space="preserve"> </w:t>
      </w:r>
      <w:r w:rsidR="00C96DF2" w:rsidRPr="00470CC6">
        <w:rPr>
          <w:b/>
        </w:rPr>
        <w:t>session</w:t>
      </w:r>
    </w:p>
    <w:p w:rsidR="00C96DF2" w:rsidRPr="00470CC6" w:rsidRDefault="00FE2FEF" w:rsidP="00C96DF2">
      <w:r w:rsidRPr="00470CC6">
        <w:t>Geneva</w:t>
      </w:r>
      <w:r w:rsidR="00B16697" w:rsidRPr="00470CC6">
        <w:t xml:space="preserve">, </w:t>
      </w:r>
      <w:r w:rsidR="008D5B27" w:rsidRPr="00470CC6">
        <w:t>8</w:t>
      </w:r>
      <w:r w:rsidR="00BD46AE" w:rsidRPr="00470CC6">
        <w:t>-</w:t>
      </w:r>
      <w:r w:rsidR="00DE698E" w:rsidRPr="00470CC6">
        <w:t>1</w:t>
      </w:r>
      <w:r w:rsidR="008D5B27" w:rsidRPr="00470CC6">
        <w:t>2</w:t>
      </w:r>
      <w:r w:rsidR="003C078E" w:rsidRPr="00470CC6">
        <w:t xml:space="preserve"> Oc</w:t>
      </w:r>
      <w:r w:rsidR="00BD248D" w:rsidRPr="00470CC6">
        <w:t>tober</w:t>
      </w:r>
      <w:r w:rsidR="00EA2D92" w:rsidRPr="00470CC6">
        <w:t xml:space="preserve"> </w:t>
      </w:r>
      <w:r w:rsidRPr="00470CC6">
        <w:t>201</w:t>
      </w:r>
      <w:r w:rsidR="008D5B27" w:rsidRPr="00470CC6">
        <w:t>8</w:t>
      </w:r>
    </w:p>
    <w:p w:rsidR="00C96DF2" w:rsidRPr="00470CC6" w:rsidRDefault="00FA7D6D" w:rsidP="00C96DF2">
      <w:r w:rsidRPr="00470CC6">
        <w:t>I</w:t>
      </w:r>
      <w:r w:rsidR="00EA2D92" w:rsidRPr="00470CC6">
        <w:t xml:space="preserve">tem </w:t>
      </w:r>
      <w:r w:rsidR="00470CC6" w:rsidRPr="00470CC6">
        <w:rPr>
          <w:bCs/>
        </w:rPr>
        <w:t>6</w:t>
      </w:r>
      <w:r w:rsidR="00EA2D92" w:rsidRPr="00470CC6">
        <w:rPr>
          <w:bCs/>
        </w:rPr>
        <w:t xml:space="preserve"> (</w:t>
      </w:r>
      <w:r w:rsidR="00AA48C2" w:rsidRPr="00470CC6">
        <w:rPr>
          <w:bCs/>
        </w:rPr>
        <w:t>a</w:t>
      </w:r>
      <w:r w:rsidR="00EA2D92" w:rsidRPr="00470CC6">
        <w:rPr>
          <w:bCs/>
        </w:rPr>
        <w:t xml:space="preserve">) </w:t>
      </w:r>
      <w:r w:rsidR="0024772E" w:rsidRPr="00470CC6">
        <w:t>of the provisional agenda</w:t>
      </w:r>
    </w:p>
    <w:p w:rsidR="00AA48C2" w:rsidRPr="00470CC6" w:rsidRDefault="00470CC6" w:rsidP="00FF344B">
      <w:pPr>
        <w:rPr>
          <w:b/>
          <w:bCs/>
          <w:lang w:val="en-US"/>
        </w:rPr>
      </w:pPr>
      <w:r w:rsidRPr="00470CC6">
        <w:rPr>
          <w:b/>
          <w:bCs/>
        </w:rPr>
        <w:t>Proposals of amendments to ATP</w:t>
      </w:r>
      <w:r w:rsidR="00AA48C2" w:rsidRPr="00470CC6">
        <w:rPr>
          <w:b/>
          <w:bCs/>
          <w:lang w:val="en-US"/>
        </w:rPr>
        <w:t>:</w:t>
      </w:r>
    </w:p>
    <w:p w:rsidR="0088152B" w:rsidRPr="00470CC6" w:rsidRDefault="00470CC6" w:rsidP="00AA48C2">
      <w:pPr>
        <w:rPr>
          <w:b/>
          <w:bCs/>
          <w:lang w:val="en-US"/>
        </w:rPr>
      </w:pPr>
      <w:r w:rsidRPr="00470CC6">
        <w:rPr>
          <w:b/>
          <w:bCs/>
        </w:rPr>
        <w:t>new proposals</w:t>
      </w:r>
    </w:p>
    <w:p w:rsidR="0088152B" w:rsidRPr="00390137" w:rsidRDefault="00EA2D92" w:rsidP="00444324">
      <w:pPr>
        <w:pStyle w:val="HChG"/>
      </w:pPr>
      <w:r w:rsidRPr="00390137">
        <w:tab/>
      </w:r>
      <w:r w:rsidRPr="00390137">
        <w:tab/>
      </w:r>
      <w:r w:rsidR="00444324" w:rsidRPr="00444324">
        <w:t xml:space="preserve">Annex 1, Appendix 2, </w:t>
      </w:r>
      <w:r w:rsidR="00244E26">
        <w:t>p</w:t>
      </w:r>
      <w:r w:rsidR="00444324" w:rsidRPr="00444324">
        <w:t>aragraph 1.2</w:t>
      </w:r>
      <w:r w:rsidR="002D5FDE" w:rsidRPr="00390137">
        <w:t xml:space="preserve"> </w:t>
      </w:r>
    </w:p>
    <w:p w:rsidR="00EA2D92" w:rsidRDefault="0088152B" w:rsidP="00390137">
      <w:pPr>
        <w:pStyle w:val="H1G"/>
        <w:rPr>
          <w:lang w:val="en-US"/>
        </w:rPr>
      </w:pPr>
      <w:r>
        <w:rPr>
          <w:lang w:val="en-US"/>
        </w:rPr>
        <w:tab/>
      </w:r>
      <w:r>
        <w:rPr>
          <w:lang w:val="en-US"/>
        </w:rPr>
        <w:tab/>
      </w:r>
      <w:r w:rsidR="00DC22FA">
        <w:rPr>
          <w:lang w:val="en-US"/>
        </w:rPr>
        <w:t xml:space="preserve">Transmitted by </w:t>
      </w:r>
      <w:r w:rsidR="00244E26">
        <w:rPr>
          <w:lang w:val="en-US"/>
        </w:rPr>
        <w:t xml:space="preserve">the governments </w:t>
      </w:r>
      <w:r w:rsidR="00D5238E">
        <w:rPr>
          <w:lang w:val="en-US"/>
        </w:rPr>
        <w:t xml:space="preserve">of </w:t>
      </w:r>
      <w:bookmarkStart w:id="0" w:name="_GoBack"/>
      <w:bookmarkEnd w:id="0"/>
      <w:r w:rsidR="00390137" w:rsidRPr="00390137">
        <w:t>Germany and</w:t>
      </w:r>
      <w:r w:rsidR="00DC22FA">
        <w:rPr>
          <w:lang w:val="en-US"/>
        </w:rPr>
        <w:t xml:space="preserve"> United Kingdom</w:t>
      </w:r>
    </w:p>
    <w:p w:rsidR="00626D90" w:rsidRDefault="00626D90" w:rsidP="00626D90">
      <w:pPr>
        <w:pStyle w:val="HChG"/>
      </w:pPr>
      <w:r>
        <w:tab/>
      </w:r>
      <w:r>
        <w:tab/>
      </w:r>
      <w:r w:rsidRPr="008D01B2">
        <w:t>Introduction</w:t>
      </w:r>
    </w:p>
    <w:p w:rsidR="00444324" w:rsidRPr="00444324" w:rsidRDefault="00A6727E" w:rsidP="00444324">
      <w:pPr>
        <w:pStyle w:val="SingleTxtG"/>
      </w:pPr>
      <w:r>
        <w:t>1</w:t>
      </w:r>
      <w:r w:rsidR="00A30D41">
        <w:t>.</w:t>
      </w:r>
      <w:r w:rsidR="00A30D41">
        <w:tab/>
      </w:r>
      <w:r w:rsidR="00444324" w:rsidRPr="00444324">
        <w:t xml:space="preserve">At the </w:t>
      </w:r>
      <w:r w:rsidR="004B0370">
        <w:t>seventy-first</w:t>
      </w:r>
      <w:r w:rsidR="00444324" w:rsidRPr="00444324">
        <w:t xml:space="preserve"> session of WP</w:t>
      </w:r>
      <w:r w:rsidR="00E867BB">
        <w:t>.</w:t>
      </w:r>
      <w:r w:rsidR="00444324" w:rsidRPr="00444324">
        <w:t>11 the United Kingdom submitted a revised proposal to harmonise the external surface area measurements of panel vans and test reports (ECE/TRANS/WP.11/2015/2)</w:t>
      </w:r>
      <w:r w:rsidR="00470CC6">
        <w:t>,</w:t>
      </w:r>
      <w:r w:rsidR="00444324" w:rsidRPr="00444324">
        <w:t xml:space="preserve"> this was adopted.</w:t>
      </w:r>
    </w:p>
    <w:p w:rsidR="00444324" w:rsidRPr="00444324" w:rsidRDefault="00444324" w:rsidP="00444324">
      <w:pPr>
        <w:pStyle w:val="SingleTxtG"/>
      </w:pPr>
      <w:r>
        <w:t>2.</w:t>
      </w:r>
      <w:r>
        <w:tab/>
      </w:r>
      <w:r w:rsidRPr="00444324">
        <w:t xml:space="preserve">At last year’s </w:t>
      </w:r>
      <w:r w:rsidR="004B0370">
        <w:t>seventy-third</w:t>
      </w:r>
      <w:r w:rsidRPr="00444324">
        <w:t xml:space="preserve"> session of WP</w:t>
      </w:r>
      <w:r w:rsidR="00E867BB">
        <w:t>.</w:t>
      </w:r>
      <w:r w:rsidRPr="00444324">
        <w:t>11 the proposal was publish</w:t>
      </w:r>
      <w:r w:rsidR="00244E26">
        <w:t>ed</w:t>
      </w:r>
      <w:r w:rsidRPr="00444324">
        <w:t xml:space="preserve"> in the latest ATP agreement dated 6</w:t>
      </w:r>
      <w:r w:rsidR="004B0370">
        <w:t xml:space="preserve"> January 2018. </w:t>
      </w:r>
      <w:r w:rsidRPr="00444324">
        <w:t>Subsequently at the latest CERTE meeting in Germany it was noted that the equations were different compared to the CEN standard, these corrections to the equations are to harmo</w:t>
      </w:r>
      <w:r w:rsidR="00E867BB">
        <w:t>nise the ATP and CEN standards.</w:t>
      </w:r>
    </w:p>
    <w:p w:rsidR="00444324" w:rsidRPr="00444324" w:rsidRDefault="00444324" w:rsidP="00444324">
      <w:pPr>
        <w:pStyle w:val="SingleTxtG"/>
      </w:pPr>
      <w:r>
        <w:t>3.</w:t>
      </w:r>
      <w:r>
        <w:tab/>
      </w:r>
      <w:r w:rsidRPr="00444324">
        <w:t xml:space="preserve">Germany and the United Kingdom propose to amend paragraph 1.2 </w:t>
      </w:r>
      <w:r w:rsidR="00470CC6">
        <w:t xml:space="preserve">as follows (deleted text </w:t>
      </w:r>
      <w:r w:rsidR="00470CC6" w:rsidRPr="00470CC6">
        <w:rPr>
          <w:strike/>
        </w:rPr>
        <w:t>strikethrough</w:t>
      </w:r>
      <w:r w:rsidR="00470CC6">
        <w:t xml:space="preserve">, new text </w:t>
      </w:r>
      <w:r w:rsidR="00470CC6" w:rsidRPr="00470CC6">
        <w:rPr>
          <w:b/>
          <w:bCs/>
        </w:rPr>
        <w:t>bold</w:t>
      </w:r>
      <w:r w:rsidR="00470CC6">
        <w:t>):</w:t>
      </w:r>
    </w:p>
    <w:p w:rsidR="00FF51B2" w:rsidRPr="00FF51B2" w:rsidRDefault="00FF51B2" w:rsidP="00FF51B2">
      <w:pPr>
        <w:pStyle w:val="SingleTxtG"/>
      </w:pPr>
      <w:r w:rsidRPr="00FF51B2">
        <w:t>“Method B.</w:t>
      </w:r>
      <w:r w:rsidRPr="00FF51B2">
        <w:tab/>
        <w:t>The manufacturer shall provide drawings and the test station appointed by the competent authority shall use the calculations according to the schemes</w:t>
      </w:r>
      <w:r w:rsidRPr="00470CC6">
        <w:rPr>
          <w:vertAlign w:val="superscript"/>
        </w:rPr>
        <w:t>5</w:t>
      </w:r>
      <w:r w:rsidRPr="00FF51B2">
        <w:t xml:space="preserve"> and formulae below.</w:t>
      </w:r>
    </w:p>
    <w:p w:rsidR="00FF51B2" w:rsidRPr="00470CC6" w:rsidRDefault="00FF51B2" w:rsidP="00FF51B2">
      <w:pPr>
        <w:pStyle w:val="SingleTxtG"/>
        <w:rPr>
          <w:iCs/>
          <w:strike/>
          <w:lang w:val="fr-CH"/>
        </w:rPr>
      </w:pPr>
      <w:r w:rsidRPr="00470CC6">
        <w:rPr>
          <w:iCs/>
          <w:strike/>
          <w:lang w:val="fr-CH"/>
        </w:rPr>
        <w:t>Si = (((WI x LI) + (WI x LI) + (Wi x Wi)) x 2)</w:t>
      </w:r>
    </w:p>
    <w:p w:rsidR="00FF51B2" w:rsidRPr="00470CC6" w:rsidRDefault="00FF51B2" w:rsidP="00FF51B2">
      <w:pPr>
        <w:pStyle w:val="SingleTxtG"/>
        <w:rPr>
          <w:b/>
          <w:lang w:val="fr-CH"/>
        </w:rPr>
      </w:pPr>
      <w:r w:rsidRPr="00470CC6">
        <w:rPr>
          <w:b/>
          <w:lang w:val="fr-CH"/>
        </w:rPr>
        <w:t>Si = (((WI x LI) + (HI x LI) + (HI x WI)) x 2)</w:t>
      </w:r>
    </w:p>
    <w:p w:rsidR="00FF51B2" w:rsidRPr="00FF51B2" w:rsidRDefault="00FF51B2" w:rsidP="00FF51B2">
      <w:pPr>
        <w:pStyle w:val="SingleTxtG"/>
        <w:rPr>
          <w:iCs/>
          <w:strike/>
        </w:rPr>
      </w:pPr>
      <w:r w:rsidRPr="00FF51B2">
        <w:rPr>
          <w:iCs/>
          <w:strike/>
        </w:rPr>
        <w:t>Se = (((WE x LE) + (WE x LE) + (We x We)) x 2)</w:t>
      </w:r>
    </w:p>
    <w:p w:rsidR="00FF51B2" w:rsidRPr="00FF51B2" w:rsidRDefault="00FF51B2" w:rsidP="00FF51B2">
      <w:pPr>
        <w:pStyle w:val="SingleTxtG"/>
        <w:rPr>
          <w:b/>
        </w:rPr>
      </w:pPr>
      <w:r w:rsidRPr="00FF51B2">
        <w:rPr>
          <w:b/>
        </w:rPr>
        <w:t>Se = (((WE x LE) + (HE x LE) + (HE x WE)) x 2)</w:t>
      </w:r>
    </w:p>
    <w:p w:rsidR="00FF51B2" w:rsidRPr="00FF51B2" w:rsidRDefault="00FF51B2" w:rsidP="00FF51B2">
      <w:pPr>
        <w:pStyle w:val="SingleTxtG"/>
      </w:pPr>
      <w:r w:rsidRPr="00FF51B2">
        <w:t>Where:</w:t>
      </w:r>
    </w:p>
    <w:p w:rsidR="00FF51B2" w:rsidRPr="00FF51B2" w:rsidRDefault="00FF51B2" w:rsidP="00FF51B2">
      <w:pPr>
        <w:pStyle w:val="SingleTxtG"/>
      </w:pPr>
      <w:r w:rsidRPr="00FF51B2">
        <w:t>WI is the Y axis of the internal surface area</w:t>
      </w:r>
    </w:p>
    <w:p w:rsidR="00FF51B2" w:rsidRPr="00FF51B2" w:rsidRDefault="00FF51B2" w:rsidP="00FF51B2">
      <w:pPr>
        <w:pStyle w:val="SingleTxtG"/>
      </w:pPr>
      <w:r w:rsidRPr="00FF51B2">
        <w:lastRenderedPageBreak/>
        <w:t>LI is the X axis of the internal surface area</w:t>
      </w:r>
    </w:p>
    <w:p w:rsidR="00FF51B2" w:rsidRPr="00FF51B2" w:rsidRDefault="00FF51B2" w:rsidP="00FF51B2">
      <w:pPr>
        <w:pStyle w:val="SingleTxtG"/>
        <w:rPr>
          <w:strike/>
        </w:rPr>
      </w:pPr>
      <w:r w:rsidRPr="00FF51B2">
        <w:rPr>
          <w:strike/>
        </w:rPr>
        <w:t>Wi is the Z axis of the internal surface area</w:t>
      </w:r>
    </w:p>
    <w:p w:rsidR="00FF51B2" w:rsidRPr="00FF51B2" w:rsidRDefault="00FF51B2" w:rsidP="00FF51B2">
      <w:pPr>
        <w:pStyle w:val="SingleTxtG"/>
        <w:rPr>
          <w:b/>
        </w:rPr>
      </w:pPr>
      <w:r w:rsidRPr="00FF51B2">
        <w:rPr>
          <w:b/>
        </w:rPr>
        <w:t>HI is the Z axis of the internal surface area</w:t>
      </w:r>
    </w:p>
    <w:p w:rsidR="00FF51B2" w:rsidRPr="00FF51B2" w:rsidRDefault="00FF51B2" w:rsidP="00FF51B2">
      <w:pPr>
        <w:pStyle w:val="SingleTxtG"/>
      </w:pPr>
      <w:r w:rsidRPr="00FF51B2">
        <w:t>WE is the Y axis of the external surface area</w:t>
      </w:r>
    </w:p>
    <w:p w:rsidR="00FF51B2" w:rsidRPr="00FF51B2" w:rsidRDefault="00FF51B2" w:rsidP="00FF51B2">
      <w:pPr>
        <w:pStyle w:val="SingleTxtG"/>
      </w:pPr>
      <w:r w:rsidRPr="00FF51B2">
        <w:t>LE is the X axis of the external surface area</w:t>
      </w:r>
    </w:p>
    <w:p w:rsidR="00FF51B2" w:rsidRPr="00FF51B2" w:rsidRDefault="00FF51B2" w:rsidP="00FF51B2">
      <w:pPr>
        <w:pStyle w:val="SingleTxtG"/>
        <w:rPr>
          <w:b/>
          <w:bCs/>
          <w:strike/>
        </w:rPr>
      </w:pPr>
      <w:r w:rsidRPr="00FF51B2">
        <w:rPr>
          <w:strike/>
        </w:rPr>
        <w:t>We is the Z axis of the external surface area</w:t>
      </w:r>
    </w:p>
    <w:p w:rsidR="00FF51B2" w:rsidRPr="00FF51B2" w:rsidRDefault="00FF51B2" w:rsidP="00FF51B2">
      <w:pPr>
        <w:pStyle w:val="SingleTxtG"/>
        <w:rPr>
          <w:b/>
        </w:rPr>
      </w:pPr>
      <w:r w:rsidRPr="00FF51B2">
        <w:rPr>
          <w:b/>
        </w:rPr>
        <w:t>HE is the Z axis of the external surface area</w:t>
      </w:r>
    </w:p>
    <w:p w:rsidR="00FF51B2" w:rsidRPr="00FF51B2" w:rsidRDefault="00FF51B2" w:rsidP="00FF51B2">
      <w:pPr>
        <w:pStyle w:val="SingleTxtG"/>
      </w:pPr>
      <w:r w:rsidRPr="00FF51B2">
        <w:t>Using the most appropriate formula for the Y axis of the internal surface area</w:t>
      </w:r>
    </w:p>
    <w:p w:rsidR="00FF51B2" w:rsidRPr="00FF51B2" w:rsidRDefault="00FF51B2" w:rsidP="00FF51B2">
      <w:pPr>
        <w:pStyle w:val="SingleTxtG"/>
        <w:rPr>
          <w:iCs/>
        </w:rPr>
      </w:pPr>
      <w:r w:rsidRPr="00FF51B2">
        <w:rPr>
          <w:iCs/>
        </w:rPr>
        <w:t>WI = (</w:t>
      </w:r>
      <w:proofErr w:type="spellStart"/>
      <w:r w:rsidRPr="00FF51B2">
        <w:rPr>
          <w:iCs/>
        </w:rPr>
        <w:t>WIa</w:t>
      </w:r>
      <w:proofErr w:type="spellEnd"/>
      <w:r w:rsidRPr="00FF51B2">
        <w:rPr>
          <w:iCs/>
        </w:rPr>
        <w:t xml:space="preserve"> x a + </w:t>
      </w:r>
      <w:proofErr w:type="spellStart"/>
      <w:r w:rsidRPr="00FF51B2">
        <w:rPr>
          <w:iCs/>
        </w:rPr>
        <w:t>WIb</w:t>
      </w:r>
      <w:proofErr w:type="spellEnd"/>
      <w:r w:rsidRPr="00FF51B2">
        <w:rPr>
          <w:iCs/>
        </w:rPr>
        <w:t xml:space="preserve"> x (b + c/2) + </w:t>
      </w:r>
      <w:proofErr w:type="spellStart"/>
      <w:r w:rsidRPr="00FF51B2">
        <w:rPr>
          <w:iCs/>
        </w:rPr>
        <w:t>WIc</w:t>
      </w:r>
      <w:proofErr w:type="spellEnd"/>
      <w:r w:rsidRPr="00FF51B2">
        <w:rPr>
          <w:iCs/>
        </w:rPr>
        <w:t xml:space="preserve"> x c/2) / (a + b + c)</w:t>
      </w:r>
    </w:p>
    <w:p w:rsidR="00FF51B2" w:rsidRPr="00FF51B2" w:rsidRDefault="00FF51B2" w:rsidP="00FF51B2">
      <w:pPr>
        <w:pStyle w:val="SingleTxtG"/>
        <w:rPr>
          <w:iCs/>
          <w:strike/>
        </w:rPr>
      </w:pPr>
      <w:r w:rsidRPr="00FF51B2">
        <w:rPr>
          <w:iCs/>
          <w:strike/>
        </w:rPr>
        <w:t>WI = (</w:t>
      </w:r>
      <w:proofErr w:type="spellStart"/>
      <w:r w:rsidRPr="00FF51B2">
        <w:rPr>
          <w:iCs/>
          <w:strike/>
        </w:rPr>
        <w:t>WIa</w:t>
      </w:r>
      <w:proofErr w:type="spellEnd"/>
      <w:r w:rsidRPr="00FF51B2">
        <w:rPr>
          <w:iCs/>
          <w:strike/>
        </w:rPr>
        <w:t xml:space="preserve"> x a/2 + </w:t>
      </w:r>
      <w:proofErr w:type="spellStart"/>
      <w:r w:rsidRPr="00FF51B2">
        <w:rPr>
          <w:iCs/>
          <w:strike/>
        </w:rPr>
        <w:t>WIb</w:t>
      </w:r>
      <w:proofErr w:type="spellEnd"/>
      <w:r w:rsidRPr="00FF51B2">
        <w:rPr>
          <w:iCs/>
          <w:strike/>
        </w:rPr>
        <w:t xml:space="preserve"> (a/2 + b/2) + </w:t>
      </w:r>
      <w:proofErr w:type="spellStart"/>
      <w:r w:rsidRPr="00FF51B2">
        <w:rPr>
          <w:iCs/>
          <w:strike/>
        </w:rPr>
        <w:t>WIc</w:t>
      </w:r>
      <w:proofErr w:type="spellEnd"/>
      <w:r w:rsidRPr="00FF51B2">
        <w:rPr>
          <w:iCs/>
          <w:strike/>
        </w:rPr>
        <w:t xml:space="preserve"> (b/2) / (a + b)</w:t>
      </w:r>
    </w:p>
    <w:p w:rsidR="00FF51B2" w:rsidRPr="00FF51B2" w:rsidRDefault="00FF51B2" w:rsidP="00FF51B2">
      <w:pPr>
        <w:pStyle w:val="SingleTxtG"/>
        <w:rPr>
          <w:b/>
          <w:iCs/>
        </w:rPr>
      </w:pPr>
      <w:r w:rsidRPr="00FF51B2">
        <w:rPr>
          <w:b/>
          <w:iCs/>
        </w:rPr>
        <w:t>WI = (</w:t>
      </w:r>
      <w:proofErr w:type="spellStart"/>
      <w:r w:rsidRPr="00FF51B2">
        <w:rPr>
          <w:b/>
          <w:iCs/>
        </w:rPr>
        <w:t>WIa</w:t>
      </w:r>
      <w:proofErr w:type="spellEnd"/>
      <w:r w:rsidRPr="00FF51B2">
        <w:rPr>
          <w:b/>
          <w:iCs/>
        </w:rPr>
        <w:t xml:space="preserve"> x a/2 + </w:t>
      </w:r>
      <w:proofErr w:type="spellStart"/>
      <w:r w:rsidRPr="00FF51B2">
        <w:rPr>
          <w:b/>
          <w:iCs/>
        </w:rPr>
        <w:t>WIb</w:t>
      </w:r>
      <w:proofErr w:type="spellEnd"/>
      <w:r w:rsidRPr="00FF51B2">
        <w:rPr>
          <w:b/>
          <w:iCs/>
        </w:rPr>
        <w:t xml:space="preserve"> (a/2 + b/2) + </w:t>
      </w:r>
      <w:proofErr w:type="spellStart"/>
      <w:r w:rsidRPr="00FF51B2">
        <w:rPr>
          <w:b/>
          <w:iCs/>
        </w:rPr>
        <w:t>WIc</w:t>
      </w:r>
      <w:proofErr w:type="spellEnd"/>
      <w:r w:rsidRPr="00FF51B2">
        <w:rPr>
          <w:b/>
          <w:iCs/>
        </w:rPr>
        <w:t xml:space="preserve"> (b/2)) / (a + b)</w:t>
      </w:r>
    </w:p>
    <w:p w:rsidR="00FF51B2" w:rsidRPr="00FF51B2" w:rsidRDefault="00FF51B2" w:rsidP="00FF51B2">
      <w:pPr>
        <w:pStyle w:val="SingleTxtG"/>
        <w:rPr>
          <w:iCs/>
          <w:strike/>
        </w:rPr>
      </w:pPr>
      <w:r w:rsidRPr="00FF51B2">
        <w:rPr>
          <w:iCs/>
          <w:strike/>
        </w:rPr>
        <w:t>WI = ((</w:t>
      </w:r>
      <w:proofErr w:type="spellStart"/>
      <w:r w:rsidRPr="00FF51B2">
        <w:rPr>
          <w:iCs/>
          <w:strike/>
        </w:rPr>
        <w:t>WIb</w:t>
      </w:r>
      <w:proofErr w:type="spellEnd"/>
      <w:r w:rsidRPr="00FF51B2">
        <w:rPr>
          <w:iCs/>
          <w:strike/>
        </w:rPr>
        <w:t xml:space="preserve"> x b)+(</w:t>
      </w:r>
      <w:proofErr w:type="spellStart"/>
      <w:r w:rsidRPr="00FF51B2">
        <w:rPr>
          <w:iCs/>
          <w:strike/>
        </w:rPr>
        <w:t>WIb</w:t>
      </w:r>
      <w:proofErr w:type="spellEnd"/>
      <w:r w:rsidRPr="00FF51B2">
        <w:rPr>
          <w:iCs/>
          <w:strike/>
        </w:rPr>
        <w:t xml:space="preserve"> x c) – ((</w:t>
      </w:r>
      <w:proofErr w:type="spellStart"/>
      <w:r w:rsidRPr="00FF51B2">
        <w:rPr>
          <w:iCs/>
          <w:strike/>
        </w:rPr>
        <w:t>WIb</w:t>
      </w:r>
      <w:proofErr w:type="spellEnd"/>
      <w:r w:rsidRPr="00FF51B2">
        <w:rPr>
          <w:iCs/>
          <w:strike/>
        </w:rPr>
        <w:t xml:space="preserve"> – </w:t>
      </w:r>
      <w:proofErr w:type="spellStart"/>
      <w:r w:rsidRPr="00FF51B2">
        <w:rPr>
          <w:iCs/>
          <w:strike/>
        </w:rPr>
        <w:t>WIc</w:t>
      </w:r>
      <w:proofErr w:type="spellEnd"/>
      <w:r w:rsidRPr="00FF51B2">
        <w:rPr>
          <w:iCs/>
          <w:strike/>
        </w:rPr>
        <w:t>) x c) +</w:t>
      </w:r>
    </w:p>
    <w:p w:rsidR="00FF51B2" w:rsidRPr="00FF51B2" w:rsidRDefault="00FF51B2" w:rsidP="00FF51B2">
      <w:pPr>
        <w:pStyle w:val="SingleTxtG"/>
        <w:rPr>
          <w:iCs/>
          <w:strike/>
        </w:rPr>
      </w:pPr>
      <w:r w:rsidRPr="00FF51B2">
        <w:rPr>
          <w:iCs/>
          <w:strike/>
        </w:rPr>
        <w:t>(2 x ((</w:t>
      </w:r>
      <w:proofErr w:type="spellStart"/>
      <w:r w:rsidRPr="00FF51B2">
        <w:rPr>
          <w:iCs/>
          <w:strike/>
        </w:rPr>
        <w:t>WIb</w:t>
      </w:r>
      <w:proofErr w:type="spellEnd"/>
      <w:r w:rsidRPr="00FF51B2">
        <w:rPr>
          <w:iCs/>
          <w:strike/>
        </w:rPr>
        <w:t xml:space="preserve"> – </w:t>
      </w:r>
      <w:proofErr w:type="spellStart"/>
      <w:r w:rsidRPr="00FF51B2">
        <w:rPr>
          <w:iCs/>
          <w:strike/>
        </w:rPr>
        <w:t>WIa</w:t>
      </w:r>
      <w:proofErr w:type="spellEnd"/>
      <w:r w:rsidRPr="00FF51B2">
        <w:rPr>
          <w:iCs/>
          <w:strike/>
        </w:rPr>
        <w:t>) x a ))) / (a + b + c)</w:t>
      </w:r>
    </w:p>
    <w:p w:rsidR="00FF51B2" w:rsidRPr="00FF51B2" w:rsidRDefault="00FF51B2" w:rsidP="00FF51B2">
      <w:pPr>
        <w:pStyle w:val="SingleTxtG"/>
        <w:rPr>
          <w:b/>
          <w:iCs/>
        </w:rPr>
      </w:pPr>
      <w:r w:rsidRPr="00FF51B2">
        <w:rPr>
          <w:b/>
          <w:iCs/>
        </w:rPr>
        <w:t>WI = (</w:t>
      </w:r>
      <w:proofErr w:type="spellStart"/>
      <w:r w:rsidRPr="00FF51B2">
        <w:rPr>
          <w:b/>
          <w:iCs/>
        </w:rPr>
        <w:t>WIa</w:t>
      </w:r>
      <w:proofErr w:type="spellEnd"/>
      <w:r w:rsidRPr="00FF51B2">
        <w:rPr>
          <w:b/>
          <w:iCs/>
        </w:rPr>
        <w:t xml:space="preserve"> x a + </w:t>
      </w:r>
      <w:proofErr w:type="spellStart"/>
      <w:r w:rsidRPr="00FF51B2">
        <w:rPr>
          <w:b/>
          <w:iCs/>
        </w:rPr>
        <w:t>WIb</w:t>
      </w:r>
      <w:proofErr w:type="spellEnd"/>
      <w:r w:rsidRPr="00FF51B2">
        <w:rPr>
          <w:b/>
          <w:iCs/>
        </w:rPr>
        <w:t xml:space="preserve"> x b + (</w:t>
      </w:r>
      <w:proofErr w:type="spellStart"/>
      <w:r w:rsidRPr="00FF51B2">
        <w:rPr>
          <w:b/>
          <w:iCs/>
        </w:rPr>
        <w:t>WIb</w:t>
      </w:r>
      <w:proofErr w:type="spellEnd"/>
      <w:r w:rsidRPr="00FF51B2">
        <w:rPr>
          <w:b/>
          <w:iCs/>
        </w:rPr>
        <w:t xml:space="preserve"> + </w:t>
      </w:r>
      <w:proofErr w:type="spellStart"/>
      <w:r w:rsidRPr="00FF51B2">
        <w:rPr>
          <w:b/>
          <w:iCs/>
        </w:rPr>
        <w:t>WIc</w:t>
      </w:r>
      <w:proofErr w:type="spellEnd"/>
      <w:r w:rsidRPr="00FF51B2">
        <w:rPr>
          <w:b/>
          <w:iCs/>
        </w:rPr>
        <w:t>)/2 x c) / (a + b + c)</w:t>
      </w:r>
    </w:p>
    <w:p w:rsidR="00FF51B2" w:rsidRPr="00FF51B2" w:rsidRDefault="00FF51B2" w:rsidP="00FF51B2">
      <w:pPr>
        <w:pStyle w:val="SingleTxtG"/>
      </w:pPr>
      <w:r w:rsidRPr="00FF51B2">
        <w:t>Where:</w:t>
      </w:r>
    </w:p>
    <w:p w:rsidR="00FF51B2" w:rsidRPr="00FF51B2" w:rsidRDefault="00FF51B2" w:rsidP="00FF51B2">
      <w:pPr>
        <w:pStyle w:val="SingleTxtG"/>
      </w:pPr>
      <w:proofErr w:type="spellStart"/>
      <w:r w:rsidRPr="00FF51B2">
        <w:t>WIa</w:t>
      </w:r>
      <w:proofErr w:type="spellEnd"/>
      <w:r w:rsidRPr="00FF51B2">
        <w:t xml:space="preserve"> is the internal width at the floor or between the wheel arches</w:t>
      </w:r>
    </w:p>
    <w:p w:rsidR="00FF51B2" w:rsidRPr="00FF51B2" w:rsidRDefault="00FF51B2" w:rsidP="00FF51B2">
      <w:pPr>
        <w:pStyle w:val="SingleTxtG"/>
      </w:pPr>
      <w:proofErr w:type="spellStart"/>
      <w:r w:rsidRPr="00FF51B2">
        <w:t>WIb</w:t>
      </w:r>
      <w:proofErr w:type="spellEnd"/>
      <w:r w:rsidRPr="00FF51B2">
        <w:t xml:space="preserve"> is the internal width at the height of the vertical edge from the floor or above the wheel arches.</w:t>
      </w:r>
    </w:p>
    <w:p w:rsidR="00FF51B2" w:rsidRPr="00FF51B2" w:rsidRDefault="00FF51B2" w:rsidP="00FF51B2">
      <w:pPr>
        <w:pStyle w:val="SingleTxtG"/>
      </w:pPr>
      <w:proofErr w:type="spellStart"/>
      <w:r w:rsidRPr="00FF51B2">
        <w:t>WIc</w:t>
      </w:r>
      <w:proofErr w:type="spellEnd"/>
      <w:r w:rsidRPr="00FF51B2">
        <w:t xml:space="preserve"> is the internal width along the roof</w:t>
      </w:r>
    </w:p>
    <w:p w:rsidR="00FF51B2" w:rsidRPr="00FF51B2" w:rsidRDefault="00FF51B2" w:rsidP="00FF51B2">
      <w:pPr>
        <w:pStyle w:val="SingleTxtG"/>
      </w:pPr>
      <w:r w:rsidRPr="00FF51B2">
        <w:t>a is the height of the vertical edge from the floor</w:t>
      </w:r>
    </w:p>
    <w:p w:rsidR="00FF51B2" w:rsidRPr="00FF51B2" w:rsidRDefault="00FF51B2" w:rsidP="00FF51B2">
      <w:pPr>
        <w:pStyle w:val="SingleTxtG"/>
      </w:pPr>
      <w:r w:rsidRPr="00FF51B2">
        <w:t>b is either the height between the bottom of the vertical edge and the roof or between the top of the wheel arch and the top of the vertical edge from the floor.</w:t>
      </w:r>
    </w:p>
    <w:p w:rsidR="00FF51B2" w:rsidRPr="00FF51B2" w:rsidRDefault="00FF51B2" w:rsidP="00FF51B2">
      <w:pPr>
        <w:pStyle w:val="SingleTxtG"/>
      </w:pPr>
      <w:r w:rsidRPr="00FF51B2">
        <w:t>c is the height between the roof and point b</w:t>
      </w:r>
    </w:p>
    <w:p w:rsidR="00FF51B2" w:rsidRPr="00FF51B2" w:rsidRDefault="00FF51B2" w:rsidP="00FF51B2">
      <w:pPr>
        <w:pStyle w:val="SingleTxtG"/>
      </w:pPr>
      <w:r w:rsidRPr="00FF51B2">
        <w:t>Along with the two formulae for the X and Z axes of the internal surface:</w:t>
      </w:r>
    </w:p>
    <w:p w:rsidR="00FF51B2" w:rsidRPr="00FF51B2" w:rsidRDefault="00FF51B2" w:rsidP="00FF51B2">
      <w:pPr>
        <w:pStyle w:val="SingleTxtG"/>
        <w:rPr>
          <w:i/>
          <w:iCs/>
        </w:rPr>
      </w:pPr>
      <w:r w:rsidRPr="00FF51B2">
        <w:rPr>
          <w:i/>
          <w:iCs/>
        </w:rPr>
        <w:t>LI = ((</w:t>
      </w:r>
      <w:proofErr w:type="spellStart"/>
      <w:r w:rsidRPr="00FF51B2">
        <w:rPr>
          <w:i/>
          <w:iCs/>
        </w:rPr>
        <w:t>LIa</w:t>
      </w:r>
      <w:proofErr w:type="spellEnd"/>
      <w:r w:rsidRPr="00FF51B2">
        <w:rPr>
          <w:i/>
          <w:iCs/>
        </w:rPr>
        <w:t xml:space="preserve"> x a) + (</w:t>
      </w:r>
      <w:proofErr w:type="spellStart"/>
      <w:r w:rsidRPr="00FF51B2">
        <w:rPr>
          <w:i/>
          <w:iCs/>
        </w:rPr>
        <w:t>LIb</w:t>
      </w:r>
      <w:proofErr w:type="spellEnd"/>
      <w:r w:rsidRPr="00FF51B2">
        <w:rPr>
          <w:i/>
          <w:iCs/>
        </w:rPr>
        <w:t xml:space="preserve"> + </w:t>
      </w:r>
      <w:proofErr w:type="spellStart"/>
      <w:r w:rsidRPr="00FF51B2">
        <w:rPr>
          <w:i/>
          <w:iCs/>
        </w:rPr>
        <w:t>LIc</w:t>
      </w:r>
      <w:proofErr w:type="spellEnd"/>
      <w:r w:rsidRPr="00FF51B2">
        <w:rPr>
          <w:i/>
          <w:iCs/>
        </w:rPr>
        <w:t>) / 2 x b + (</w:t>
      </w:r>
      <w:proofErr w:type="spellStart"/>
      <w:r w:rsidRPr="00FF51B2">
        <w:rPr>
          <w:i/>
          <w:iCs/>
        </w:rPr>
        <w:t>LIc</w:t>
      </w:r>
      <w:proofErr w:type="spellEnd"/>
      <w:r w:rsidRPr="00FF51B2">
        <w:rPr>
          <w:i/>
          <w:iCs/>
        </w:rPr>
        <w:t xml:space="preserve"> x c)) / (a + b + c)</w:t>
      </w:r>
    </w:p>
    <w:p w:rsidR="00FF51B2" w:rsidRPr="00FF51B2" w:rsidRDefault="00FF51B2" w:rsidP="00FF51B2">
      <w:pPr>
        <w:pStyle w:val="SingleTxtG"/>
      </w:pPr>
      <w:r w:rsidRPr="00FF51B2">
        <w:t>Where:</w:t>
      </w:r>
    </w:p>
    <w:p w:rsidR="00FF51B2" w:rsidRPr="00FF51B2" w:rsidRDefault="00FF51B2" w:rsidP="00FF51B2">
      <w:pPr>
        <w:pStyle w:val="SingleTxtG"/>
      </w:pPr>
      <w:proofErr w:type="spellStart"/>
      <w:r w:rsidRPr="00FF51B2">
        <w:t>LIa</w:t>
      </w:r>
      <w:proofErr w:type="spellEnd"/>
      <w:r w:rsidRPr="00FF51B2">
        <w:t xml:space="preserve"> is the internal length along the floor</w:t>
      </w:r>
    </w:p>
    <w:p w:rsidR="00FF51B2" w:rsidRPr="00FF51B2" w:rsidRDefault="00FF51B2" w:rsidP="00FF51B2">
      <w:pPr>
        <w:pStyle w:val="SingleTxtG"/>
      </w:pPr>
      <w:proofErr w:type="spellStart"/>
      <w:r w:rsidRPr="00FF51B2">
        <w:t>LIb</w:t>
      </w:r>
      <w:proofErr w:type="spellEnd"/>
      <w:r w:rsidRPr="00FF51B2">
        <w:t xml:space="preserve"> is the internal length above the wheel arches</w:t>
      </w:r>
    </w:p>
    <w:p w:rsidR="00FF51B2" w:rsidRPr="00FF51B2" w:rsidRDefault="00FF51B2" w:rsidP="00FF51B2">
      <w:pPr>
        <w:pStyle w:val="SingleTxtG"/>
      </w:pPr>
      <w:proofErr w:type="spellStart"/>
      <w:r w:rsidRPr="00FF51B2">
        <w:t>LIc</w:t>
      </w:r>
      <w:proofErr w:type="spellEnd"/>
      <w:r w:rsidRPr="00FF51B2">
        <w:t xml:space="preserve"> is the internal length along the roof</w:t>
      </w:r>
    </w:p>
    <w:p w:rsidR="00FF51B2" w:rsidRPr="00FF51B2" w:rsidRDefault="00FF51B2" w:rsidP="00FF51B2">
      <w:pPr>
        <w:pStyle w:val="SingleTxtG"/>
      </w:pPr>
      <w:r w:rsidRPr="00FF51B2">
        <w:t xml:space="preserve">a is the height between </w:t>
      </w:r>
      <w:proofErr w:type="spellStart"/>
      <w:r w:rsidRPr="00FF51B2">
        <w:t>LIa</w:t>
      </w:r>
      <w:proofErr w:type="spellEnd"/>
      <w:r w:rsidRPr="00FF51B2">
        <w:t xml:space="preserve"> and </w:t>
      </w:r>
      <w:proofErr w:type="spellStart"/>
      <w:r w:rsidRPr="00FF51B2">
        <w:t>LIb</w:t>
      </w:r>
      <w:proofErr w:type="spellEnd"/>
    </w:p>
    <w:p w:rsidR="00FF51B2" w:rsidRPr="00FF51B2" w:rsidRDefault="00FF51B2" w:rsidP="00FF51B2">
      <w:pPr>
        <w:pStyle w:val="SingleTxtG"/>
      </w:pPr>
      <w:r w:rsidRPr="00FF51B2">
        <w:t xml:space="preserve">b is the height between </w:t>
      </w:r>
      <w:proofErr w:type="spellStart"/>
      <w:r w:rsidRPr="00FF51B2">
        <w:t>LIb</w:t>
      </w:r>
      <w:proofErr w:type="spellEnd"/>
      <w:r w:rsidRPr="00FF51B2">
        <w:t xml:space="preserve"> and </w:t>
      </w:r>
      <w:proofErr w:type="spellStart"/>
      <w:r w:rsidRPr="00FF51B2">
        <w:t>LIc</w:t>
      </w:r>
      <w:proofErr w:type="spellEnd"/>
    </w:p>
    <w:p w:rsidR="00FF51B2" w:rsidRPr="00FF51B2" w:rsidRDefault="00FF51B2" w:rsidP="00FF51B2">
      <w:pPr>
        <w:pStyle w:val="SingleTxtG"/>
      </w:pPr>
      <w:r w:rsidRPr="00FF51B2">
        <w:t xml:space="preserve">c is the height between </w:t>
      </w:r>
      <w:proofErr w:type="spellStart"/>
      <w:r w:rsidRPr="00FF51B2">
        <w:t>LIc</w:t>
      </w:r>
      <w:proofErr w:type="spellEnd"/>
      <w:r w:rsidRPr="00FF51B2">
        <w:t xml:space="preserve"> and the roof</w:t>
      </w:r>
    </w:p>
    <w:p w:rsidR="00FF51B2" w:rsidRPr="00D76FB9" w:rsidRDefault="00FF51B2" w:rsidP="00FF51B2">
      <w:pPr>
        <w:pStyle w:val="SingleTxtG"/>
        <w:rPr>
          <w:iCs/>
          <w:strike/>
        </w:rPr>
      </w:pPr>
      <w:r w:rsidRPr="00D76FB9">
        <w:rPr>
          <w:iCs/>
          <w:strike/>
        </w:rPr>
        <w:t>Wi = (Wi back + Wi front) / 2</w:t>
      </w:r>
    </w:p>
    <w:p w:rsidR="00FF51B2" w:rsidRPr="00FF51B2" w:rsidRDefault="00FF51B2" w:rsidP="00FF51B2">
      <w:pPr>
        <w:pStyle w:val="SingleTxtG"/>
        <w:rPr>
          <w:b/>
          <w:iCs/>
        </w:rPr>
      </w:pPr>
      <w:r w:rsidRPr="00FF51B2">
        <w:rPr>
          <w:b/>
          <w:iCs/>
        </w:rPr>
        <w:t>WI = (WI back + WI front) / 2</w:t>
      </w:r>
    </w:p>
    <w:p w:rsidR="00FF51B2" w:rsidRPr="00FF51B2" w:rsidRDefault="00FF51B2" w:rsidP="00FF51B2">
      <w:pPr>
        <w:pStyle w:val="SingleTxtG"/>
      </w:pPr>
      <w:r w:rsidRPr="00FF51B2">
        <w:t>Where:</w:t>
      </w:r>
    </w:p>
    <w:p w:rsidR="00FF51B2" w:rsidRPr="00D76FB9" w:rsidRDefault="00FF51B2" w:rsidP="00FF51B2">
      <w:pPr>
        <w:pStyle w:val="SingleTxtG"/>
        <w:rPr>
          <w:strike/>
        </w:rPr>
      </w:pPr>
      <w:r w:rsidRPr="00D76FB9">
        <w:rPr>
          <w:strike/>
        </w:rPr>
        <w:t>Wi back is the width at the bulkhead</w:t>
      </w:r>
    </w:p>
    <w:p w:rsidR="00FF51B2" w:rsidRPr="00FF51B2" w:rsidRDefault="00FF51B2" w:rsidP="00FF51B2">
      <w:pPr>
        <w:pStyle w:val="SingleTxtG"/>
        <w:rPr>
          <w:b/>
        </w:rPr>
      </w:pPr>
      <w:r w:rsidRPr="00FF51B2">
        <w:rPr>
          <w:b/>
        </w:rPr>
        <w:lastRenderedPageBreak/>
        <w:t>WI back is the width at the bulkhead</w:t>
      </w:r>
    </w:p>
    <w:p w:rsidR="00FF51B2" w:rsidRPr="00D76FB9" w:rsidRDefault="00FF51B2" w:rsidP="00FF51B2">
      <w:pPr>
        <w:pStyle w:val="SingleTxtG"/>
        <w:rPr>
          <w:strike/>
        </w:rPr>
      </w:pPr>
      <w:r w:rsidRPr="00D76FB9">
        <w:rPr>
          <w:strike/>
        </w:rPr>
        <w:t>Wi front is the width at the door end</w:t>
      </w:r>
    </w:p>
    <w:p w:rsidR="00FF51B2" w:rsidRPr="00FF51B2" w:rsidRDefault="00FF51B2" w:rsidP="00FF51B2">
      <w:pPr>
        <w:pStyle w:val="SingleTxtG"/>
        <w:rPr>
          <w:b/>
        </w:rPr>
      </w:pPr>
      <w:r w:rsidRPr="00FF51B2">
        <w:rPr>
          <w:b/>
        </w:rPr>
        <w:t>WI front is the width at the door end</w:t>
      </w:r>
    </w:p>
    <w:p w:rsidR="00FF51B2" w:rsidRPr="00FF51B2" w:rsidRDefault="00FF51B2" w:rsidP="00FF51B2">
      <w:pPr>
        <w:pStyle w:val="SingleTxtG"/>
      </w:pPr>
      <w:r w:rsidRPr="00FF51B2">
        <w:t>The external surface area is calculated using the formulae below</w:t>
      </w:r>
    </w:p>
    <w:p w:rsidR="00FF51B2" w:rsidRPr="00D76FB9" w:rsidRDefault="00FF51B2" w:rsidP="00FF51B2">
      <w:pPr>
        <w:pStyle w:val="SingleTxtG"/>
        <w:rPr>
          <w:iCs/>
          <w:strike/>
        </w:rPr>
      </w:pPr>
      <w:r w:rsidRPr="00D76FB9">
        <w:rPr>
          <w:iCs/>
          <w:strike/>
        </w:rPr>
        <w:t>WE = WI + declared mean thickness</w:t>
      </w:r>
    </w:p>
    <w:p w:rsidR="00FF51B2" w:rsidRPr="00D76FB9" w:rsidRDefault="00FF51B2" w:rsidP="00FF51B2">
      <w:pPr>
        <w:pStyle w:val="SingleTxtG"/>
        <w:rPr>
          <w:iCs/>
          <w:strike/>
        </w:rPr>
      </w:pPr>
      <w:r w:rsidRPr="00D76FB9">
        <w:rPr>
          <w:iCs/>
          <w:strike/>
        </w:rPr>
        <w:t>LE = LI + declared mean thickness</w:t>
      </w:r>
    </w:p>
    <w:p w:rsidR="00FF51B2" w:rsidRPr="00D76FB9" w:rsidRDefault="00FF51B2" w:rsidP="00FF51B2">
      <w:pPr>
        <w:pStyle w:val="SingleTxtG"/>
        <w:rPr>
          <w:iCs/>
          <w:strike/>
        </w:rPr>
      </w:pPr>
      <w:r w:rsidRPr="00D76FB9">
        <w:rPr>
          <w:iCs/>
          <w:strike/>
        </w:rPr>
        <w:t>We= Wi + declared mean thickness</w:t>
      </w:r>
    </w:p>
    <w:p w:rsidR="00FF51B2" w:rsidRPr="00FF51B2" w:rsidRDefault="00FF51B2" w:rsidP="00FF51B2">
      <w:pPr>
        <w:pStyle w:val="SingleTxtG"/>
        <w:rPr>
          <w:b/>
          <w:iCs/>
        </w:rPr>
      </w:pPr>
      <w:r w:rsidRPr="00FF51B2">
        <w:rPr>
          <w:b/>
          <w:iCs/>
        </w:rPr>
        <w:t>WE = WI + declared mean thickness x 2</w:t>
      </w:r>
    </w:p>
    <w:p w:rsidR="00FF51B2" w:rsidRPr="00FF51B2" w:rsidRDefault="00FF51B2" w:rsidP="00FF51B2">
      <w:pPr>
        <w:pStyle w:val="SingleTxtG"/>
        <w:rPr>
          <w:b/>
          <w:iCs/>
        </w:rPr>
      </w:pPr>
      <w:r w:rsidRPr="00FF51B2">
        <w:rPr>
          <w:b/>
          <w:iCs/>
        </w:rPr>
        <w:t>LE = LI + declared mean thickness x 2</w:t>
      </w:r>
    </w:p>
    <w:p w:rsidR="00FF51B2" w:rsidRPr="00FF51B2" w:rsidRDefault="00FF51B2" w:rsidP="00FF51B2">
      <w:pPr>
        <w:pStyle w:val="SingleTxtG"/>
        <w:rPr>
          <w:i/>
          <w:iCs/>
        </w:rPr>
      </w:pPr>
      <w:r w:rsidRPr="00FF51B2">
        <w:rPr>
          <w:b/>
          <w:iCs/>
        </w:rPr>
        <w:t>HE= HI + declared mean thickness x 2</w:t>
      </w:r>
      <w:r w:rsidR="00470CC6">
        <w:t>”</w:t>
      </w:r>
      <w:r w:rsidR="00470CC6">
        <w:rPr>
          <w:i/>
          <w:iCs/>
        </w:rPr>
        <w:t>.</w:t>
      </w:r>
    </w:p>
    <w:p w:rsidR="00390137" w:rsidRPr="00390137" w:rsidRDefault="00390137" w:rsidP="00390137">
      <w:pPr>
        <w:pStyle w:val="HChG"/>
        <w:rPr>
          <w:rFonts w:eastAsiaTheme="majorEastAsia"/>
        </w:rPr>
      </w:pPr>
      <w:r>
        <w:rPr>
          <w:rFonts w:eastAsiaTheme="majorEastAsia"/>
        </w:rPr>
        <w:tab/>
      </w:r>
      <w:r>
        <w:rPr>
          <w:rFonts w:eastAsiaTheme="majorEastAsia"/>
        </w:rPr>
        <w:tab/>
      </w:r>
      <w:r w:rsidRPr="00390137">
        <w:rPr>
          <w:rFonts w:eastAsiaTheme="majorEastAsia"/>
        </w:rPr>
        <w:t>Impact</w:t>
      </w:r>
    </w:p>
    <w:p w:rsidR="00390137" w:rsidRPr="00390137" w:rsidRDefault="00390137" w:rsidP="00390137">
      <w:pPr>
        <w:pStyle w:val="SingleTxtG"/>
      </w:pPr>
      <w:r>
        <w:t>4.</w:t>
      </w:r>
      <w:r>
        <w:tab/>
      </w:r>
      <w:r w:rsidRPr="00390137">
        <w:t>There would be no financial impact to industry.</w:t>
      </w:r>
    </w:p>
    <w:p w:rsidR="00542C25" w:rsidRPr="008D5B27" w:rsidRDefault="00FF344B" w:rsidP="004625A3">
      <w:pPr>
        <w:pStyle w:val="SingleTxtG"/>
        <w:spacing w:before="240" w:after="0"/>
        <w:jc w:val="center"/>
        <w:rPr>
          <w:u w:val="single"/>
        </w:rPr>
      </w:pPr>
      <w:r>
        <w:rPr>
          <w:u w:val="single"/>
        </w:rPr>
        <w:tab/>
      </w:r>
      <w:r>
        <w:rPr>
          <w:u w:val="single"/>
        </w:rPr>
        <w:tab/>
      </w:r>
      <w:r>
        <w:rPr>
          <w:u w:val="single"/>
        </w:rPr>
        <w:tab/>
      </w:r>
    </w:p>
    <w:sectPr w:rsidR="00542C25" w:rsidRPr="008D5B27" w:rsidSect="00DC22F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3F" w:rsidRDefault="00931D3F"/>
  </w:endnote>
  <w:endnote w:type="continuationSeparator" w:id="0">
    <w:p w:rsidR="00931D3F" w:rsidRDefault="00931D3F"/>
  </w:endnote>
  <w:endnote w:type="continuationNotice" w:id="1">
    <w:p w:rsidR="00931D3F" w:rsidRDefault="0093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sidR="00B356B0">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B356B0">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3F" w:rsidRPr="000B175B" w:rsidRDefault="00931D3F" w:rsidP="000B175B">
      <w:pPr>
        <w:tabs>
          <w:tab w:val="right" w:pos="2155"/>
        </w:tabs>
        <w:spacing w:after="80"/>
        <w:ind w:left="680"/>
        <w:rPr>
          <w:u w:val="single"/>
        </w:rPr>
      </w:pPr>
      <w:r>
        <w:rPr>
          <w:u w:val="single"/>
        </w:rPr>
        <w:tab/>
      </w:r>
    </w:p>
  </w:footnote>
  <w:footnote w:type="continuationSeparator" w:id="0">
    <w:p w:rsidR="00931D3F" w:rsidRPr="00FC68B7" w:rsidRDefault="00931D3F" w:rsidP="00FC68B7">
      <w:pPr>
        <w:tabs>
          <w:tab w:val="left" w:pos="2155"/>
        </w:tabs>
        <w:spacing w:after="80"/>
        <w:ind w:left="680"/>
        <w:rPr>
          <w:u w:val="single"/>
        </w:rPr>
      </w:pPr>
      <w:r>
        <w:rPr>
          <w:u w:val="single"/>
        </w:rPr>
        <w:tab/>
      </w:r>
    </w:p>
  </w:footnote>
  <w:footnote w:type="continuationNotice" w:id="1">
    <w:p w:rsidR="00931D3F" w:rsidRDefault="00931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pPr>
      <w:pStyle w:val="Header"/>
    </w:pPr>
    <w:r>
      <w:t>ECE/TRANS/WP.11/2018/</w:t>
    </w:r>
    <w:r w:rsidR="00FF51B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rsidP="00907EEF">
    <w:pPr>
      <w:pStyle w:val="Header"/>
      <w:jc w:val="right"/>
    </w:pPr>
    <w:r>
      <w:t>ECE/TRANS/WP.11/2018/</w:t>
    </w:r>
    <w:r w:rsidR="00FF51B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342060EE"/>
    <w:multiLevelType w:val="hybridMultilevel"/>
    <w:tmpl w:val="C952F9FA"/>
    <w:lvl w:ilvl="0" w:tplc="100C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99953FC"/>
    <w:multiLevelType w:val="multilevel"/>
    <w:tmpl w:val="54BAB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A3F0D76"/>
    <w:multiLevelType w:val="hybridMultilevel"/>
    <w:tmpl w:val="B62A1038"/>
    <w:lvl w:ilvl="0" w:tplc="15884BB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51EA3709"/>
    <w:multiLevelType w:val="hybridMultilevel"/>
    <w:tmpl w:val="315AA738"/>
    <w:lvl w:ilvl="0" w:tplc="0C705E82">
      <w:start w:val="5"/>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1"/>
  </w:num>
  <w:num w:numId="13">
    <w:abstractNumId w:val="10"/>
  </w:num>
  <w:num w:numId="14">
    <w:abstractNumId w:val="24"/>
  </w:num>
  <w:num w:numId="15">
    <w:abstractNumId w:val="27"/>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1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IE"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2"/>
    <w:rsid w:val="00001AA7"/>
    <w:rsid w:val="000200CA"/>
    <w:rsid w:val="00025467"/>
    <w:rsid w:val="00034144"/>
    <w:rsid w:val="00043896"/>
    <w:rsid w:val="00046B1F"/>
    <w:rsid w:val="00050F6B"/>
    <w:rsid w:val="000539E7"/>
    <w:rsid w:val="00057A3F"/>
    <w:rsid w:val="00057E97"/>
    <w:rsid w:val="00061636"/>
    <w:rsid w:val="000646F4"/>
    <w:rsid w:val="00072C8C"/>
    <w:rsid w:val="000733B5"/>
    <w:rsid w:val="00077F56"/>
    <w:rsid w:val="00081815"/>
    <w:rsid w:val="00082827"/>
    <w:rsid w:val="00087AAA"/>
    <w:rsid w:val="00090791"/>
    <w:rsid w:val="000931C0"/>
    <w:rsid w:val="000975AE"/>
    <w:rsid w:val="000B0595"/>
    <w:rsid w:val="000B175B"/>
    <w:rsid w:val="000B378A"/>
    <w:rsid w:val="000B3A0F"/>
    <w:rsid w:val="000B4EF7"/>
    <w:rsid w:val="000B5EE5"/>
    <w:rsid w:val="000B71F8"/>
    <w:rsid w:val="000B7C71"/>
    <w:rsid w:val="000B7D6D"/>
    <w:rsid w:val="000C2C03"/>
    <w:rsid w:val="000C2D2E"/>
    <w:rsid w:val="000C4639"/>
    <w:rsid w:val="000C5B25"/>
    <w:rsid w:val="000D6DF3"/>
    <w:rsid w:val="000E0415"/>
    <w:rsid w:val="000F6A52"/>
    <w:rsid w:val="001033E7"/>
    <w:rsid w:val="001103AA"/>
    <w:rsid w:val="00112BB6"/>
    <w:rsid w:val="0011666B"/>
    <w:rsid w:val="00117401"/>
    <w:rsid w:val="00131731"/>
    <w:rsid w:val="0015405A"/>
    <w:rsid w:val="00154F54"/>
    <w:rsid w:val="0015764E"/>
    <w:rsid w:val="00157791"/>
    <w:rsid w:val="00160398"/>
    <w:rsid w:val="00160666"/>
    <w:rsid w:val="001637D1"/>
    <w:rsid w:val="00164BAD"/>
    <w:rsid w:val="00165F3A"/>
    <w:rsid w:val="00170B4F"/>
    <w:rsid w:val="0017314F"/>
    <w:rsid w:val="001761FA"/>
    <w:rsid w:val="00177D14"/>
    <w:rsid w:val="00181719"/>
    <w:rsid w:val="00182DFC"/>
    <w:rsid w:val="00186447"/>
    <w:rsid w:val="00190220"/>
    <w:rsid w:val="00195841"/>
    <w:rsid w:val="001974A5"/>
    <w:rsid w:val="001B4B04"/>
    <w:rsid w:val="001B6719"/>
    <w:rsid w:val="001B6ED7"/>
    <w:rsid w:val="001B7BFE"/>
    <w:rsid w:val="001C2D64"/>
    <w:rsid w:val="001C6663"/>
    <w:rsid w:val="001C7895"/>
    <w:rsid w:val="001D0C8C"/>
    <w:rsid w:val="001D1419"/>
    <w:rsid w:val="001D26DF"/>
    <w:rsid w:val="001D3A03"/>
    <w:rsid w:val="001E34AF"/>
    <w:rsid w:val="001E351D"/>
    <w:rsid w:val="001E7B67"/>
    <w:rsid w:val="001F165A"/>
    <w:rsid w:val="00201F23"/>
    <w:rsid w:val="00202DA8"/>
    <w:rsid w:val="0020419D"/>
    <w:rsid w:val="00211E0B"/>
    <w:rsid w:val="00212EBE"/>
    <w:rsid w:val="0022072A"/>
    <w:rsid w:val="002334F3"/>
    <w:rsid w:val="002342AC"/>
    <w:rsid w:val="00244E26"/>
    <w:rsid w:val="00245A3E"/>
    <w:rsid w:val="002460EB"/>
    <w:rsid w:val="0024772E"/>
    <w:rsid w:val="002529CE"/>
    <w:rsid w:val="00254251"/>
    <w:rsid w:val="00260C56"/>
    <w:rsid w:val="002610D6"/>
    <w:rsid w:val="00265483"/>
    <w:rsid w:val="0026781A"/>
    <w:rsid w:val="00267F5F"/>
    <w:rsid w:val="0027075E"/>
    <w:rsid w:val="00273436"/>
    <w:rsid w:val="00286B4D"/>
    <w:rsid w:val="002907ED"/>
    <w:rsid w:val="00290DA2"/>
    <w:rsid w:val="00292793"/>
    <w:rsid w:val="00292BE0"/>
    <w:rsid w:val="00295026"/>
    <w:rsid w:val="002A525E"/>
    <w:rsid w:val="002B7E54"/>
    <w:rsid w:val="002C41FE"/>
    <w:rsid w:val="002C4F5D"/>
    <w:rsid w:val="002D4643"/>
    <w:rsid w:val="002D4E5E"/>
    <w:rsid w:val="002D5FDE"/>
    <w:rsid w:val="002D6E1C"/>
    <w:rsid w:val="002E1739"/>
    <w:rsid w:val="002E219E"/>
    <w:rsid w:val="002E4E3C"/>
    <w:rsid w:val="002F175C"/>
    <w:rsid w:val="003027C0"/>
    <w:rsid w:val="00302E18"/>
    <w:rsid w:val="00303957"/>
    <w:rsid w:val="0030561E"/>
    <w:rsid w:val="00305952"/>
    <w:rsid w:val="00305EA9"/>
    <w:rsid w:val="00310896"/>
    <w:rsid w:val="00317FCB"/>
    <w:rsid w:val="003229D8"/>
    <w:rsid w:val="003249FB"/>
    <w:rsid w:val="003303DC"/>
    <w:rsid w:val="0033417C"/>
    <w:rsid w:val="00336F49"/>
    <w:rsid w:val="00344A7B"/>
    <w:rsid w:val="00352709"/>
    <w:rsid w:val="00360538"/>
    <w:rsid w:val="003608BD"/>
    <w:rsid w:val="00361655"/>
    <w:rsid w:val="003619B5"/>
    <w:rsid w:val="00365763"/>
    <w:rsid w:val="00371178"/>
    <w:rsid w:val="003722C9"/>
    <w:rsid w:val="00374D77"/>
    <w:rsid w:val="00377D69"/>
    <w:rsid w:val="0038794B"/>
    <w:rsid w:val="00390137"/>
    <w:rsid w:val="00392E47"/>
    <w:rsid w:val="00397085"/>
    <w:rsid w:val="00397187"/>
    <w:rsid w:val="003A0395"/>
    <w:rsid w:val="003A4B39"/>
    <w:rsid w:val="003A6810"/>
    <w:rsid w:val="003B4698"/>
    <w:rsid w:val="003C078E"/>
    <w:rsid w:val="003C07C2"/>
    <w:rsid w:val="003C0DE5"/>
    <w:rsid w:val="003C2CC4"/>
    <w:rsid w:val="003D1840"/>
    <w:rsid w:val="003D1847"/>
    <w:rsid w:val="003D3E59"/>
    <w:rsid w:val="003D4B23"/>
    <w:rsid w:val="003E130E"/>
    <w:rsid w:val="003E2588"/>
    <w:rsid w:val="003E5E85"/>
    <w:rsid w:val="003F4769"/>
    <w:rsid w:val="0040032F"/>
    <w:rsid w:val="004007A8"/>
    <w:rsid w:val="004042F6"/>
    <w:rsid w:val="0040456E"/>
    <w:rsid w:val="00410C89"/>
    <w:rsid w:val="00412CCC"/>
    <w:rsid w:val="00413FD1"/>
    <w:rsid w:val="00421E64"/>
    <w:rsid w:val="004229BB"/>
    <w:rsid w:val="00422E03"/>
    <w:rsid w:val="00426B9B"/>
    <w:rsid w:val="004325CB"/>
    <w:rsid w:val="00441B08"/>
    <w:rsid w:val="00442A83"/>
    <w:rsid w:val="00444324"/>
    <w:rsid w:val="0045002D"/>
    <w:rsid w:val="00450F26"/>
    <w:rsid w:val="00452C0D"/>
    <w:rsid w:val="00453C90"/>
    <w:rsid w:val="0045495B"/>
    <w:rsid w:val="004561E5"/>
    <w:rsid w:val="004625A3"/>
    <w:rsid w:val="00464286"/>
    <w:rsid w:val="00465444"/>
    <w:rsid w:val="00470CC6"/>
    <w:rsid w:val="00480091"/>
    <w:rsid w:val="0048397A"/>
    <w:rsid w:val="0048451D"/>
    <w:rsid w:val="00485CBB"/>
    <w:rsid w:val="004866B7"/>
    <w:rsid w:val="00490298"/>
    <w:rsid w:val="004A5E91"/>
    <w:rsid w:val="004B0370"/>
    <w:rsid w:val="004B0525"/>
    <w:rsid w:val="004B2ACC"/>
    <w:rsid w:val="004C22AD"/>
    <w:rsid w:val="004C22C4"/>
    <w:rsid w:val="004C2461"/>
    <w:rsid w:val="004C49B2"/>
    <w:rsid w:val="004C5FD0"/>
    <w:rsid w:val="004C7462"/>
    <w:rsid w:val="004D4DF3"/>
    <w:rsid w:val="004E7231"/>
    <w:rsid w:val="004E77B2"/>
    <w:rsid w:val="004F4072"/>
    <w:rsid w:val="004F5CC5"/>
    <w:rsid w:val="00501DC0"/>
    <w:rsid w:val="00502C6E"/>
    <w:rsid w:val="00504B2D"/>
    <w:rsid w:val="00510EC9"/>
    <w:rsid w:val="005111FA"/>
    <w:rsid w:val="00517C2A"/>
    <w:rsid w:val="0052136D"/>
    <w:rsid w:val="0052775E"/>
    <w:rsid w:val="005328C8"/>
    <w:rsid w:val="005357A9"/>
    <w:rsid w:val="00541A9D"/>
    <w:rsid w:val="005420F2"/>
    <w:rsid w:val="00542C25"/>
    <w:rsid w:val="0055044C"/>
    <w:rsid w:val="00555FAB"/>
    <w:rsid w:val="00561EC9"/>
    <w:rsid w:val="005628B6"/>
    <w:rsid w:val="0056322D"/>
    <w:rsid w:val="00564E14"/>
    <w:rsid w:val="00580FEC"/>
    <w:rsid w:val="00582106"/>
    <w:rsid w:val="00592E8F"/>
    <w:rsid w:val="005941EC"/>
    <w:rsid w:val="00594375"/>
    <w:rsid w:val="0059724D"/>
    <w:rsid w:val="005A3212"/>
    <w:rsid w:val="005A5138"/>
    <w:rsid w:val="005A6D59"/>
    <w:rsid w:val="005B1337"/>
    <w:rsid w:val="005B156E"/>
    <w:rsid w:val="005B225E"/>
    <w:rsid w:val="005B22F4"/>
    <w:rsid w:val="005B2ADC"/>
    <w:rsid w:val="005B3DB3"/>
    <w:rsid w:val="005B4A54"/>
    <w:rsid w:val="005B4CCE"/>
    <w:rsid w:val="005B4E13"/>
    <w:rsid w:val="005C342F"/>
    <w:rsid w:val="005C7972"/>
    <w:rsid w:val="005D02C6"/>
    <w:rsid w:val="005E2709"/>
    <w:rsid w:val="005F2ED7"/>
    <w:rsid w:val="005F4501"/>
    <w:rsid w:val="005F7B75"/>
    <w:rsid w:val="006001EE"/>
    <w:rsid w:val="00600F40"/>
    <w:rsid w:val="00602D22"/>
    <w:rsid w:val="00605042"/>
    <w:rsid w:val="00611FC4"/>
    <w:rsid w:val="006176FB"/>
    <w:rsid w:val="00622061"/>
    <w:rsid w:val="00626D90"/>
    <w:rsid w:val="0063046A"/>
    <w:rsid w:val="00636BB7"/>
    <w:rsid w:val="00636D32"/>
    <w:rsid w:val="00640B26"/>
    <w:rsid w:val="006410C8"/>
    <w:rsid w:val="006426D2"/>
    <w:rsid w:val="00645451"/>
    <w:rsid w:val="0064595B"/>
    <w:rsid w:val="00652D0A"/>
    <w:rsid w:val="006578AE"/>
    <w:rsid w:val="00662BB4"/>
    <w:rsid w:val="00662BB6"/>
    <w:rsid w:val="00676606"/>
    <w:rsid w:val="0067749E"/>
    <w:rsid w:val="00684C21"/>
    <w:rsid w:val="00694F4D"/>
    <w:rsid w:val="00697AAC"/>
    <w:rsid w:val="006A13DA"/>
    <w:rsid w:val="006A2530"/>
    <w:rsid w:val="006A33E6"/>
    <w:rsid w:val="006B06B9"/>
    <w:rsid w:val="006C1B4F"/>
    <w:rsid w:val="006C2701"/>
    <w:rsid w:val="006C28C4"/>
    <w:rsid w:val="006C3589"/>
    <w:rsid w:val="006C5871"/>
    <w:rsid w:val="006C5F75"/>
    <w:rsid w:val="006D1E67"/>
    <w:rsid w:val="006D37AF"/>
    <w:rsid w:val="006D51D0"/>
    <w:rsid w:val="006D5FB9"/>
    <w:rsid w:val="006D6E44"/>
    <w:rsid w:val="006D7C5B"/>
    <w:rsid w:val="006E1CCC"/>
    <w:rsid w:val="006E564B"/>
    <w:rsid w:val="006E7191"/>
    <w:rsid w:val="006F3A0D"/>
    <w:rsid w:val="006F4A24"/>
    <w:rsid w:val="006F6B3D"/>
    <w:rsid w:val="007015BB"/>
    <w:rsid w:val="00701E64"/>
    <w:rsid w:val="00703577"/>
    <w:rsid w:val="007048E2"/>
    <w:rsid w:val="007048FD"/>
    <w:rsid w:val="00705894"/>
    <w:rsid w:val="007168B9"/>
    <w:rsid w:val="00721B3B"/>
    <w:rsid w:val="00723ED3"/>
    <w:rsid w:val="00724A04"/>
    <w:rsid w:val="0072632A"/>
    <w:rsid w:val="00726728"/>
    <w:rsid w:val="00726C10"/>
    <w:rsid w:val="007327D5"/>
    <w:rsid w:val="00732B5B"/>
    <w:rsid w:val="00736821"/>
    <w:rsid w:val="0075471B"/>
    <w:rsid w:val="00761DEA"/>
    <w:rsid w:val="007629C8"/>
    <w:rsid w:val="0076582E"/>
    <w:rsid w:val="007666C3"/>
    <w:rsid w:val="00767085"/>
    <w:rsid w:val="0077047D"/>
    <w:rsid w:val="00784748"/>
    <w:rsid w:val="0078732A"/>
    <w:rsid w:val="00796B4B"/>
    <w:rsid w:val="007A4C39"/>
    <w:rsid w:val="007B002A"/>
    <w:rsid w:val="007B177E"/>
    <w:rsid w:val="007B1BD6"/>
    <w:rsid w:val="007B3A25"/>
    <w:rsid w:val="007B6BA5"/>
    <w:rsid w:val="007C080A"/>
    <w:rsid w:val="007C3390"/>
    <w:rsid w:val="007C4C53"/>
    <w:rsid w:val="007C4F4B"/>
    <w:rsid w:val="007D3702"/>
    <w:rsid w:val="007D45AE"/>
    <w:rsid w:val="007E01E9"/>
    <w:rsid w:val="007E0955"/>
    <w:rsid w:val="007E0AB9"/>
    <w:rsid w:val="007E430B"/>
    <w:rsid w:val="007E5A52"/>
    <w:rsid w:val="007E63F3"/>
    <w:rsid w:val="007E7269"/>
    <w:rsid w:val="007F1BA2"/>
    <w:rsid w:val="007F41A2"/>
    <w:rsid w:val="007F5960"/>
    <w:rsid w:val="007F6611"/>
    <w:rsid w:val="007F6A75"/>
    <w:rsid w:val="00801543"/>
    <w:rsid w:val="008059C3"/>
    <w:rsid w:val="00810F5B"/>
    <w:rsid w:val="00811920"/>
    <w:rsid w:val="00811AF2"/>
    <w:rsid w:val="00815AD0"/>
    <w:rsid w:val="008242D7"/>
    <w:rsid w:val="008257B1"/>
    <w:rsid w:val="00830030"/>
    <w:rsid w:val="00832334"/>
    <w:rsid w:val="00843767"/>
    <w:rsid w:val="00847B75"/>
    <w:rsid w:val="00850AF1"/>
    <w:rsid w:val="008640C6"/>
    <w:rsid w:val="008679D9"/>
    <w:rsid w:val="00867E72"/>
    <w:rsid w:val="00870FB5"/>
    <w:rsid w:val="008723E3"/>
    <w:rsid w:val="00876545"/>
    <w:rsid w:val="00876A70"/>
    <w:rsid w:val="00880266"/>
    <w:rsid w:val="0088152B"/>
    <w:rsid w:val="00886F7F"/>
    <w:rsid w:val="008878DE"/>
    <w:rsid w:val="008979B1"/>
    <w:rsid w:val="00897F47"/>
    <w:rsid w:val="008A6B25"/>
    <w:rsid w:val="008A6C4F"/>
    <w:rsid w:val="008B2335"/>
    <w:rsid w:val="008C1829"/>
    <w:rsid w:val="008C486D"/>
    <w:rsid w:val="008C48AD"/>
    <w:rsid w:val="008D1F42"/>
    <w:rsid w:val="008D48F8"/>
    <w:rsid w:val="008D5B27"/>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30228"/>
    <w:rsid w:val="00931D3F"/>
    <w:rsid w:val="00940249"/>
    <w:rsid w:val="00940AB1"/>
    <w:rsid w:val="00940F93"/>
    <w:rsid w:val="009413B7"/>
    <w:rsid w:val="009457CD"/>
    <w:rsid w:val="00953017"/>
    <w:rsid w:val="00956111"/>
    <w:rsid w:val="00960576"/>
    <w:rsid w:val="009624A9"/>
    <w:rsid w:val="009639DE"/>
    <w:rsid w:val="009760F3"/>
    <w:rsid w:val="009766E8"/>
    <w:rsid w:val="00976CFB"/>
    <w:rsid w:val="0097705B"/>
    <w:rsid w:val="009875D0"/>
    <w:rsid w:val="00990C52"/>
    <w:rsid w:val="009A0830"/>
    <w:rsid w:val="009A0BD7"/>
    <w:rsid w:val="009A0E8D"/>
    <w:rsid w:val="009A2D33"/>
    <w:rsid w:val="009A7FD4"/>
    <w:rsid w:val="009B1EB2"/>
    <w:rsid w:val="009B22A2"/>
    <w:rsid w:val="009B26E7"/>
    <w:rsid w:val="009C00FA"/>
    <w:rsid w:val="009C4B5B"/>
    <w:rsid w:val="009D1046"/>
    <w:rsid w:val="009D1274"/>
    <w:rsid w:val="009D17DB"/>
    <w:rsid w:val="009D4338"/>
    <w:rsid w:val="009D5ECB"/>
    <w:rsid w:val="009E2791"/>
    <w:rsid w:val="009E400F"/>
    <w:rsid w:val="009F6DC6"/>
    <w:rsid w:val="00A00697"/>
    <w:rsid w:val="00A00A3F"/>
    <w:rsid w:val="00A01489"/>
    <w:rsid w:val="00A03D56"/>
    <w:rsid w:val="00A04386"/>
    <w:rsid w:val="00A05A74"/>
    <w:rsid w:val="00A16404"/>
    <w:rsid w:val="00A3026E"/>
    <w:rsid w:val="00A30D41"/>
    <w:rsid w:val="00A338F1"/>
    <w:rsid w:val="00A35BE0"/>
    <w:rsid w:val="00A36E9D"/>
    <w:rsid w:val="00A42C10"/>
    <w:rsid w:val="00A43FCA"/>
    <w:rsid w:val="00A50545"/>
    <w:rsid w:val="00A518BC"/>
    <w:rsid w:val="00A52A6D"/>
    <w:rsid w:val="00A56222"/>
    <w:rsid w:val="00A60C28"/>
    <w:rsid w:val="00A6129C"/>
    <w:rsid w:val="00A655D8"/>
    <w:rsid w:val="00A6727E"/>
    <w:rsid w:val="00A72B46"/>
    <w:rsid w:val="00A72F22"/>
    <w:rsid w:val="00A7360F"/>
    <w:rsid w:val="00A748A6"/>
    <w:rsid w:val="00A769F4"/>
    <w:rsid w:val="00A776B4"/>
    <w:rsid w:val="00A86293"/>
    <w:rsid w:val="00A94361"/>
    <w:rsid w:val="00AA293C"/>
    <w:rsid w:val="00AA48C2"/>
    <w:rsid w:val="00AA7359"/>
    <w:rsid w:val="00AB3F88"/>
    <w:rsid w:val="00AB7B16"/>
    <w:rsid w:val="00AC7887"/>
    <w:rsid w:val="00AD54B4"/>
    <w:rsid w:val="00AD7B5B"/>
    <w:rsid w:val="00AE24C3"/>
    <w:rsid w:val="00AF5D3B"/>
    <w:rsid w:val="00B124B2"/>
    <w:rsid w:val="00B16697"/>
    <w:rsid w:val="00B30179"/>
    <w:rsid w:val="00B356B0"/>
    <w:rsid w:val="00B40045"/>
    <w:rsid w:val="00B421C1"/>
    <w:rsid w:val="00B42E3E"/>
    <w:rsid w:val="00B469CB"/>
    <w:rsid w:val="00B47EC8"/>
    <w:rsid w:val="00B55C71"/>
    <w:rsid w:val="00B566A6"/>
    <w:rsid w:val="00B56E4A"/>
    <w:rsid w:val="00B56E9C"/>
    <w:rsid w:val="00B57B24"/>
    <w:rsid w:val="00B6456D"/>
    <w:rsid w:val="00B64B1F"/>
    <w:rsid w:val="00B6553F"/>
    <w:rsid w:val="00B75138"/>
    <w:rsid w:val="00B7546F"/>
    <w:rsid w:val="00B77509"/>
    <w:rsid w:val="00B77D05"/>
    <w:rsid w:val="00B81206"/>
    <w:rsid w:val="00B815E6"/>
    <w:rsid w:val="00B81E12"/>
    <w:rsid w:val="00B96BD9"/>
    <w:rsid w:val="00BA58C4"/>
    <w:rsid w:val="00BB4879"/>
    <w:rsid w:val="00BB4B40"/>
    <w:rsid w:val="00BC0C48"/>
    <w:rsid w:val="00BC2E43"/>
    <w:rsid w:val="00BC3FA0"/>
    <w:rsid w:val="00BC74E9"/>
    <w:rsid w:val="00BD0C53"/>
    <w:rsid w:val="00BD248D"/>
    <w:rsid w:val="00BD46AE"/>
    <w:rsid w:val="00BD7669"/>
    <w:rsid w:val="00BE01BE"/>
    <w:rsid w:val="00BE0B64"/>
    <w:rsid w:val="00BE760F"/>
    <w:rsid w:val="00BF3713"/>
    <w:rsid w:val="00BF4936"/>
    <w:rsid w:val="00BF68A8"/>
    <w:rsid w:val="00C01A26"/>
    <w:rsid w:val="00C0788C"/>
    <w:rsid w:val="00C11A03"/>
    <w:rsid w:val="00C20895"/>
    <w:rsid w:val="00C22C0C"/>
    <w:rsid w:val="00C30088"/>
    <w:rsid w:val="00C4079E"/>
    <w:rsid w:val="00C4527F"/>
    <w:rsid w:val="00C45850"/>
    <w:rsid w:val="00C463DD"/>
    <w:rsid w:val="00C4724C"/>
    <w:rsid w:val="00C474FA"/>
    <w:rsid w:val="00C629A0"/>
    <w:rsid w:val="00C64629"/>
    <w:rsid w:val="00C745C3"/>
    <w:rsid w:val="00C874ED"/>
    <w:rsid w:val="00C91DE3"/>
    <w:rsid w:val="00C92769"/>
    <w:rsid w:val="00C96DF2"/>
    <w:rsid w:val="00CA4B1E"/>
    <w:rsid w:val="00CB3E03"/>
    <w:rsid w:val="00CC25FB"/>
    <w:rsid w:val="00CC5B52"/>
    <w:rsid w:val="00CC6329"/>
    <w:rsid w:val="00CD24A9"/>
    <w:rsid w:val="00CD4AA6"/>
    <w:rsid w:val="00CE1DAC"/>
    <w:rsid w:val="00CE4A8F"/>
    <w:rsid w:val="00CF1CC3"/>
    <w:rsid w:val="00CF1EDA"/>
    <w:rsid w:val="00D00F64"/>
    <w:rsid w:val="00D01123"/>
    <w:rsid w:val="00D049FD"/>
    <w:rsid w:val="00D2031B"/>
    <w:rsid w:val="00D21F07"/>
    <w:rsid w:val="00D248B6"/>
    <w:rsid w:val="00D25FE2"/>
    <w:rsid w:val="00D34592"/>
    <w:rsid w:val="00D34DAA"/>
    <w:rsid w:val="00D360B9"/>
    <w:rsid w:val="00D42856"/>
    <w:rsid w:val="00D43130"/>
    <w:rsid w:val="00D43252"/>
    <w:rsid w:val="00D44A76"/>
    <w:rsid w:val="00D47EEA"/>
    <w:rsid w:val="00D5238E"/>
    <w:rsid w:val="00D5242F"/>
    <w:rsid w:val="00D56E6F"/>
    <w:rsid w:val="00D670D9"/>
    <w:rsid w:val="00D7019C"/>
    <w:rsid w:val="00D76FB9"/>
    <w:rsid w:val="00D773DF"/>
    <w:rsid w:val="00D81E7F"/>
    <w:rsid w:val="00D85A92"/>
    <w:rsid w:val="00D85E34"/>
    <w:rsid w:val="00D90AD0"/>
    <w:rsid w:val="00D92DEB"/>
    <w:rsid w:val="00D93C58"/>
    <w:rsid w:val="00D95303"/>
    <w:rsid w:val="00D978C6"/>
    <w:rsid w:val="00DA29AA"/>
    <w:rsid w:val="00DA3C1C"/>
    <w:rsid w:val="00DA41F3"/>
    <w:rsid w:val="00DB0577"/>
    <w:rsid w:val="00DB4943"/>
    <w:rsid w:val="00DC22FA"/>
    <w:rsid w:val="00DC2C3F"/>
    <w:rsid w:val="00DC4A1F"/>
    <w:rsid w:val="00DC78E0"/>
    <w:rsid w:val="00DD3A7F"/>
    <w:rsid w:val="00DE11F3"/>
    <w:rsid w:val="00DE6196"/>
    <w:rsid w:val="00DE698E"/>
    <w:rsid w:val="00DE76EE"/>
    <w:rsid w:val="00DF32DD"/>
    <w:rsid w:val="00E038E2"/>
    <w:rsid w:val="00E046DF"/>
    <w:rsid w:val="00E063EF"/>
    <w:rsid w:val="00E07437"/>
    <w:rsid w:val="00E21EC8"/>
    <w:rsid w:val="00E258F9"/>
    <w:rsid w:val="00E27346"/>
    <w:rsid w:val="00E3032F"/>
    <w:rsid w:val="00E30760"/>
    <w:rsid w:val="00E307A6"/>
    <w:rsid w:val="00E32995"/>
    <w:rsid w:val="00E360C3"/>
    <w:rsid w:val="00E36292"/>
    <w:rsid w:val="00E462D1"/>
    <w:rsid w:val="00E50561"/>
    <w:rsid w:val="00E60201"/>
    <w:rsid w:val="00E65C67"/>
    <w:rsid w:val="00E71BC8"/>
    <w:rsid w:val="00E71F55"/>
    <w:rsid w:val="00E7260F"/>
    <w:rsid w:val="00E73F5D"/>
    <w:rsid w:val="00E7609D"/>
    <w:rsid w:val="00E77E4E"/>
    <w:rsid w:val="00E851D9"/>
    <w:rsid w:val="00E85934"/>
    <w:rsid w:val="00E867BB"/>
    <w:rsid w:val="00E949B4"/>
    <w:rsid w:val="00E950B6"/>
    <w:rsid w:val="00E96630"/>
    <w:rsid w:val="00EA0EE2"/>
    <w:rsid w:val="00EA2D92"/>
    <w:rsid w:val="00EA6964"/>
    <w:rsid w:val="00EC16A1"/>
    <w:rsid w:val="00EC277B"/>
    <w:rsid w:val="00EC6B55"/>
    <w:rsid w:val="00ED7084"/>
    <w:rsid w:val="00ED7A2A"/>
    <w:rsid w:val="00EF1D7F"/>
    <w:rsid w:val="00EF292D"/>
    <w:rsid w:val="00F01511"/>
    <w:rsid w:val="00F11522"/>
    <w:rsid w:val="00F12817"/>
    <w:rsid w:val="00F271B7"/>
    <w:rsid w:val="00F27CDE"/>
    <w:rsid w:val="00F30375"/>
    <w:rsid w:val="00F304F1"/>
    <w:rsid w:val="00F31E5F"/>
    <w:rsid w:val="00F41892"/>
    <w:rsid w:val="00F41F10"/>
    <w:rsid w:val="00F45CFD"/>
    <w:rsid w:val="00F45D3F"/>
    <w:rsid w:val="00F45E4C"/>
    <w:rsid w:val="00F46273"/>
    <w:rsid w:val="00F50197"/>
    <w:rsid w:val="00F54004"/>
    <w:rsid w:val="00F57533"/>
    <w:rsid w:val="00F6100A"/>
    <w:rsid w:val="00F719E6"/>
    <w:rsid w:val="00F74B3E"/>
    <w:rsid w:val="00F76067"/>
    <w:rsid w:val="00F8261C"/>
    <w:rsid w:val="00F84CEE"/>
    <w:rsid w:val="00F93781"/>
    <w:rsid w:val="00F95819"/>
    <w:rsid w:val="00FA0B3E"/>
    <w:rsid w:val="00FA7D6D"/>
    <w:rsid w:val="00FB084E"/>
    <w:rsid w:val="00FB613B"/>
    <w:rsid w:val="00FC04FB"/>
    <w:rsid w:val="00FC68B7"/>
    <w:rsid w:val="00FC7358"/>
    <w:rsid w:val="00FD0AD2"/>
    <w:rsid w:val="00FD1547"/>
    <w:rsid w:val="00FD2B5F"/>
    <w:rsid w:val="00FD3CB1"/>
    <w:rsid w:val="00FD3F98"/>
    <w:rsid w:val="00FD4EF4"/>
    <w:rsid w:val="00FE003F"/>
    <w:rsid w:val="00FE106A"/>
    <w:rsid w:val="00FE2FEF"/>
    <w:rsid w:val="00FE3460"/>
    <w:rsid w:val="00FE5192"/>
    <w:rsid w:val="00FF06CE"/>
    <w:rsid w:val="00FF145D"/>
    <w:rsid w:val="00FF344B"/>
    <w:rsid w:val="00FF500E"/>
    <w:rsid w:val="00FF51B2"/>
    <w:rsid w:val="00FF682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8CDC6D"/>
  <w15:docId w15:val="{7E6294AE-B995-4330-8DDC-7552AF69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 w:type="character" w:customStyle="1" w:styleId="SingleTxtGChar">
    <w:name w:val="_ Single Txt_G Char"/>
    <w:link w:val="SingleTxtG"/>
    <w:qFormat/>
    <w:rsid w:val="009766E8"/>
    <w:rPr>
      <w:lang w:eastAsia="en-US"/>
    </w:rPr>
  </w:style>
  <w:style w:type="paragraph" w:customStyle="1" w:styleId="Rom2">
    <w:name w:val="Rom2"/>
    <w:basedOn w:val="SingleTxtG"/>
    <w:semiHidden/>
    <w:rsid w:val="001B6ED7"/>
    <w:pPr>
      <w:numPr>
        <w:numId w:val="28"/>
      </w:numPr>
      <w:tabs>
        <w:tab w:val="clear" w:pos="2160"/>
      </w:tabs>
      <w:ind w:left="2835" w:hanging="39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44348703">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28F1-6F11-4767-A371-7D043940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19</TotalTime>
  <Pages>3</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ECE-ADN-45 eng</cp:lastModifiedBy>
  <cp:revision>12</cp:revision>
  <cp:lastPrinted>2018-03-26T13:46:00Z</cp:lastPrinted>
  <dcterms:created xsi:type="dcterms:W3CDTF">2018-06-28T16:17:00Z</dcterms:created>
  <dcterms:modified xsi:type="dcterms:W3CDTF">2018-06-29T13:24:00Z</dcterms:modified>
</cp:coreProperties>
</file>