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42700" w:rsidRPr="0060174F" w14:paraId="7708FFAF" w14:textId="77777777" w:rsidTr="00B0725B">
        <w:trPr>
          <w:cantSplit/>
          <w:trHeight w:hRule="exact" w:val="851"/>
        </w:trPr>
        <w:tc>
          <w:tcPr>
            <w:tcW w:w="1276" w:type="dxa"/>
            <w:tcBorders>
              <w:bottom w:val="single" w:sz="4" w:space="0" w:color="auto"/>
            </w:tcBorders>
            <w:vAlign w:val="bottom"/>
          </w:tcPr>
          <w:p w14:paraId="6DDFE666" w14:textId="77777777" w:rsidR="00042700" w:rsidRPr="005F08FE" w:rsidRDefault="00042700" w:rsidP="00042700">
            <w:pPr>
              <w:spacing w:after="80"/>
              <w:rPr>
                <w:lang w:val="en-GB"/>
              </w:rPr>
            </w:pPr>
          </w:p>
        </w:tc>
        <w:tc>
          <w:tcPr>
            <w:tcW w:w="2268" w:type="dxa"/>
            <w:tcBorders>
              <w:bottom w:val="single" w:sz="4" w:space="0" w:color="auto"/>
            </w:tcBorders>
            <w:vAlign w:val="bottom"/>
          </w:tcPr>
          <w:p w14:paraId="4196D310" w14:textId="77777777" w:rsidR="00042700" w:rsidRPr="0060174F" w:rsidRDefault="00042700" w:rsidP="00042700">
            <w:pPr>
              <w:spacing w:after="80" w:line="300" w:lineRule="exact"/>
              <w:rPr>
                <w:b/>
                <w:sz w:val="24"/>
                <w:szCs w:val="24"/>
                <w:lang w:val="en-GB"/>
              </w:rPr>
            </w:pPr>
            <w:r w:rsidRPr="0060174F">
              <w:rPr>
                <w:sz w:val="28"/>
                <w:szCs w:val="28"/>
                <w:lang w:val="en-GB"/>
              </w:rPr>
              <w:t>United Nations</w:t>
            </w:r>
          </w:p>
        </w:tc>
        <w:tc>
          <w:tcPr>
            <w:tcW w:w="6095" w:type="dxa"/>
            <w:gridSpan w:val="2"/>
            <w:tcBorders>
              <w:bottom w:val="single" w:sz="4" w:space="0" w:color="auto"/>
            </w:tcBorders>
            <w:vAlign w:val="bottom"/>
          </w:tcPr>
          <w:p w14:paraId="522BD7F7" w14:textId="24FE30D8" w:rsidR="00042700" w:rsidRPr="0060174F" w:rsidRDefault="00042700" w:rsidP="001C1733">
            <w:pPr>
              <w:jc w:val="right"/>
              <w:rPr>
                <w:lang w:val="en-GB"/>
              </w:rPr>
            </w:pPr>
            <w:r w:rsidRPr="0060174F">
              <w:rPr>
                <w:sz w:val="40"/>
                <w:lang w:val="en-GB"/>
              </w:rPr>
              <w:t>ECE</w:t>
            </w:r>
            <w:r w:rsidRPr="0060174F">
              <w:rPr>
                <w:lang w:val="en-GB"/>
              </w:rPr>
              <w:t>/TRANS/</w:t>
            </w:r>
            <w:r w:rsidR="002A7BCE" w:rsidRPr="0060174F">
              <w:rPr>
                <w:lang w:val="en-GB"/>
              </w:rPr>
              <w:t>27</w:t>
            </w:r>
            <w:r w:rsidR="001C1733" w:rsidRPr="0060174F">
              <w:rPr>
                <w:lang w:val="en-GB"/>
              </w:rPr>
              <w:t>4</w:t>
            </w:r>
            <w:r w:rsidR="008138F2" w:rsidRPr="0060174F">
              <w:rPr>
                <w:lang w:val="en-GB"/>
              </w:rPr>
              <w:t>/Add.1</w:t>
            </w:r>
          </w:p>
        </w:tc>
      </w:tr>
      <w:tr w:rsidR="00042700" w:rsidRPr="0060174F" w14:paraId="30990DFC" w14:textId="77777777" w:rsidTr="00B0725B">
        <w:trPr>
          <w:cantSplit/>
          <w:trHeight w:hRule="exact" w:val="2835"/>
        </w:trPr>
        <w:tc>
          <w:tcPr>
            <w:tcW w:w="1276" w:type="dxa"/>
            <w:tcBorders>
              <w:top w:val="single" w:sz="4" w:space="0" w:color="auto"/>
              <w:bottom w:val="single" w:sz="12" w:space="0" w:color="auto"/>
            </w:tcBorders>
          </w:tcPr>
          <w:p w14:paraId="2F45DE6D" w14:textId="77777777" w:rsidR="00042700" w:rsidRPr="0060174F" w:rsidRDefault="00165234" w:rsidP="00042700">
            <w:pPr>
              <w:spacing w:before="120"/>
              <w:rPr>
                <w:lang w:val="en-GB"/>
              </w:rPr>
            </w:pPr>
            <w:r w:rsidRPr="0060174F">
              <w:rPr>
                <w:noProof/>
                <w:lang w:val="en-GB" w:eastAsia="zh-CN"/>
              </w:rPr>
              <w:drawing>
                <wp:inline distT="0" distB="0" distL="0" distR="0" wp14:anchorId="21DC0506" wp14:editId="10B98495">
                  <wp:extent cx="704850" cy="590550"/>
                  <wp:effectExtent l="0" t="0" r="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72CD32" w14:textId="77777777" w:rsidR="00042700" w:rsidRPr="0060174F" w:rsidRDefault="00042700" w:rsidP="00042700">
            <w:pPr>
              <w:spacing w:before="120" w:line="420" w:lineRule="exact"/>
              <w:rPr>
                <w:sz w:val="40"/>
                <w:szCs w:val="40"/>
                <w:lang w:val="en-GB"/>
              </w:rPr>
            </w:pPr>
            <w:r w:rsidRPr="0060174F">
              <w:rPr>
                <w:b/>
                <w:sz w:val="40"/>
                <w:szCs w:val="40"/>
                <w:lang w:val="en-GB"/>
              </w:rPr>
              <w:t>Economic and Social Council</w:t>
            </w:r>
          </w:p>
        </w:tc>
        <w:tc>
          <w:tcPr>
            <w:tcW w:w="2835" w:type="dxa"/>
            <w:tcBorders>
              <w:top w:val="single" w:sz="4" w:space="0" w:color="auto"/>
              <w:bottom w:val="single" w:sz="12" w:space="0" w:color="auto"/>
            </w:tcBorders>
          </w:tcPr>
          <w:p w14:paraId="1D36C996" w14:textId="77777777" w:rsidR="00042700" w:rsidRPr="0060174F" w:rsidRDefault="00042700" w:rsidP="00042700">
            <w:pPr>
              <w:spacing w:before="240" w:line="240" w:lineRule="exact"/>
              <w:rPr>
                <w:lang w:val="en-GB"/>
              </w:rPr>
            </w:pPr>
            <w:r w:rsidRPr="0060174F">
              <w:rPr>
                <w:lang w:val="en-GB"/>
              </w:rPr>
              <w:t>Distr.: General</w:t>
            </w:r>
          </w:p>
          <w:p w14:paraId="59E051D6" w14:textId="63A80864" w:rsidR="00042700" w:rsidRPr="0060174F" w:rsidRDefault="00002CBC" w:rsidP="006328F3">
            <w:pPr>
              <w:spacing w:line="240" w:lineRule="exact"/>
              <w:rPr>
                <w:lang w:val="en-GB"/>
              </w:rPr>
            </w:pPr>
            <w:r w:rsidRPr="0060174F">
              <w:rPr>
                <w:lang w:val="en-GB"/>
              </w:rPr>
              <w:t>13</w:t>
            </w:r>
            <w:r w:rsidR="006328F3" w:rsidRPr="0060174F">
              <w:rPr>
                <w:lang w:val="en-GB"/>
              </w:rPr>
              <w:t xml:space="preserve"> </w:t>
            </w:r>
            <w:r w:rsidRPr="0060174F">
              <w:rPr>
                <w:lang w:val="en-GB"/>
              </w:rPr>
              <w:t>April</w:t>
            </w:r>
            <w:r w:rsidR="006328F3" w:rsidRPr="0060174F">
              <w:rPr>
                <w:lang w:val="en-GB"/>
              </w:rPr>
              <w:t xml:space="preserve"> </w:t>
            </w:r>
            <w:r w:rsidR="00042700" w:rsidRPr="0060174F">
              <w:rPr>
                <w:lang w:val="en-GB"/>
              </w:rPr>
              <w:t>201</w:t>
            </w:r>
            <w:r w:rsidR="008138F2" w:rsidRPr="0060174F">
              <w:rPr>
                <w:lang w:val="en-GB"/>
              </w:rPr>
              <w:t>8</w:t>
            </w:r>
          </w:p>
          <w:p w14:paraId="0DB0707D" w14:textId="77777777" w:rsidR="00042700" w:rsidRPr="0060174F" w:rsidRDefault="00042700" w:rsidP="00042700">
            <w:pPr>
              <w:spacing w:line="240" w:lineRule="exact"/>
              <w:rPr>
                <w:lang w:val="en-GB"/>
              </w:rPr>
            </w:pPr>
          </w:p>
          <w:p w14:paraId="44D8148C" w14:textId="77777777" w:rsidR="00042700" w:rsidRPr="0060174F" w:rsidRDefault="00042700" w:rsidP="00042700">
            <w:pPr>
              <w:spacing w:line="240" w:lineRule="exact"/>
              <w:rPr>
                <w:lang w:val="en-GB"/>
              </w:rPr>
            </w:pPr>
            <w:r w:rsidRPr="0060174F">
              <w:rPr>
                <w:lang w:val="en-GB"/>
              </w:rPr>
              <w:t>Original: English</w:t>
            </w:r>
          </w:p>
        </w:tc>
      </w:tr>
    </w:tbl>
    <w:p w14:paraId="7ABA4F31" w14:textId="77777777" w:rsidR="00042700" w:rsidRPr="0060174F" w:rsidRDefault="00042700" w:rsidP="00042700">
      <w:pPr>
        <w:spacing w:before="120"/>
        <w:rPr>
          <w:b/>
          <w:bCs/>
          <w:sz w:val="28"/>
          <w:szCs w:val="28"/>
          <w:lang w:val="en-GB"/>
        </w:rPr>
      </w:pPr>
      <w:r w:rsidRPr="0060174F">
        <w:rPr>
          <w:b/>
          <w:bCs/>
          <w:sz w:val="28"/>
          <w:szCs w:val="28"/>
          <w:lang w:val="en-GB"/>
        </w:rPr>
        <w:t>Economic Commission for Europe</w:t>
      </w:r>
    </w:p>
    <w:p w14:paraId="587CF20D" w14:textId="77777777" w:rsidR="00042700" w:rsidRPr="0060174F" w:rsidRDefault="00042700" w:rsidP="00042700">
      <w:pPr>
        <w:spacing w:before="120"/>
        <w:rPr>
          <w:sz w:val="28"/>
          <w:szCs w:val="28"/>
          <w:lang w:val="en-GB"/>
        </w:rPr>
      </w:pPr>
      <w:r w:rsidRPr="0060174F">
        <w:rPr>
          <w:sz w:val="28"/>
          <w:szCs w:val="28"/>
          <w:lang w:val="en-GB"/>
        </w:rPr>
        <w:t>Inland Transport Committee</w:t>
      </w:r>
    </w:p>
    <w:p w14:paraId="4C5EC240" w14:textId="77777777" w:rsidR="00462DF2" w:rsidRPr="0060174F" w:rsidRDefault="00462DF2" w:rsidP="00462DF2">
      <w:pPr>
        <w:spacing w:before="120"/>
        <w:rPr>
          <w:b/>
          <w:bCs/>
          <w:lang w:val="en-GB"/>
        </w:rPr>
      </w:pPr>
      <w:r w:rsidRPr="0060174F">
        <w:rPr>
          <w:b/>
          <w:bCs/>
          <w:lang w:val="en-GB"/>
        </w:rPr>
        <w:t>Eightieth session</w:t>
      </w:r>
    </w:p>
    <w:p w14:paraId="6A4EEFCF" w14:textId="3BABBE7E" w:rsidR="00042700" w:rsidRPr="0060174F" w:rsidRDefault="00462DF2" w:rsidP="00462DF2">
      <w:pPr>
        <w:rPr>
          <w:b/>
          <w:bCs/>
          <w:lang w:val="en-GB"/>
        </w:rPr>
      </w:pPr>
      <w:r w:rsidRPr="0060174F">
        <w:rPr>
          <w:lang w:val="en-GB"/>
        </w:rPr>
        <w:t>Geneva, 20-23 February 2018</w:t>
      </w:r>
    </w:p>
    <w:p w14:paraId="7152BAE1" w14:textId="2707161C" w:rsidR="00E05FD8" w:rsidRPr="0060174F" w:rsidRDefault="00E05FD8" w:rsidP="00111B8E">
      <w:pPr>
        <w:pStyle w:val="HChG"/>
        <w:rPr>
          <w:b w:val="0"/>
          <w:sz w:val="20"/>
          <w:lang w:val="en-GB"/>
        </w:rPr>
      </w:pPr>
      <w:r w:rsidRPr="0060174F">
        <w:rPr>
          <w:color w:val="FF0000"/>
          <w:lang w:val="en-GB"/>
        </w:rPr>
        <w:tab/>
      </w:r>
      <w:r w:rsidR="00F229FE" w:rsidRPr="0060174F">
        <w:rPr>
          <w:color w:val="FF0000"/>
          <w:lang w:val="en-GB"/>
        </w:rPr>
        <w:tab/>
      </w:r>
      <w:r w:rsidR="001C1733" w:rsidRPr="00111B8E">
        <w:t>Report</w:t>
      </w:r>
      <w:r w:rsidR="001C1733" w:rsidRPr="0060174F">
        <w:rPr>
          <w:lang w:val="en-GB"/>
        </w:rPr>
        <w:t xml:space="preserve"> of the Inland Transport Committee </w:t>
      </w:r>
      <w:r w:rsidR="001C1733" w:rsidRPr="0060174F">
        <w:rPr>
          <w:lang w:val="en-GB"/>
        </w:rPr>
        <w:br/>
        <w:t>on its eightieth session</w:t>
      </w:r>
      <w:r w:rsidR="001C1733" w:rsidRPr="0060174F" w:rsidDel="001C1733">
        <w:rPr>
          <w:lang w:val="en-GB"/>
        </w:rPr>
        <w:t xml:space="preserve"> </w:t>
      </w:r>
    </w:p>
    <w:p w14:paraId="620B874E" w14:textId="77777777" w:rsidR="008138F2" w:rsidRPr="0060174F" w:rsidRDefault="008138F2" w:rsidP="008138F2">
      <w:pPr>
        <w:pStyle w:val="H1G"/>
        <w:rPr>
          <w:lang w:val="en-GB"/>
        </w:rPr>
      </w:pPr>
      <w:r w:rsidRPr="0060174F">
        <w:rPr>
          <w:lang w:val="en-GB"/>
        </w:rPr>
        <w:tab/>
      </w:r>
      <w:r w:rsidRPr="0060174F">
        <w:rPr>
          <w:lang w:val="en-GB"/>
        </w:rPr>
        <w:tab/>
        <w:t xml:space="preserve">Addendum </w:t>
      </w:r>
    </w:p>
    <w:p w14:paraId="6F529805" w14:textId="77777777" w:rsidR="008138F2" w:rsidRPr="0060174F" w:rsidRDefault="008138F2" w:rsidP="008138F2">
      <w:pPr>
        <w:spacing w:after="120"/>
        <w:rPr>
          <w:sz w:val="28"/>
          <w:lang w:val="en-GB"/>
        </w:rPr>
      </w:pPr>
      <w:r w:rsidRPr="0060174F">
        <w:rPr>
          <w:sz w:val="28"/>
          <w:lang w:val="en-GB"/>
        </w:rPr>
        <w:t>Contents</w:t>
      </w:r>
    </w:p>
    <w:p w14:paraId="040A51DA" w14:textId="77777777" w:rsidR="008138F2" w:rsidRPr="0060174F" w:rsidRDefault="008138F2" w:rsidP="008138F2">
      <w:pPr>
        <w:tabs>
          <w:tab w:val="right" w:pos="8929"/>
          <w:tab w:val="right" w:pos="9638"/>
        </w:tabs>
        <w:spacing w:after="120"/>
        <w:ind w:left="283"/>
        <w:rPr>
          <w:lang w:val="en-GB"/>
        </w:rPr>
      </w:pPr>
      <w:r w:rsidRPr="0060174F">
        <w:rPr>
          <w:i/>
          <w:sz w:val="18"/>
          <w:lang w:val="en-GB"/>
        </w:rPr>
        <w:tab/>
      </w:r>
      <w:r w:rsidRPr="0060174F">
        <w:rPr>
          <w:i/>
          <w:sz w:val="18"/>
          <w:lang w:val="en-GB"/>
        </w:rPr>
        <w:tab/>
        <w:t>Page</w:t>
      </w:r>
    </w:p>
    <w:p w14:paraId="1AF2D976" w14:textId="6E23ED3D" w:rsidR="008138F2" w:rsidRPr="0060174F" w:rsidRDefault="008138F2" w:rsidP="008138F2">
      <w:pPr>
        <w:tabs>
          <w:tab w:val="right" w:pos="850"/>
          <w:tab w:val="left" w:pos="1134"/>
          <w:tab w:val="left" w:pos="1559"/>
          <w:tab w:val="left" w:pos="1984"/>
          <w:tab w:val="left" w:leader="dot" w:pos="8929"/>
          <w:tab w:val="right" w:pos="9638"/>
        </w:tabs>
        <w:spacing w:after="120"/>
        <w:ind w:left="1134" w:hanging="1134"/>
        <w:rPr>
          <w:lang w:val="en-GB"/>
        </w:rPr>
      </w:pPr>
      <w:r w:rsidRPr="0060174F">
        <w:rPr>
          <w:lang w:val="en-GB"/>
        </w:rPr>
        <w:tab/>
        <w:t>Annexes</w:t>
      </w:r>
    </w:p>
    <w:p w14:paraId="718D3F5C" w14:textId="6A3F6105" w:rsidR="008138F2" w:rsidRPr="0060174F" w:rsidRDefault="008138F2" w:rsidP="008138F2">
      <w:pPr>
        <w:tabs>
          <w:tab w:val="right" w:pos="850"/>
          <w:tab w:val="left" w:pos="1134"/>
          <w:tab w:val="left" w:pos="1559"/>
          <w:tab w:val="left" w:pos="1984"/>
          <w:tab w:val="left" w:leader="dot" w:pos="8929"/>
          <w:tab w:val="right" w:pos="9638"/>
        </w:tabs>
        <w:spacing w:after="120"/>
        <w:ind w:left="1134" w:hanging="1134"/>
        <w:rPr>
          <w:lang w:val="en-GB"/>
        </w:rPr>
      </w:pPr>
      <w:r w:rsidRPr="0060174F">
        <w:rPr>
          <w:lang w:val="en-GB"/>
        </w:rPr>
        <w:tab/>
        <w:t>I.</w:t>
      </w:r>
      <w:r w:rsidRPr="0060174F">
        <w:rPr>
          <w:lang w:val="en-GB"/>
        </w:rPr>
        <w:tab/>
        <w:t>High-level Policy Segment on “Intermodality: The key to sustainable transport and mobility</w:t>
      </w:r>
      <w:r w:rsidRPr="0060174F">
        <w:rPr>
          <w:lang w:val="en-GB"/>
        </w:rPr>
        <w:tab/>
      </w:r>
      <w:r w:rsidRPr="0060174F">
        <w:rPr>
          <w:lang w:val="en-GB"/>
        </w:rPr>
        <w:tab/>
        <w:t>2</w:t>
      </w:r>
    </w:p>
    <w:p w14:paraId="52C48ECD" w14:textId="015E5D96" w:rsidR="008138F2" w:rsidRPr="0060174F" w:rsidRDefault="008138F2" w:rsidP="008138F2">
      <w:pPr>
        <w:tabs>
          <w:tab w:val="right" w:pos="850"/>
          <w:tab w:val="left" w:pos="1134"/>
          <w:tab w:val="left" w:pos="1559"/>
          <w:tab w:val="left" w:pos="1984"/>
          <w:tab w:val="left" w:leader="dot" w:pos="8929"/>
          <w:tab w:val="right" w:pos="9638"/>
        </w:tabs>
        <w:spacing w:after="120"/>
        <w:ind w:left="1134" w:hanging="1134"/>
        <w:rPr>
          <w:lang w:val="en-GB"/>
        </w:rPr>
      </w:pPr>
      <w:r w:rsidRPr="0060174F">
        <w:rPr>
          <w:lang w:val="en-GB"/>
        </w:rPr>
        <w:tab/>
        <w:t>II.</w:t>
      </w:r>
      <w:r w:rsidRPr="0060174F">
        <w:rPr>
          <w:lang w:val="en-GB"/>
        </w:rPr>
        <w:tab/>
        <w:t xml:space="preserve">Report of the eighth meeting of the Chairs of the Committee’s subsidiary bodies and </w:t>
      </w:r>
      <w:r w:rsidRPr="0060174F">
        <w:rPr>
          <w:lang w:val="en-GB"/>
        </w:rPr>
        <w:br/>
        <w:t xml:space="preserve">of Administrative Committees of United Nations legal instruments in transport </w:t>
      </w:r>
      <w:r w:rsidR="002A640B" w:rsidRPr="0060174F">
        <w:rPr>
          <w:lang w:val="en-GB"/>
        </w:rPr>
        <w:tab/>
      </w:r>
      <w:r w:rsidR="00F71B6D" w:rsidRPr="0060174F">
        <w:rPr>
          <w:lang w:val="en-GB"/>
        </w:rPr>
        <w:tab/>
      </w:r>
      <w:r w:rsidR="009159E1" w:rsidRPr="0060174F">
        <w:rPr>
          <w:lang w:val="en-GB"/>
        </w:rPr>
        <w:t>9</w:t>
      </w:r>
    </w:p>
    <w:p w14:paraId="2245D3BB" w14:textId="2734BCA5" w:rsidR="001C1733" w:rsidRPr="0060174F" w:rsidRDefault="001C1733" w:rsidP="001C1733">
      <w:pPr>
        <w:pStyle w:val="H1G"/>
        <w:rPr>
          <w:lang w:val="en-GB"/>
        </w:rPr>
      </w:pPr>
      <w:r w:rsidRPr="0060174F">
        <w:rPr>
          <w:lang w:val="en-GB"/>
        </w:rPr>
        <w:br w:type="page"/>
      </w:r>
    </w:p>
    <w:p w14:paraId="6DD655AF" w14:textId="7FA28478" w:rsidR="008138F2" w:rsidRPr="0060174F" w:rsidRDefault="008138F2" w:rsidP="00111B8E">
      <w:pPr>
        <w:pStyle w:val="HChG"/>
        <w:rPr>
          <w:lang w:val="en-GB"/>
        </w:rPr>
      </w:pPr>
      <w:r w:rsidRPr="0060174F">
        <w:rPr>
          <w:lang w:val="en-GB"/>
        </w:rPr>
        <w:lastRenderedPageBreak/>
        <w:t>Annex I</w:t>
      </w:r>
    </w:p>
    <w:p w14:paraId="52A21CA6" w14:textId="3944B4C5" w:rsidR="008138F2" w:rsidRPr="0060174F" w:rsidRDefault="008138F2" w:rsidP="00111B8E">
      <w:pPr>
        <w:pStyle w:val="HChG"/>
        <w:rPr>
          <w:lang w:val="en-GB"/>
        </w:rPr>
      </w:pPr>
      <w:r w:rsidRPr="0060174F">
        <w:rPr>
          <w:lang w:val="en-GB"/>
        </w:rPr>
        <w:tab/>
      </w:r>
      <w:r w:rsidRPr="0060174F">
        <w:rPr>
          <w:lang w:val="en-GB"/>
        </w:rPr>
        <w:tab/>
      </w:r>
      <w:r w:rsidR="0020317C" w:rsidRPr="0060174F">
        <w:rPr>
          <w:lang w:val="en-GB"/>
        </w:rPr>
        <w:t>High-level Policy Segment on “</w:t>
      </w:r>
      <w:r w:rsidRPr="0060174F">
        <w:rPr>
          <w:lang w:val="en-GB"/>
        </w:rPr>
        <w:t>Intermodality: The key to sustainable transport and mobility</w:t>
      </w:r>
      <w:r w:rsidR="0020317C" w:rsidRPr="0060174F">
        <w:rPr>
          <w:lang w:val="en-GB"/>
        </w:rPr>
        <w:t>”</w:t>
      </w:r>
    </w:p>
    <w:p w14:paraId="3031F2BC" w14:textId="77777777" w:rsidR="008138F2" w:rsidRPr="0060174F" w:rsidRDefault="008138F2" w:rsidP="00111B8E">
      <w:pPr>
        <w:pStyle w:val="HChG"/>
        <w:rPr>
          <w:lang w:val="en-GB"/>
        </w:rPr>
      </w:pPr>
      <w:r w:rsidRPr="0060174F">
        <w:rPr>
          <w:lang w:val="en-GB"/>
        </w:rPr>
        <w:tab/>
        <w:t>I.</w:t>
      </w:r>
      <w:r w:rsidRPr="0060174F">
        <w:rPr>
          <w:lang w:val="en-GB"/>
        </w:rPr>
        <w:tab/>
        <w:t>Introduction</w:t>
      </w:r>
    </w:p>
    <w:p w14:paraId="0739D564" w14:textId="32B909A0" w:rsidR="008138F2" w:rsidRPr="0060174F" w:rsidRDefault="008138F2" w:rsidP="008138F2">
      <w:pPr>
        <w:pStyle w:val="SingleTxtG"/>
        <w:rPr>
          <w:lang w:val="en-GB"/>
        </w:rPr>
      </w:pPr>
      <w:r w:rsidRPr="0060174F">
        <w:rPr>
          <w:lang w:val="en-GB"/>
        </w:rPr>
        <w:t>1.</w:t>
      </w:r>
      <w:r w:rsidRPr="0060174F">
        <w:rPr>
          <w:lang w:val="en-GB"/>
        </w:rPr>
        <w:tab/>
        <w:t xml:space="preserve">Transport ministers from Africa, Asia, Europe and the Middle East, </w:t>
      </w:r>
      <w:r w:rsidR="00354A48" w:rsidRPr="0060174F">
        <w:rPr>
          <w:lang w:val="en-GB"/>
        </w:rPr>
        <w:t xml:space="preserve">over </w:t>
      </w:r>
      <w:r w:rsidRPr="0060174F">
        <w:rPr>
          <w:lang w:val="en-GB"/>
        </w:rPr>
        <w:t xml:space="preserve">250 participants from 63 countries and the heads of inland transport organizations </w:t>
      </w:r>
      <w:r w:rsidR="00485FBF" w:rsidRPr="0060174F">
        <w:rPr>
          <w:lang w:val="en-GB"/>
        </w:rPr>
        <w:t xml:space="preserve">met at </w:t>
      </w:r>
      <w:r w:rsidRPr="0060174F">
        <w:rPr>
          <w:lang w:val="en-GB"/>
        </w:rPr>
        <w:t xml:space="preserve">the </w:t>
      </w:r>
      <w:r w:rsidR="00485FBF" w:rsidRPr="0060174F">
        <w:rPr>
          <w:lang w:val="en-GB"/>
        </w:rPr>
        <w:t xml:space="preserve">high-level policy segment </w:t>
      </w:r>
      <w:r w:rsidRPr="0060174F">
        <w:rPr>
          <w:lang w:val="en-GB"/>
        </w:rPr>
        <w:t xml:space="preserve">of the eightieth session of the Inland Transport Committee </w:t>
      </w:r>
      <w:r w:rsidR="00B4413B" w:rsidRPr="0060174F">
        <w:rPr>
          <w:lang w:val="en-GB"/>
        </w:rPr>
        <w:t xml:space="preserve">(ITC) </w:t>
      </w:r>
      <w:r w:rsidRPr="0060174F">
        <w:rPr>
          <w:lang w:val="en-GB"/>
        </w:rPr>
        <w:t>on “Intermodality: The key to sustainable transport and mobility” (Salle XII, Palais des Nations, 20 February 2018</w:t>
      </w:r>
      <w:r w:rsidR="00EF47B8" w:rsidRPr="0060174F">
        <w:rPr>
          <w:lang w:val="en-GB"/>
        </w:rPr>
        <w:t>, Geneva</w:t>
      </w:r>
      <w:r w:rsidRPr="0060174F">
        <w:rPr>
          <w:lang w:val="en-GB"/>
        </w:rPr>
        <w:t xml:space="preserve">). </w:t>
      </w:r>
    </w:p>
    <w:p w14:paraId="50BC0E8E" w14:textId="55BEF9B7" w:rsidR="008138F2" w:rsidRPr="0060174F" w:rsidRDefault="008138F2" w:rsidP="008138F2">
      <w:pPr>
        <w:pStyle w:val="HChG"/>
        <w:rPr>
          <w:lang w:val="en-GB"/>
        </w:rPr>
      </w:pPr>
      <w:r w:rsidRPr="0060174F">
        <w:rPr>
          <w:lang w:val="en-GB"/>
        </w:rPr>
        <w:tab/>
        <w:t>II.</w:t>
      </w:r>
      <w:r w:rsidRPr="0060174F">
        <w:rPr>
          <w:lang w:val="en-GB"/>
        </w:rPr>
        <w:tab/>
        <w:t>Opening</w:t>
      </w:r>
    </w:p>
    <w:p w14:paraId="59874463" w14:textId="3497564F" w:rsidR="008138F2" w:rsidRPr="0060174F" w:rsidRDefault="008138F2" w:rsidP="008138F2">
      <w:pPr>
        <w:pStyle w:val="SingleTxtG"/>
        <w:rPr>
          <w:lang w:val="en-GB"/>
        </w:rPr>
      </w:pPr>
      <w:r w:rsidRPr="0060174F">
        <w:rPr>
          <w:lang w:val="en-GB"/>
        </w:rPr>
        <w:t>2.</w:t>
      </w:r>
      <w:r w:rsidRPr="0060174F">
        <w:rPr>
          <w:lang w:val="en-GB"/>
        </w:rPr>
        <w:tab/>
        <w:t>M</w:t>
      </w:r>
      <w:r w:rsidR="009D7E88" w:rsidRPr="0060174F">
        <w:rPr>
          <w:lang w:val="en-GB"/>
        </w:rPr>
        <w:t>s</w:t>
      </w:r>
      <w:r w:rsidRPr="0060174F">
        <w:rPr>
          <w:lang w:val="en-GB"/>
        </w:rPr>
        <w:t xml:space="preserve">. </w:t>
      </w:r>
      <w:r w:rsidR="009D7E88" w:rsidRPr="0060174F">
        <w:rPr>
          <w:lang w:val="en-GB"/>
        </w:rPr>
        <w:t>Olga Algayerova, Executive Secretary</w:t>
      </w:r>
      <w:r w:rsidR="00EF47B8" w:rsidRPr="0060174F">
        <w:rPr>
          <w:lang w:val="en-GB"/>
        </w:rPr>
        <w:t xml:space="preserve"> of </w:t>
      </w:r>
      <w:r w:rsidR="002525A9" w:rsidRPr="0060174F">
        <w:rPr>
          <w:lang w:val="en-GB"/>
        </w:rPr>
        <w:t>ECE</w:t>
      </w:r>
      <w:r w:rsidR="009D7E88" w:rsidRPr="0060174F">
        <w:rPr>
          <w:lang w:val="en-GB"/>
        </w:rPr>
        <w:t xml:space="preserve">, </w:t>
      </w:r>
      <w:r w:rsidRPr="0060174F">
        <w:rPr>
          <w:lang w:val="en-GB"/>
        </w:rPr>
        <w:t>opened the meeting</w:t>
      </w:r>
      <w:r w:rsidR="000D02D6" w:rsidRPr="0060174F">
        <w:rPr>
          <w:lang w:val="en-GB"/>
        </w:rPr>
        <w:t xml:space="preserve"> and launched the road safety policy-making tool </w:t>
      </w:r>
      <w:r w:rsidR="00EF47B8" w:rsidRPr="0060174F">
        <w:rPr>
          <w:lang w:val="en-GB"/>
        </w:rPr>
        <w:t>Safe Future Inland Transport Systems (</w:t>
      </w:r>
      <w:r w:rsidR="000D02D6" w:rsidRPr="0060174F">
        <w:rPr>
          <w:lang w:val="en-GB"/>
        </w:rPr>
        <w:t>SafeFITS</w:t>
      </w:r>
      <w:r w:rsidR="00EF47B8" w:rsidRPr="0060174F">
        <w:rPr>
          <w:lang w:val="en-GB"/>
        </w:rPr>
        <w:t>)</w:t>
      </w:r>
      <w:r w:rsidRPr="0060174F">
        <w:rPr>
          <w:lang w:val="en-GB"/>
        </w:rPr>
        <w:t xml:space="preserve">. Statements followed from </w:t>
      </w:r>
      <w:r w:rsidR="00FE7ED2" w:rsidRPr="0060174F">
        <w:rPr>
          <w:lang w:val="en-GB"/>
        </w:rPr>
        <w:t xml:space="preserve">Mr. </w:t>
      </w:r>
      <w:r w:rsidR="000D02D6" w:rsidRPr="0060174F">
        <w:rPr>
          <w:lang w:val="en-GB"/>
        </w:rPr>
        <w:t>Yuwei Li, Director</w:t>
      </w:r>
      <w:r w:rsidR="00EF47B8" w:rsidRPr="0060174F">
        <w:rPr>
          <w:lang w:val="en-GB"/>
        </w:rPr>
        <w:t xml:space="preserve"> of the </w:t>
      </w:r>
      <w:r w:rsidR="002525A9" w:rsidRPr="0060174F">
        <w:rPr>
          <w:lang w:val="en-GB"/>
        </w:rPr>
        <w:t xml:space="preserve">ECE </w:t>
      </w:r>
      <w:r w:rsidR="000D02D6" w:rsidRPr="0060174F">
        <w:rPr>
          <w:lang w:val="en-GB"/>
        </w:rPr>
        <w:t xml:space="preserve">Sustainable Transport Division, </w:t>
      </w:r>
      <w:r w:rsidR="00FE7ED2" w:rsidRPr="0060174F">
        <w:rPr>
          <w:lang w:val="en-GB"/>
        </w:rPr>
        <w:t xml:space="preserve">Mr. </w:t>
      </w:r>
      <w:r w:rsidR="000D02D6" w:rsidRPr="0060174F">
        <w:rPr>
          <w:lang w:val="en-GB"/>
        </w:rPr>
        <w:t xml:space="preserve">Umberto De </w:t>
      </w:r>
      <w:proofErr w:type="spellStart"/>
      <w:r w:rsidR="000D02D6" w:rsidRPr="0060174F">
        <w:rPr>
          <w:lang w:val="en-GB"/>
        </w:rPr>
        <w:t>Pretto</w:t>
      </w:r>
      <w:proofErr w:type="spellEnd"/>
      <w:r w:rsidR="000D02D6" w:rsidRPr="0060174F">
        <w:rPr>
          <w:lang w:val="en-GB"/>
        </w:rPr>
        <w:t xml:space="preserve">, </w:t>
      </w:r>
      <w:r w:rsidR="002525A9" w:rsidRPr="0060174F">
        <w:rPr>
          <w:lang w:val="en-GB"/>
        </w:rPr>
        <w:t>Secretary-</w:t>
      </w:r>
      <w:r w:rsidR="000D02D6" w:rsidRPr="0060174F">
        <w:rPr>
          <w:lang w:val="en-GB"/>
        </w:rPr>
        <w:t>General</w:t>
      </w:r>
      <w:r w:rsidR="00EF47B8" w:rsidRPr="0060174F">
        <w:rPr>
          <w:lang w:val="en-GB"/>
        </w:rPr>
        <w:t xml:space="preserve"> of the </w:t>
      </w:r>
      <w:r w:rsidR="000D02D6" w:rsidRPr="0060174F">
        <w:rPr>
          <w:lang w:val="en-GB"/>
        </w:rPr>
        <w:t>International Road Transport Union (IRU)</w:t>
      </w:r>
      <w:r w:rsidRPr="0060174F">
        <w:rPr>
          <w:lang w:val="en-GB"/>
        </w:rPr>
        <w:t xml:space="preserve">, and </w:t>
      </w:r>
      <w:r w:rsidR="00FE7ED2" w:rsidRPr="0060174F">
        <w:rPr>
          <w:lang w:val="en-GB"/>
        </w:rPr>
        <w:t xml:space="preserve">Mr. </w:t>
      </w:r>
      <w:r w:rsidR="000D02D6" w:rsidRPr="0060174F">
        <w:rPr>
          <w:lang w:val="en-GB"/>
        </w:rPr>
        <w:t>Jean Todt, United Nations Secretary-General's Special Envoy for Road Safety</w:t>
      </w:r>
      <w:r w:rsidRPr="0060174F">
        <w:rPr>
          <w:lang w:val="en-GB"/>
        </w:rPr>
        <w:t>.</w:t>
      </w:r>
    </w:p>
    <w:p w14:paraId="35576BE6" w14:textId="73F3C606" w:rsidR="008138F2" w:rsidRPr="0060174F" w:rsidRDefault="008138F2" w:rsidP="009D6A21">
      <w:pPr>
        <w:pStyle w:val="SingleTxtG"/>
        <w:rPr>
          <w:lang w:val="en-GB"/>
        </w:rPr>
      </w:pPr>
      <w:r w:rsidRPr="0060174F">
        <w:rPr>
          <w:lang w:val="en-GB"/>
        </w:rPr>
        <w:t>3.</w:t>
      </w:r>
      <w:r w:rsidRPr="0060174F">
        <w:rPr>
          <w:lang w:val="en-GB"/>
        </w:rPr>
        <w:tab/>
      </w:r>
      <w:r w:rsidR="00555CAB" w:rsidRPr="0060174F">
        <w:rPr>
          <w:lang w:val="en-GB"/>
        </w:rPr>
        <w:t xml:space="preserve">SafeFITS was developed by </w:t>
      </w:r>
      <w:r w:rsidR="002525A9" w:rsidRPr="0060174F">
        <w:rPr>
          <w:lang w:val="en-GB"/>
        </w:rPr>
        <w:t>ECE</w:t>
      </w:r>
      <w:r w:rsidR="009D6A21" w:rsidRPr="0060174F">
        <w:rPr>
          <w:lang w:val="en-GB"/>
        </w:rPr>
        <w:t xml:space="preserve"> to </w:t>
      </w:r>
      <w:r w:rsidR="00555CAB" w:rsidRPr="0060174F">
        <w:rPr>
          <w:lang w:val="en-GB"/>
        </w:rPr>
        <w:t xml:space="preserve">improve road safety by </w:t>
      </w:r>
      <w:r w:rsidR="009D6A21" w:rsidRPr="0060174F">
        <w:rPr>
          <w:lang w:val="en-GB"/>
        </w:rPr>
        <w:t>support</w:t>
      </w:r>
      <w:r w:rsidR="00555CAB" w:rsidRPr="0060174F">
        <w:rPr>
          <w:lang w:val="en-GB"/>
        </w:rPr>
        <w:t>ing</w:t>
      </w:r>
      <w:r w:rsidR="009D6A21" w:rsidRPr="0060174F">
        <w:rPr>
          <w:lang w:val="en-GB"/>
        </w:rPr>
        <w:t xml:space="preserve"> knowledge-based decision making in transport policy. </w:t>
      </w:r>
      <w:r w:rsidR="00EF47B8" w:rsidRPr="0060174F">
        <w:rPr>
          <w:lang w:val="en-GB"/>
        </w:rPr>
        <w:t xml:space="preserve">The </w:t>
      </w:r>
      <w:r w:rsidR="009D6A21" w:rsidRPr="0060174F">
        <w:rPr>
          <w:lang w:val="en-GB"/>
        </w:rPr>
        <w:t xml:space="preserve">primary objective is to assist governments and decision makers to identify the most appropriate road safety policies and measures, allowing them to simulate the impact and effectiveness of different </w:t>
      </w:r>
      <w:r w:rsidR="00204215" w:rsidRPr="0060174F">
        <w:rPr>
          <w:lang w:val="en-GB"/>
        </w:rPr>
        <w:t xml:space="preserve">policies </w:t>
      </w:r>
      <w:r w:rsidR="009D6A21" w:rsidRPr="0060174F">
        <w:rPr>
          <w:lang w:val="en-GB"/>
        </w:rPr>
        <w:t xml:space="preserve">based on real-world data. SafeFITS </w:t>
      </w:r>
      <w:r w:rsidR="002525A9" w:rsidRPr="0060174F">
        <w:rPr>
          <w:lang w:val="en-GB"/>
        </w:rPr>
        <w:t xml:space="preserve">was </w:t>
      </w:r>
      <w:r w:rsidR="009D6A21" w:rsidRPr="0060174F">
        <w:rPr>
          <w:lang w:val="en-GB"/>
        </w:rPr>
        <w:t>piloted in Albania and Georgia</w:t>
      </w:r>
      <w:r w:rsidR="00EF47B8" w:rsidRPr="0060174F">
        <w:rPr>
          <w:lang w:val="en-GB"/>
        </w:rPr>
        <w:t xml:space="preserve"> following the </w:t>
      </w:r>
      <w:r w:rsidR="009D6A21" w:rsidRPr="0060174F">
        <w:rPr>
          <w:lang w:val="en-GB"/>
        </w:rPr>
        <w:t xml:space="preserve">draft recommendations of Road Safety Performance Reviews undertaken in </w:t>
      </w:r>
      <w:r w:rsidR="00CC6E56" w:rsidRPr="0060174F">
        <w:rPr>
          <w:lang w:val="en-GB"/>
        </w:rPr>
        <w:t xml:space="preserve">both </w:t>
      </w:r>
      <w:r w:rsidR="009D6A21" w:rsidRPr="0060174F">
        <w:rPr>
          <w:lang w:val="en-GB"/>
        </w:rPr>
        <w:t>countries.</w:t>
      </w:r>
    </w:p>
    <w:p w14:paraId="3E87ABCF" w14:textId="40FAF388" w:rsidR="008138F2" w:rsidRPr="0060174F" w:rsidRDefault="008138F2" w:rsidP="008138F2">
      <w:pPr>
        <w:pStyle w:val="HChG"/>
        <w:rPr>
          <w:lang w:val="en-GB"/>
        </w:rPr>
      </w:pPr>
      <w:r w:rsidRPr="0060174F">
        <w:rPr>
          <w:lang w:val="en-GB"/>
        </w:rPr>
        <w:tab/>
        <w:t>III.</w:t>
      </w:r>
      <w:r w:rsidRPr="0060174F">
        <w:rPr>
          <w:lang w:val="en-GB"/>
        </w:rPr>
        <w:tab/>
      </w:r>
      <w:r w:rsidR="000D02D6" w:rsidRPr="0060174F">
        <w:rPr>
          <w:lang w:val="en-GB"/>
        </w:rPr>
        <w:t>High-level</w:t>
      </w:r>
      <w:r w:rsidRPr="0060174F">
        <w:rPr>
          <w:lang w:val="en-GB"/>
        </w:rPr>
        <w:t xml:space="preserve"> panels</w:t>
      </w:r>
    </w:p>
    <w:p w14:paraId="765D7BE0" w14:textId="41D6641A" w:rsidR="009D6A21" w:rsidRPr="0060174F" w:rsidRDefault="008C29AE" w:rsidP="009D6A21">
      <w:pPr>
        <w:pStyle w:val="SingleTxtG"/>
        <w:rPr>
          <w:lang w:val="en-GB"/>
        </w:rPr>
      </w:pPr>
      <w:r w:rsidRPr="0060174F">
        <w:rPr>
          <w:lang w:val="en-GB"/>
        </w:rPr>
        <w:t>4.</w:t>
      </w:r>
      <w:r w:rsidRPr="0060174F">
        <w:rPr>
          <w:lang w:val="en-GB"/>
        </w:rPr>
        <w:tab/>
      </w:r>
      <w:r w:rsidR="009D6A21" w:rsidRPr="0060174F">
        <w:rPr>
          <w:lang w:val="en-GB"/>
        </w:rPr>
        <w:t xml:space="preserve">The discussions were moderated by </w:t>
      </w:r>
      <w:r w:rsidR="00FE7ED2" w:rsidRPr="0060174F">
        <w:rPr>
          <w:lang w:val="en-GB"/>
        </w:rPr>
        <w:t xml:space="preserve">Mr. </w:t>
      </w:r>
      <w:r w:rsidR="009D6A21" w:rsidRPr="0060174F">
        <w:rPr>
          <w:lang w:val="en-GB"/>
        </w:rPr>
        <w:t xml:space="preserve">Young Tae Kim, </w:t>
      </w:r>
      <w:r w:rsidR="002525A9" w:rsidRPr="0060174F">
        <w:rPr>
          <w:lang w:val="en-GB"/>
        </w:rPr>
        <w:t>Secretary-</w:t>
      </w:r>
      <w:r w:rsidR="009D6A21" w:rsidRPr="0060174F">
        <w:rPr>
          <w:lang w:val="en-GB"/>
        </w:rPr>
        <w:t>General of the International Transport Forum (ITF).</w:t>
      </w:r>
    </w:p>
    <w:p w14:paraId="75D6F498" w14:textId="567F2954" w:rsidR="008138F2" w:rsidRPr="0060174F" w:rsidRDefault="008138F2" w:rsidP="008138F2">
      <w:pPr>
        <w:pStyle w:val="H1G"/>
        <w:rPr>
          <w:lang w:val="en-GB"/>
        </w:rPr>
      </w:pPr>
      <w:r w:rsidRPr="0060174F">
        <w:rPr>
          <w:lang w:val="en-GB"/>
        </w:rPr>
        <w:tab/>
        <w:t>A.</w:t>
      </w:r>
      <w:r w:rsidRPr="0060174F">
        <w:rPr>
          <w:lang w:val="en-GB"/>
        </w:rPr>
        <w:tab/>
        <w:t xml:space="preserve">Panel I: </w:t>
      </w:r>
      <w:r w:rsidR="000D02D6" w:rsidRPr="0060174F">
        <w:rPr>
          <w:lang w:val="en-GB"/>
        </w:rPr>
        <w:t>Intermodality leads to sustainability</w:t>
      </w:r>
    </w:p>
    <w:p w14:paraId="53E81C65" w14:textId="784FC553" w:rsidR="00596178" w:rsidRPr="0060174F" w:rsidRDefault="008C29AE" w:rsidP="00596178">
      <w:pPr>
        <w:pStyle w:val="SingleTxtG"/>
        <w:rPr>
          <w:lang w:val="en-GB"/>
        </w:rPr>
      </w:pPr>
      <w:r w:rsidRPr="0060174F">
        <w:rPr>
          <w:lang w:val="en-GB"/>
        </w:rPr>
        <w:t>5.</w:t>
      </w:r>
      <w:r w:rsidRPr="0060174F">
        <w:rPr>
          <w:lang w:val="en-GB"/>
        </w:rPr>
        <w:tab/>
      </w:r>
      <w:r w:rsidR="00CC6E56" w:rsidRPr="0060174F">
        <w:rPr>
          <w:lang w:val="en-GB"/>
        </w:rPr>
        <w:t xml:space="preserve">Panel I </w:t>
      </w:r>
      <w:r w:rsidR="00596178" w:rsidRPr="0060174F">
        <w:rPr>
          <w:lang w:val="en-GB"/>
        </w:rPr>
        <w:t xml:space="preserve">discussed a holistic approach to sustainable transport and mobility across transport modes </w:t>
      </w:r>
      <w:r w:rsidR="00204215" w:rsidRPr="0060174F">
        <w:rPr>
          <w:lang w:val="en-GB"/>
        </w:rPr>
        <w:t xml:space="preserve">to achieve </w:t>
      </w:r>
      <w:r w:rsidR="00596178" w:rsidRPr="0060174F">
        <w:rPr>
          <w:lang w:val="en-GB"/>
        </w:rPr>
        <w:t xml:space="preserve">the Sustainable Development Goals. Special attention was given to governance, the need for international coordination and harmonization and identifying the distinct advantages of intermodality </w:t>
      </w:r>
      <w:r w:rsidR="00050E04" w:rsidRPr="0060174F">
        <w:rPr>
          <w:lang w:val="en-GB"/>
        </w:rPr>
        <w:t xml:space="preserve">in </w:t>
      </w:r>
      <w:r w:rsidR="00596178" w:rsidRPr="0060174F">
        <w:rPr>
          <w:lang w:val="en-GB"/>
        </w:rPr>
        <w:t xml:space="preserve">single-mode approaches and initiatives. </w:t>
      </w:r>
    </w:p>
    <w:p w14:paraId="30574F21" w14:textId="19333208" w:rsidR="0028527E" w:rsidRPr="0060174F" w:rsidRDefault="008C29AE" w:rsidP="0028527E">
      <w:pPr>
        <w:pStyle w:val="SingleTxtG"/>
        <w:rPr>
          <w:lang w:val="en-GB"/>
        </w:rPr>
      </w:pPr>
      <w:r w:rsidRPr="0060174F">
        <w:rPr>
          <w:lang w:val="en-GB"/>
        </w:rPr>
        <w:t>6.</w:t>
      </w:r>
      <w:r w:rsidRPr="0060174F">
        <w:rPr>
          <w:lang w:val="en-GB"/>
        </w:rPr>
        <w:tab/>
      </w:r>
      <w:r w:rsidR="0028527E" w:rsidRPr="0060174F">
        <w:rPr>
          <w:lang w:val="en-GB"/>
        </w:rPr>
        <w:t xml:space="preserve">Keynote speeches were delivered by </w:t>
      </w:r>
      <w:r w:rsidR="0000080D" w:rsidRPr="0060174F">
        <w:rPr>
          <w:lang w:val="en-GB"/>
        </w:rPr>
        <w:t xml:space="preserve">His Excellency </w:t>
      </w:r>
      <w:r w:rsidR="00FE7ED2" w:rsidRPr="0060174F">
        <w:rPr>
          <w:lang w:val="en-GB"/>
        </w:rPr>
        <w:t xml:space="preserve">Mr. </w:t>
      </w:r>
      <w:r w:rsidR="0028527E" w:rsidRPr="0060174F">
        <w:rPr>
          <w:lang w:val="en-GB"/>
        </w:rPr>
        <w:t xml:space="preserve">Peter </w:t>
      </w:r>
      <w:proofErr w:type="spellStart"/>
      <w:r w:rsidR="0028527E" w:rsidRPr="0060174F">
        <w:rPr>
          <w:lang w:val="en-GB"/>
        </w:rPr>
        <w:t>Gašperšič</w:t>
      </w:r>
      <w:proofErr w:type="spellEnd"/>
      <w:r w:rsidR="0028527E" w:rsidRPr="0060174F">
        <w:rPr>
          <w:lang w:val="en-GB"/>
        </w:rPr>
        <w:t xml:space="preserve">, Minister of Infrastructure of Slovenia and Ms. Maria Magdalena </w:t>
      </w:r>
      <w:proofErr w:type="spellStart"/>
      <w:r w:rsidR="0028527E" w:rsidRPr="0060174F">
        <w:rPr>
          <w:lang w:val="en-GB"/>
        </w:rPr>
        <w:t>Grigore</w:t>
      </w:r>
      <w:proofErr w:type="spellEnd"/>
      <w:r w:rsidR="0028527E" w:rsidRPr="0060174F">
        <w:rPr>
          <w:lang w:val="en-GB"/>
        </w:rPr>
        <w:t xml:space="preserve">, Vice-Minister of Transport of Romania. </w:t>
      </w:r>
      <w:r w:rsidR="002525A9" w:rsidRPr="0060174F">
        <w:rPr>
          <w:lang w:val="en-GB"/>
        </w:rPr>
        <w:t>P</w:t>
      </w:r>
      <w:r w:rsidR="0028527E" w:rsidRPr="0060174F">
        <w:rPr>
          <w:lang w:val="en-GB"/>
        </w:rPr>
        <w:t xml:space="preserve">anel presentations </w:t>
      </w:r>
      <w:r w:rsidR="002525A9" w:rsidRPr="0060174F">
        <w:rPr>
          <w:lang w:val="en-GB"/>
        </w:rPr>
        <w:t xml:space="preserve">followed </w:t>
      </w:r>
      <w:r w:rsidR="0028527E" w:rsidRPr="0060174F">
        <w:rPr>
          <w:lang w:val="en-GB"/>
        </w:rPr>
        <w:t xml:space="preserve">from </w:t>
      </w:r>
      <w:r w:rsidR="00FE7ED2" w:rsidRPr="0060174F">
        <w:rPr>
          <w:lang w:val="en-GB"/>
        </w:rPr>
        <w:t xml:space="preserve">Mr. </w:t>
      </w:r>
      <w:r w:rsidR="0028527E" w:rsidRPr="0060174F">
        <w:rPr>
          <w:lang w:val="en-GB"/>
        </w:rPr>
        <w:t>Matthew Baldwin, Depu</w:t>
      </w:r>
      <w:r w:rsidR="00A14410" w:rsidRPr="0060174F">
        <w:rPr>
          <w:lang w:val="en-GB"/>
        </w:rPr>
        <w:t>ty Director General, Directorate-General for Mobility and Transport (DG MOVE), European</w:t>
      </w:r>
      <w:r w:rsidR="0028527E" w:rsidRPr="0060174F">
        <w:rPr>
          <w:lang w:val="en-GB"/>
        </w:rPr>
        <w:t xml:space="preserve"> Commission</w:t>
      </w:r>
      <w:r w:rsidR="002525A9" w:rsidRPr="0060174F">
        <w:rPr>
          <w:lang w:val="en-GB"/>
        </w:rPr>
        <w:t xml:space="preserve">; </w:t>
      </w:r>
      <w:r w:rsidR="00FE7ED2" w:rsidRPr="0060174F">
        <w:rPr>
          <w:lang w:val="en-GB"/>
        </w:rPr>
        <w:t xml:space="preserve">Mr. </w:t>
      </w:r>
      <w:r w:rsidR="0028527E" w:rsidRPr="0060174F">
        <w:rPr>
          <w:lang w:val="en-GB"/>
        </w:rPr>
        <w:t xml:space="preserve">Jean Todt, United Nations Secretary-General's Special Envoy for Road Safety, </w:t>
      </w:r>
      <w:r w:rsidR="00FE7ED2" w:rsidRPr="0060174F">
        <w:rPr>
          <w:lang w:val="en-GB"/>
        </w:rPr>
        <w:t xml:space="preserve">Mr. </w:t>
      </w:r>
      <w:r w:rsidR="0028527E" w:rsidRPr="0060174F">
        <w:rPr>
          <w:lang w:val="en-GB"/>
        </w:rPr>
        <w:t xml:space="preserve">Jean-Pierre </w:t>
      </w:r>
      <w:proofErr w:type="spellStart"/>
      <w:r w:rsidR="0028527E" w:rsidRPr="0060174F">
        <w:rPr>
          <w:lang w:val="en-GB"/>
        </w:rPr>
        <w:t>Loubinoux</w:t>
      </w:r>
      <w:proofErr w:type="spellEnd"/>
      <w:r w:rsidR="0028527E" w:rsidRPr="0060174F">
        <w:rPr>
          <w:lang w:val="en-GB"/>
        </w:rPr>
        <w:t>, Director-General, International Union of Railways (UIC) and Ms. Nancy Vandycke, Coordinator, Sustainable Mobility for All (SuM4All), World Bank.</w:t>
      </w:r>
    </w:p>
    <w:p w14:paraId="41981FDB" w14:textId="16CA8E5A" w:rsidR="0028527E" w:rsidRPr="0060174F" w:rsidRDefault="0028527E" w:rsidP="00015E74">
      <w:pPr>
        <w:pStyle w:val="SingleTxtG"/>
        <w:keepNext/>
        <w:keepLines/>
        <w:ind w:left="1138" w:right="1138"/>
        <w:rPr>
          <w:lang w:val="en-GB"/>
        </w:rPr>
      </w:pPr>
      <w:bookmarkStart w:id="0" w:name="_GoBack"/>
      <w:r w:rsidRPr="0060174F">
        <w:rPr>
          <w:lang w:val="en-GB"/>
        </w:rPr>
        <w:lastRenderedPageBreak/>
        <w:t>7.</w:t>
      </w:r>
      <w:r w:rsidRPr="0060174F">
        <w:rPr>
          <w:lang w:val="en-GB"/>
        </w:rPr>
        <w:tab/>
        <w:t>Interventions followed from:</w:t>
      </w:r>
    </w:p>
    <w:bookmarkEnd w:id="0"/>
    <w:p w14:paraId="3461816D" w14:textId="64EF142C" w:rsidR="0028527E" w:rsidRPr="0060174F" w:rsidRDefault="0028527E" w:rsidP="0028527E">
      <w:pPr>
        <w:pStyle w:val="SingleTxtG"/>
        <w:ind w:left="2127" w:hanging="426"/>
        <w:rPr>
          <w:lang w:val="en-GB"/>
        </w:rPr>
      </w:pPr>
      <w:r w:rsidRPr="0060174F">
        <w:rPr>
          <w:lang w:val="en-GB"/>
        </w:rPr>
        <w:t>•</w:t>
      </w:r>
      <w:r w:rsidRPr="0060174F">
        <w:rPr>
          <w:lang w:val="en-GB"/>
        </w:rPr>
        <w:tab/>
      </w:r>
      <w:r w:rsidR="006529FB" w:rsidRPr="0060174F">
        <w:rPr>
          <w:lang w:val="en-GB"/>
        </w:rPr>
        <w:t xml:space="preserve">Her Excellency </w:t>
      </w:r>
      <w:r w:rsidR="000C58F8" w:rsidRPr="0060174F">
        <w:rPr>
          <w:lang w:val="en-GB"/>
        </w:rPr>
        <w:t>Ambassador</w:t>
      </w:r>
      <w:r w:rsidR="000C58F8" w:rsidRPr="0060174F" w:rsidDel="000C58F8">
        <w:rPr>
          <w:lang w:val="en-GB"/>
        </w:rPr>
        <w:t xml:space="preserve"> </w:t>
      </w:r>
      <w:r w:rsidRPr="0060174F">
        <w:rPr>
          <w:lang w:val="en-GB"/>
        </w:rPr>
        <w:t xml:space="preserve">Elisabeth Laurin, Permanent Representative of France; </w:t>
      </w:r>
    </w:p>
    <w:p w14:paraId="15B358B9" w14:textId="24751473" w:rsidR="00555CAB" w:rsidRPr="0060174F" w:rsidRDefault="0028527E" w:rsidP="0028527E">
      <w:pPr>
        <w:pStyle w:val="SingleTxtG"/>
        <w:ind w:left="2127" w:hanging="426"/>
        <w:rPr>
          <w:lang w:val="en-GB"/>
        </w:rPr>
      </w:pPr>
      <w:r w:rsidRPr="0060174F">
        <w:rPr>
          <w:lang w:val="en-GB"/>
        </w:rPr>
        <w:t>•</w:t>
      </w:r>
      <w:r w:rsidRPr="0060174F">
        <w:rPr>
          <w:lang w:val="en-GB"/>
        </w:rPr>
        <w:tab/>
      </w:r>
      <w:r w:rsidR="006529FB" w:rsidRPr="0060174F">
        <w:rPr>
          <w:lang w:val="en-GB"/>
        </w:rPr>
        <w:t xml:space="preserve">His Excellency </w:t>
      </w:r>
      <w:r w:rsidR="000C58F8" w:rsidRPr="0060174F">
        <w:rPr>
          <w:lang w:val="en-GB"/>
        </w:rPr>
        <w:t>Ambassador</w:t>
      </w:r>
      <w:r w:rsidR="000C58F8" w:rsidRPr="0060174F" w:rsidDel="000C58F8">
        <w:rPr>
          <w:lang w:val="en-GB"/>
        </w:rPr>
        <w:t xml:space="preserve"> </w:t>
      </w:r>
      <w:r w:rsidRPr="0060174F">
        <w:rPr>
          <w:lang w:val="en-GB"/>
        </w:rPr>
        <w:t xml:space="preserve">Ulrich </w:t>
      </w:r>
      <w:proofErr w:type="spellStart"/>
      <w:r w:rsidRPr="0060174F">
        <w:rPr>
          <w:lang w:val="en-GB"/>
        </w:rPr>
        <w:t>Seidenberger</w:t>
      </w:r>
      <w:proofErr w:type="spellEnd"/>
      <w:r w:rsidRPr="0060174F">
        <w:rPr>
          <w:lang w:val="en-GB"/>
        </w:rPr>
        <w:t>, Deputy Permanent Representative of Germany</w:t>
      </w:r>
      <w:r w:rsidR="00FF3BC7" w:rsidRPr="0060174F">
        <w:rPr>
          <w:lang w:val="en-GB"/>
        </w:rPr>
        <w:t>;</w:t>
      </w:r>
    </w:p>
    <w:p w14:paraId="1C5F613D" w14:textId="43A90A9C" w:rsidR="00555CAB" w:rsidRPr="0060174F" w:rsidRDefault="0028527E" w:rsidP="0028527E">
      <w:pPr>
        <w:pStyle w:val="SingleTxtG"/>
        <w:ind w:left="2127" w:hanging="426"/>
        <w:rPr>
          <w:lang w:val="en-GB"/>
        </w:rPr>
      </w:pPr>
      <w:r w:rsidRPr="0060174F">
        <w:rPr>
          <w:lang w:val="en-GB"/>
        </w:rPr>
        <w:t>•</w:t>
      </w:r>
      <w:r w:rsidRPr="0060174F">
        <w:rPr>
          <w:lang w:val="en-GB"/>
        </w:rPr>
        <w:tab/>
      </w:r>
      <w:r w:rsidR="00FE7ED2" w:rsidRPr="0060174F">
        <w:rPr>
          <w:lang w:val="en-GB"/>
        </w:rPr>
        <w:t xml:space="preserve">Mr. </w:t>
      </w:r>
      <w:r w:rsidRPr="0060174F">
        <w:rPr>
          <w:lang w:val="en-GB"/>
        </w:rPr>
        <w:t>Sergey Andreev, Deputy Director, International Cooperation Department, Ministry of Transport of the Russian Federation</w:t>
      </w:r>
      <w:r w:rsidR="00FF3BC7" w:rsidRPr="0060174F">
        <w:rPr>
          <w:lang w:val="en-GB"/>
        </w:rPr>
        <w:t>;</w:t>
      </w:r>
    </w:p>
    <w:p w14:paraId="12222533" w14:textId="390B3F47" w:rsidR="00555CAB" w:rsidRPr="0060174F" w:rsidRDefault="0028527E" w:rsidP="0028527E">
      <w:pPr>
        <w:pStyle w:val="SingleTxtG"/>
        <w:ind w:left="2127" w:hanging="426"/>
        <w:rPr>
          <w:lang w:val="en-GB"/>
        </w:rPr>
      </w:pPr>
      <w:r w:rsidRPr="0060174F">
        <w:rPr>
          <w:lang w:val="en-GB"/>
        </w:rPr>
        <w:t>•</w:t>
      </w:r>
      <w:r w:rsidRPr="0060174F">
        <w:rPr>
          <w:lang w:val="en-GB"/>
        </w:rPr>
        <w:tab/>
        <w:t xml:space="preserve">Ms. Ermelinda </w:t>
      </w:r>
      <w:proofErr w:type="spellStart"/>
      <w:r w:rsidRPr="0060174F">
        <w:rPr>
          <w:lang w:val="en-GB"/>
        </w:rPr>
        <w:t>Meksi</w:t>
      </w:r>
      <w:proofErr w:type="spellEnd"/>
      <w:r w:rsidRPr="0060174F">
        <w:rPr>
          <w:lang w:val="en-GB"/>
        </w:rPr>
        <w:t>, Deputy Coordinator, Economic and Environmental Activities</w:t>
      </w:r>
      <w:r w:rsidR="00A14410" w:rsidRPr="0060174F">
        <w:rPr>
          <w:lang w:val="en-GB"/>
        </w:rPr>
        <w:t>, Organization for Security and Cooperation in Europe (</w:t>
      </w:r>
      <w:bookmarkStart w:id="1" w:name="hit1"/>
      <w:bookmarkEnd w:id="1"/>
      <w:r w:rsidR="00A14410" w:rsidRPr="0060174F">
        <w:rPr>
          <w:lang w:val="en-GB"/>
        </w:rPr>
        <w:t>OSCE)</w:t>
      </w:r>
      <w:r w:rsidR="00FF3BC7" w:rsidRPr="0060174F">
        <w:rPr>
          <w:lang w:val="en-GB"/>
        </w:rPr>
        <w:t>;</w:t>
      </w:r>
    </w:p>
    <w:p w14:paraId="42F9C64E" w14:textId="3A1927AD" w:rsidR="00555CAB" w:rsidRPr="0060174F" w:rsidRDefault="0028527E" w:rsidP="0028527E">
      <w:pPr>
        <w:pStyle w:val="SingleTxtG"/>
        <w:ind w:left="2127" w:hanging="426"/>
        <w:rPr>
          <w:lang w:val="en-GB"/>
        </w:rPr>
      </w:pPr>
      <w:r w:rsidRPr="0060174F">
        <w:rPr>
          <w:lang w:val="en-GB"/>
        </w:rPr>
        <w:t>•</w:t>
      </w:r>
      <w:r w:rsidRPr="0060174F">
        <w:rPr>
          <w:lang w:val="en-GB"/>
        </w:rPr>
        <w:tab/>
      </w:r>
      <w:r w:rsidR="00FE7ED2" w:rsidRPr="0060174F">
        <w:rPr>
          <w:lang w:val="en-GB"/>
        </w:rPr>
        <w:t xml:space="preserve">Mr. </w:t>
      </w:r>
      <w:r w:rsidRPr="0060174F">
        <w:rPr>
          <w:lang w:val="en-GB"/>
        </w:rPr>
        <w:t xml:space="preserve">Tadeusz </w:t>
      </w:r>
      <w:proofErr w:type="spellStart"/>
      <w:r w:rsidRPr="0060174F">
        <w:rPr>
          <w:lang w:val="en-GB"/>
        </w:rPr>
        <w:t>Szozda</w:t>
      </w:r>
      <w:proofErr w:type="spellEnd"/>
      <w:r w:rsidRPr="0060174F">
        <w:rPr>
          <w:lang w:val="en-GB"/>
        </w:rPr>
        <w:t xml:space="preserve">, </w:t>
      </w:r>
      <w:r w:rsidR="000C58F8" w:rsidRPr="0060174F">
        <w:rPr>
          <w:lang w:val="en-GB"/>
        </w:rPr>
        <w:t xml:space="preserve">Chair, Committee of the </w:t>
      </w:r>
      <w:r w:rsidR="004E1979" w:rsidRPr="0060174F">
        <w:rPr>
          <w:lang w:val="en-GB"/>
        </w:rPr>
        <w:t>Organization for Cooperation between Railways (OSJD)</w:t>
      </w:r>
      <w:r w:rsidR="00FF3BC7" w:rsidRPr="0060174F">
        <w:rPr>
          <w:lang w:val="en-GB"/>
        </w:rPr>
        <w:t>;</w:t>
      </w:r>
    </w:p>
    <w:p w14:paraId="4E6412EF" w14:textId="76B89856" w:rsidR="00B0076E" w:rsidRPr="0060174F" w:rsidRDefault="0028527E" w:rsidP="00355D88">
      <w:pPr>
        <w:pStyle w:val="SingleTxtG"/>
        <w:ind w:left="2127" w:hanging="426"/>
        <w:rPr>
          <w:lang w:val="en-GB"/>
        </w:rPr>
      </w:pPr>
      <w:r w:rsidRPr="0060174F">
        <w:rPr>
          <w:lang w:val="en-GB"/>
        </w:rPr>
        <w:t>•</w:t>
      </w:r>
      <w:r w:rsidRPr="0060174F">
        <w:rPr>
          <w:lang w:val="en-GB"/>
        </w:rPr>
        <w:tab/>
      </w:r>
      <w:r w:rsidR="00FE7ED2" w:rsidRPr="0060174F">
        <w:rPr>
          <w:lang w:val="en-GB"/>
        </w:rPr>
        <w:t xml:space="preserve">Mr. </w:t>
      </w:r>
      <w:r w:rsidRPr="0060174F">
        <w:rPr>
          <w:lang w:val="en-GB"/>
        </w:rPr>
        <w:t xml:space="preserve">François </w:t>
      </w:r>
      <w:proofErr w:type="spellStart"/>
      <w:r w:rsidRPr="0060174F">
        <w:rPr>
          <w:lang w:val="en-GB"/>
        </w:rPr>
        <w:t>Davenne</w:t>
      </w:r>
      <w:proofErr w:type="spellEnd"/>
      <w:r w:rsidRPr="0060174F">
        <w:rPr>
          <w:lang w:val="en-GB"/>
        </w:rPr>
        <w:t xml:space="preserve">, </w:t>
      </w:r>
      <w:r w:rsidR="002525A9" w:rsidRPr="0060174F">
        <w:rPr>
          <w:lang w:val="en-GB"/>
        </w:rPr>
        <w:t>Secretary-</w:t>
      </w:r>
      <w:r w:rsidRPr="0060174F">
        <w:rPr>
          <w:lang w:val="en-GB"/>
        </w:rPr>
        <w:t xml:space="preserve">General, </w:t>
      </w:r>
      <w:r w:rsidR="00103317" w:rsidRPr="0060174F">
        <w:rPr>
          <w:lang w:val="en-GB"/>
        </w:rPr>
        <w:t>Intergovernmental Organization for International Carriage by Rail (OTIF)</w:t>
      </w:r>
      <w:r w:rsidRPr="0060174F">
        <w:rPr>
          <w:lang w:val="en-GB"/>
        </w:rPr>
        <w:t>.</w:t>
      </w:r>
    </w:p>
    <w:p w14:paraId="7A3AAAED" w14:textId="75B1C808" w:rsidR="008138F2" w:rsidRPr="0060174F" w:rsidRDefault="008138F2" w:rsidP="008138F2">
      <w:pPr>
        <w:pStyle w:val="H1G"/>
        <w:rPr>
          <w:lang w:val="en-GB"/>
        </w:rPr>
      </w:pPr>
      <w:r w:rsidRPr="0060174F">
        <w:rPr>
          <w:lang w:val="en-GB"/>
        </w:rPr>
        <w:tab/>
        <w:t>B.</w:t>
      </w:r>
      <w:r w:rsidRPr="0060174F">
        <w:rPr>
          <w:lang w:val="en-GB"/>
        </w:rPr>
        <w:tab/>
        <w:t xml:space="preserve">Panel II: </w:t>
      </w:r>
      <w:r w:rsidR="000D02D6" w:rsidRPr="0060174F">
        <w:rPr>
          <w:lang w:val="en-GB"/>
        </w:rPr>
        <w:t>Intermodal freight transport and connectivity</w:t>
      </w:r>
    </w:p>
    <w:p w14:paraId="1638A9AE" w14:textId="7AE80FB6" w:rsidR="0028527E" w:rsidRPr="0060174F" w:rsidRDefault="008C29AE" w:rsidP="000D02D6">
      <w:pPr>
        <w:pStyle w:val="SingleTxtG"/>
        <w:rPr>
          <w:lang w:val="en-GB"/>
        </w:rPr>
      </w:pPr>
      <w:r w:rsidRPr="0060174F">
        <w:rPr>
          <w:lang w:val="en-GB"/>
        </w:rPr>
        <w:t>8.</w:t>
      </w:r>
      <w:r w:rsidRPr="0060174F">
        <w:rPr>
          <w:lang w:val="en-GB"/>
        </w:rPr>
        <w:tab/>
      </w:r>
      <w:r w:rsidR="0028527E" w:rsidRPr="0060174F">
        <w:rPr>
          <w:lang w:val="en-GB"/>
        </w:rPr>
        <w:t>Panel II reviewed innovative solutions aimed at facilitating trade and optimizing inland transport vehicle movements and logistics operations across various modes</w:t>
      </w:r>
      <w:r w:rsidR="006E49AE" w:rsidRPr="0060174F">
        <w:rPr>
          <w:lang w:val="en-GB"/>
        </w:rPr>
        <w:t>,</w:t>
      </w:r>
      <w:r w:rsidR="0028527E" w:rsidRPr="0060174F">
        <w:rPr>
          <w:lang w:val="en-GB"/>
        </w:rPr>
        <w:t xml:space="preserve"> internationally and at the city level. </w:t>
      </w:r>
    </w:p>
    <w:p w14:paraId="049D7F3A" w14:textId="583F0B73" w:rsidR="0028527E" w:rsidRPr="0060174F" w:rsidRDefault="008C29AE" w:rsidP="0028527E">
      <w:pPr>
        <w:pStyle w:val="SingleTxtG"/>
        <w:rPr>
          <w:lang w:val="en-GB"/>
        </w:rPr>
      </w:pPr>
      <w:r w:rsidRPr="0060174F">
        <w:rPr>
          <w:lang w:val="en-GB"/>
        </w:rPr>
        <w:t>9.</w:t>
      </w:r>
      <w:r w:rsidRPr="0060174F">
        <w:rPr>
          <w:lang w:val="en-GB"/>
        </w:rPr>
        <w:tab/>
      </w:r>
      <w:r w:rsidR="0028527E" w:rsidRPr="0060174F">
        <w:rPr>
          <w:lang w:val="en-GB"/>
        </w:rPr>
        <w:t xml:space="preserve">Keynote speeches were delivered by </w:t>
      </w:r>
      <w:r w:rsidR="0000080D" w:rsidRPr="0060174F">
        <w:rPr>
          <w:lang w:val="en-GB"/>
        </w:rPr>
        <w:t xml:space="preserve">His Excellency </w:t>
      </w:r>
      <w:r w:rsidR="00FE7ED2" w:rsidRPr="0060174F">
        <w:rPr>
          <w:lang w:val="en-GB"/>
        </w:rPr>
        <w:t xml:space="preserve">Mr. </w:t>
      </w:r>
      <w:r w:rsidR="0028527E" w:rsidRPr="0060174F">
        <w:rPr>
          <w:lang w:val="en-GB"/>
        </w:rPr>
        <w:t xml:space="preserve">Abdalla Mohamed Obaid </w:t>
      </w:r>
      <w:proofErr w:type="spellStart"/>
      <w:r w:rsidR="0028527E" w:rsidRPr="0060174F">
        <w:rPr>
          <w:lang w:val="en-GB"/>
        </w:rPr>
        <w:t>Balhaif</w:t>
      </w:r>
      <w:proofErr w:type="spellEnd"/>
      <w:r w:rsidR="0028527E" w:rsidRPr="0060174F">
        <w:rPr>
          <w:lang w:val="en-GB"/>
        </w:rPr>
        <w:t xml:space="preserve"> </w:t>
      </w:r>
      <w:proofErr w:type="spellStart"/>
      <w:r w:rsidR="0028527E" w:rsidRPr="0060174F">
        <w:rPr>
          <w:lang w:val="en-GB"/>
        </w:rPr>
        <w:t>Alnuaimi</w:t>
      </w:r>
      <w:proofErr w:type="spellEnd"/>
      <w:r w:rsidR="0028527E" w:rsidRPr="0060174F">
        <w:rPr>
          <w:lang w:val="en-GB"/>
        </w:rPr>
        <w:t xml:space="preserve">, Minister of Infrastructure Development of the United Arab Emirates and </w:t>
      </w:r>
      <w:r w:rsidR="00FE7ED2" w:rsidRPr="0060174F">
        <w:rPr>
          <w:lang w:val="en-GB"/>
        </w:rPr>
        <w:t xml:space="preserve">Mr. </w:t>
      </w:r>
      <w:proofErr w:type="spellStart"/>
      <w:r w:rsidR="0028527E" w:rsidRPr="0060174F">
        <w:rPr>
          <w:lang w:val="en-GB"/>
        </w:rPr>
        <w:t>Jumageldi</w:t>
      </w:r>
      <w:proofErr w:type="spellEnd"/>
      <w:r w:rsidR="0028527E" w:rsidRPr="0060174F">
        <w:rPr>
          <w:lang w:val="en-GB"/>
        </w:rPr>
        <w:t xml:space="preserve"> </w:t>
      </w:r>
      <w:proofErr w:type="spellStart"/>
      <w:r w:rsidR="0028527E" w:rsidRPr="0060174F">
        <w:rPr>
          <w:lang w:val="en-GB"/>
        </w:rPr>
        <w:t>Garayev</w:t>
      </w:r>
      <w:proofErr w:type="spellEnd"/>
      <w:r w:rsidR="0028527E" w:rsidRPr="0060174F">
        <w:rPr>
          <w:lang w:val="en-GB"/>
        </w:rPr>
        <w:t xml:space="preserve">, Deputy Minister of Motor Transport of Turkmenistan. </w:t>
      </w:r>
      <w:r w:rsidR="000C58F8" w:rsidRPr="0060174F">
        <w:rPr>
          <w:lang w:val="en-GB"/>
        </w:rPr>
        <w:t xml:space="preserve">Panel </w:t>
      </w:r>
      <w:r w:rsidR="0028527E" w:rsidRPr="0060174F">
        <w:rPr>
          <w:lang w:val="en-GB"/>
        </w:rPr>
        <w:t xml:space="preserve">presentations </w:t>
      </w:r>
      <w:r w:rsidR="000C58F8" w:rsidRPr="0060174F">
        <w:rPr>
          <w:lang w:val="en-GB"/>
        </w:rPr>
        <w:t xml:space="preserve">followed </w:t>
      </w:r>
      <w:r w:rsidR="0028527E" w:rsidRPr="0060174F">
        <w:rPr>
          <w:lang w:val="en-GB"/>
        </w:rPr>
        <w:t xml:space="preserve">from </w:t>
      </w:r>
      <w:r w:rsidR="00FE7ED2" w:rsidRPr="0060174F">
        <w:rPr>
          <w:lang w:val="en-GB"/>
        </w:rPr>
        <w:t xml:space="preserve">Mr. </w:t>
      </w:r>
      <w:r w:rsidR="0028527E" w:rsidRPr="0060174F">
        <w:rPr>
          <w:lang w:val="en-GB"/>
        </w:rPr>
        <w:t xml:space="preserve">Sandagdorj Erdenebileg, Chief, </w:t>
      </w:r>
      <w:r w:rsidR="00012893" w:rsidRPr="0060174F">
        <w:rPr>
          <w:lang w:val="en-GB"/>
        </w:rPr>
        <w:t>United Nations Office of the High Representative for the Least Developed Countries, Landlocked Developing Countries and Small Island Developing States (UN-OHRLLS)</w:t>
      </w:r>
      <w:r w:rsidR="000C58F8" w:rsidRPr="0060174F">
        <w:rPr>
          <w:lang w:val="en-GB"/>
        </w:rPr>
        <w:t>;</w:t>
      </w:r>
      <w:r w:rsidR="0028527E" w:rsidRPr="0060174F">
        <w:rPr>
          <w:lang w:val="en-GB"/>
        </w:rPr>
        <w:t xml:space="preserve"> </w:t>
      </w:r>
      <w:r w:rsidR="00FE7ED2" w:rsidRPr="0060174F">
        <w:rPr>
          <w:lang w:val="en-GB"/>
        </w:rPr>
        <w:t xml:space="preserve">Mr. </w:t>
      </w:r>
      <w:r w:rsidR="0028527E" w:rsidRPr="0060174F">
        <w:rPr>
          <w:lang w:val="en-GB"/>
        </w:rPr>
        <w:t xml:space="preserve">Umberto De </w:t>
      </w:r>
      <w:proofErr w:type="spellStart"/>
      <w:r w:rsidR="0028527E" w:rsidRPr="0060174F">
        <w:rPr>
          <w:lang w:val="en-GB"/>
        </w:rPr>
        <w:t>Pretto</w:t>
      </w:r>
      <w:proofErr w:type="spellEnd"/>
      <w:r w:rsidR="0028527E" w:rsidRPr="0060174F">
        <w:rPr>
          <w:lang w:val="en-GB"/>
        </w:rPr>
        <w:t xml:space="preserve">, </w:t>
      </w:r>
      <w:r w:rsidR="000C58F8" w:rsidRPr="0060174F">
        <w:rPr>
          <w:lang w:val="en-GB"/>
        </w:rPr>
        <w:t>Secretary-</w:t>
      </w:r>
      <w:r w:rsidR="0028527E" w:rsidRPr="0060174F">
        <w:rPr>
          <w:lang w:val="en-GB"/>
        </w:rPr>
        <w:t>General, International Road Transport Union (IRU)</w:t>
      </w:r>
      <w:r w:rsidR="000C58F8" w:rsidRPr="0060174F">
        <w:rPr>
          <w:lang w:val="en-GB"/>
        </w:rPr>
        <w:t>;</w:t>
      </w:r>
      <w:r w:rsidR="0028527E" w:rsidRPr="0060174F">
        <w:rPr>
          <w:lang w:val="en-GB"/>
        </w:rPr>
        <w:t xml:space="preserve"> and </w:t>
      </w:r>
      <w:r w:rsidR="00FE7ED2" w:rsidRPr="0060174F">
        <w:rPr>
          <w:lang w:val="en-GB"/>
        </w:rPr>
        <w:t xml:space="preserve">Mr. </w:t>
      </w:r>
      <w:r w:rsidR="0028527E" w:rsidRPr="0060174F">
        <w:rPr>
          <w:lang w:val="en-GB"/>
        </w:rPr>
        <w:t xml:space="preserve">Ralf-Charley Schultze, Chair, </w:t>
      </w:r>
      <w:r w:rsidR="00050E04" w:rsidRPr="0060174F">
        <w:rPr>
          <w:lang w:val="en-GB"/>
        </w:rPr>
        <w:t xml:space="preserve">International Union of Combined Road-Rail Transport Companies </w:t>
      </w:r>
      <w:r w:rsidR="0028527E" w:rsidRPr="0060174F">
        <w:rPr>
          <w:lang w:val="en-GB"/>
        </w:rPr>
        <w:t>(UIRR).</w:t>
      </w:r>
    </w:p>
    <w:p w14:paraId="0266D26B" w14:textId="2FC5B1AD" w:rsidR="0028527E" w:rsidRPr="0060174F" w:rsidRDefault="008C29AE" w:rsidP="0028527E">
      <w:pPr>
        <w:pStyle w:val="SingleTxtG"/>
        <w:rPr>
          <w:lang w:val="en-GB"/>
        </w:rPr>
      </w:pPr>
      <w:r w:rsidRPr="0060174F">
        <w:rPr>
          <w:lang w:val="en-GB"/>
        </w:rPr>
        <w:t>10</w:t>
      </w:r>
      <w:r w:rsidR="0028527E" w:rsidRPr="0060174F">
        <w:rPr>
          <w:lang w:val="en-GB"/>
        </w:rPr>
        <w:t>.</w:t>
      </w:r>
      <w:r w:rsidR="0028527E" w:rsidRPr="0060174F">
        <w:rPr>
          <w:lang w:val="en-GB"/>
        </w:rPr>
        <w:tab/>
        <w:t>Interventions followed from:</w:t>
      </w:r>
    </w:p>
    <w:p w14:paraId="45E3A16A" w14:textId="628CD5DA" w:rsidR="0028527E" w:rsidRPr="0060174F" w:rsidRDefault="0028527E" w:rsidP="0028527E">
      <w:pPr>
        <w:pStyle w:val="SingleTxtG"/>
        <w:ind w:left="2127" w:hanging="426"/>
        <w:rPr>
          <w:lang w:val="en-GB"/>
        </w:rPr>
      </w:pPr>
      <w:r w:rsidRPr="0060174F">
        <w:rPr>
          <w:lang w:val="en-GB"/>
        </w:rPr>
        <w:t>•</w:t>
      </w:r>
      <w:r w:rsidRPr="0060174F">
        <w:rPr>
          <w:lang w:val="en-GB"/>
        </w:rPr>
        <w:tab/>
      </w:r>
      <w:r w:rsidR="00FE7ED2" w:rsidRPr="0060174F">
        <w:rPr>
          <w:lang w:val="en-GB"/>
        </w:rPr>
        <w:t xml:space="preserve">Mr. </w:t>
      </w:r>
      <w:r w:rsidRPr="0060174F">
        <w:rPr>
          <w:lang w:val="en-GB"/>
        </w:rPr>
        <w:t xml:space="preserve">Andriy </w:t>
      </w:r>
      <w:proofErr w:type="spellStart"/>
      <w:r w:rsidRPr="0060174F">
        <w:rPr>
          <w:lang w:val="en-GB"/>
        </w:rPr>
        <w:t>Galushchak</w:t>
      </w:r>
      <w:proofErr w:type="spellEnd"/>
      <w:r w:rsidRPr="0060174F">
        <w:rPr>
          <w:lang w:val="en-GB"/>
        </w:rPr>
        <w:t>, State Secretary, Ministry of Infrastructure of Ukraine</w:t>
      </w:r>
      <w:r w:rsidR="00775494" w:rsidRPr="0060174F">
        <w:rPr>
          <w:lang w:val="en-GB"/>
        </w:rPr>
        <w:t>;</w:t>
      </w:r>
    </w:p>
    <w:p w14:paraId="1B106B9C" w14:textId="46BC53E8" w:rsidR="00555CAB" w:rsidRPr="0060174F" w:rsidRDefault="0028527E" w:rsidP="0028527E">
      <w:pPr>
        <w:pStyle w:val="SingleTxtG"/>
        <w:ind w:left="2127" w:hanging="426"/>
        <w:rPr>
          <w:lang w:val="en-GB"/>
        </w:rPr>
      </w:pPr>
      <w:r w:rsidRPr="0060174F">
        <w:rPr>
          <w:lang w:val="en-GB"/>
        </w:rPr>
        <w:t>•</w:t>
      </w:r>
      <w:r w:rsidRPr="0060174F">
        <w:rPr>
          <w:lang w:val="en-GB"/>
        </w:rPr>
        <w:tab/>
      </w:r>
      <w:r w:rsidR="00FE7ED2" w:rsidRPr="0060174F">
        <w:rPr>
          <w:lang w:val="en-GB"/>
        </w:rPr>
        <w:t xml:space="preserve">Mr. </w:t>
      </w:r>
      <w:proofErr w:type="spellStart"/>
      <w:r w:rsidR="00DB4750" w:rsidRPr="0060174F">
        <w:rPr>
          <w:lang w:val="en-GB"/>
        </w:rPr>
        <w:t>Mamadou</w:t>
      </w:r>
      <w:proofErr w:type="spellEnd"/>
      <w:r w:rsidR="00DB4750" w:rsidRPr="0060174F">
        <w:rPr>
          <w:lang w:val="en-GB"/>
        </w:rPr>
        <w:t xml:space="preserve"> </w:t>
      </w:r>
      <w:proofErr w:type="spellStart"/>
      <w:r w:rsidR="00DB4750" w:rsidRPr="0060174F">
        <w:rPr>
          <w:lang w:val="en-GB"/>
        </w:rPr>
        <w:t>Ibrahima</w:t>
      </w:r>
      <w:proofErr w:type="spellEnd"/>
      <w:r w:rsidR="00DB4750" w:rsidRPr="0060174F">
        <w:rPr>
          <w:lang w:val="en-GB"/>
        </w:rPr>
        <w:t xml:space="preserve"> Lo</w:t>
      </w:r>
      <w:r w:rsidRPr="0060174F">
        <w:rPr>
          <w:lang w:val="en-GB"/>
        </w:rPr>
        <w:t xml:space="preserve">, Director of Cabinet, Ministry of Infrastructure, Land Transport and </w:t>
      </w:r>
      <w:proofErr w:type="gramStart"/>
      <w:r w:rsidRPr="0060174F">
        <w:rPr>
          <w:lang w:val="en-GB"/>
        </w:rPr>
        <w:t>Opening up</w:t>
      </w:r>
      <w:proofErr w:type="gramEnd"/>
      <w:r w:rsidRPr="0060174F">
        <w:rPr>
          <w:lang w:val="en-GB"/>
        </w:rPr>
        <w:t xml:space="preserve"> of the Republic of Senegal</w:t>
      </w:r>
      <w:r w:rsidR="00775494" w:rsidRPr="0060174F">
        <w:rPr>
          <w:lang w:val="en-GB"/>
        </w:rPr>
        <w:t>;</w:t>
      </w:r>
    </w:p>
    <w:p w14:paraId="5FFCFA90" w14:textId="0EB94DDD" w:rsidR="00555CAB" w:rsidRPr="0060174F" w:rsidRDefault="0028527E" w:rsidP="0028527E">
      <w:pPr>
        <w:pStyle w:val="SingleTxtG"/>
        <w:ind w:left="2127" w:hanging="426"/>
        <w:rPr>
          <w:lang w:val="en-GB"/>
        </w:rPr>
      </w:pPr>
      <w:r w:rsidRPr="0060174F">
        <w:rPr>
          <w:lang w:val="en-GB"/>
        </w:rPr>
        <w:t>•</w:t>
      </w:r>
      <w:r w:rsidRPr="0060174F">
        <w:rPr>
          <w:lang w:val="en-GB"/>
        </w:rPr>
        <w:tab/>
      </w:r>
      <w:r w:rsidR="00FE7ED2" w:rsidRPr="0060174F">
        <w:rPr>
          <w:lang w:val="en-GB"/>
        </w:rPr>
        <w:t xml:space="preserve">Mr. </w:t>
      </w:r>
      <w:r w:rsidRPr="0060174F">
        <w:rPr>
          <w:lang w:val="en-GB"/>
        </w:rPr>
        <w:t>Eric Bouwmeester, Deputy Head International Affairs, Ministry of Infras</w:t>
      </w:r>
      <w:r w:rsidR="00DB4750" w:rsidRPr="0060174F">
        <w:rPr>
          <w:lang w:val="en-GB"/>
        </w:rPr>
        <w:t>tructure and Water Management, t</w:t>
      </w:r>
      <w:r w:rsidRPr="0060174F">
        <w:rPr>
          <w:lang w:val="en-GB"/>
        </w:rPr>
        <w:t>he Netherlands</w:t>
      </w:r>
      <w:r w:rsidR="00775494" w:rsidRPr="0060174F">
        <w:rPr>
          <w:lang w:val="en-GB"/>
        </w:rPr>
        <w:t>;</w:t>
      </w:r>
    </w:p>
    <w:p w14:paraId="07255DAD" w14:textId="7DA63E05" w:rsidR="00555CAB" w:rsidRPr="0060174F" w:rsidRDefault="0028527E" w:rsidP="0028527E">
      <w:pPr>
        <w:pStyle w:val="SingleTxtG"/>
        <w:ind w:left="2127" w:hanging="426"/>
        <w:rPr>
          <w:lang w:val="en-GB"/>
        </w:rPr>
      </w:pPr>
      <w:r w:rsidRPr="0060174F">
        <w:rPr>
          <w:lang w:val="en-GB"/>
        </w:rPr>
        <w:t>•</w:t>
      </w:r>
      <w:r w:rsidRPr="0060174F">
        <w:rPr>
          <w:lang w:val="en-GB"/>
        </w:rPr>
        <w:tab/>
      </w:r>
      <w:r w:rsidR="00FE7ED2" w:rsidRPr="0060174F">
        <w:rPr>
          <w:lang w:val="en-GB"/>
        </w:rPr>
        <w:t xml:space="preserve">Mr. </w:t>
      </w:r>
      <w:r w:rsidRPr="0060174F">
        <w:rPr>
          <w:lang w:val="en-GB"/>
        </w:rPr>
        <w:t xml:space="preserve">Michael </w:t>
      </w:r>
      <w:proofErr w:type="spellStart"/>
      <w:r w:rsidRPr="0060174F">
        <w:rPr>
          <w:lang w:val="en-GB"/>
        </w:rPr>
        <w:t>Christides</w:t>
      </w:r>
      <w:proofErr w:type="spellEnd"/>
      <w:r w:rsidRPr="0060174F">
        <w:rPr>
          <w:lang w:val="en-GB"/>
        </w:rPr>
        <w:t xml:space="preserve">, </w:t>
      </w:r>
      <w:r w:rsidR="00050E04" w:rsidRPr="0060174F">
        <w:rPr>
          <w:lang w:val="en-GB"/>
        </w:rPr>
        <w:t>Secretary-</w:t>
      </w:r>
      <w:r w:rsidRPr="0060174F">
        <w:rPr>
          <w:lang w:val="en-GB"/>
        </w:rPr>
        <w:t>General, Organization of the Black Sea Cooperation</w:t>
      </w:r>
      <w:r w:rsidR="007027E2" w:rsidRPr="0060174F">
        <w:rPr>
          <w:lang w:val="en-GB"/>
        </w:rPr>
        <w:t xml:space="preserve"> (BSEC)</w:t>
      </w:r>
      <w:r w:rsidR="00775494" w:rsidRPr="0060174F">
        <w:rPr>
          <w:lang w:val="en-GB"/>
        </w:rPr>
        <w:t>;</w:t>
      </w:r>
    </w:p>
    <w:p w14:paraId="3F8776E3" w14:textId="5C50903D" w:rsidR="00555CAB" w:rsidRPr="0060174F" w:rsidRDefault="0028527E" w:rsidP="0028527E">
      <w:pPr>
        <w:pStyle w:val="SingleTxtG"/>
        <w:ind w:left="2127" w:hanging="426"/>
        <w:rPr>
          <w:lang w:val="en-GB"/>
        </w:rPr>
      </w:pPr>
      <w:r w:rsidRPr="0060174F">
        <w:rPr>
          <w:lang w:val="en-GB"/>
        </w:rPr>
        <w:t>•</w:t>
      </w:r>
      <w:r w:rsidRPr="0060174F">
        <w:rPr>
          <w:lang w:val="en-GB"/>
        </w:rPr>
        <w:tab/>
      </w:r>
      <w:r w:rsidR="00FE7ED2" w:rsidRPr="0060174F">
        <w:rPr>
          <w:lang w:val="en-GB"/>
        </w:rPr>
        <w:t xml:space="preserve">Mr. </w:t>
      </w:r>
      <w:r w:rsidRPr="0060174F">
        <w:rPr>
          <w:lang w:val="en-GB"/>
        </w:rPr>
        <w:t xml:space="preserve">Erik </w:t>
      </w:r>
      <w:proofErr w:type="spellStart"/>
      <w:r w:rsidRPr="0060174F">
        <w:rPr>
          <w:lang w:val="en-GB"/>
        </w:rPr>
        <w:t>Evtimov</w:t>
      </w:r>
      <w:proofErr w:type="spellEnd"/>
      <w:r w:rsidRPr="0060174F">
        <w:rPr>
          <w:lang w:val="en-GB"/>
        </w:rPr>
        <w:t xml:space="preserve">, Deputy </w:t>
      </w:r>
      <w:r w:rsidR="00050E04" w:rsidRPr="0060174F">
        <w:rPr>
          <w:lang w:val="en-GB"/>
        </w:rPr>
        <w:t>Secretary-</w:t>
      </w:r>
      <w:r w:rsidRPr="0060174F">
        <w:rPr>
          <w:lang w:val="en-GB"/>
        </w:rPr>
        <w:t>General, International Rail Transport Committee (CIT)</w:t>
      </w:r>
      <w:r w:rsidR="00775494" w:rsidRPr="0060174F">
        <w:rPr>
          <w:lang w:val="en-GB"/>
        </w:rPr>
        <w:t>;</w:t>
      </w:r>
    </w:p>
    <w:p w14:paraId="15915C21" w14:textId="498AFDE0" w:rsidR="0028089B" w:rsidRPr="0060174F" w:rsidRDefault="0028527E" w:rsidP="00355D88">
      <w:pPr>
        <w:pStyle w:val="SingleTxtG"/>
        <w:ind w:left="2127" w:hanging="426"/>
        <w:rPr>
          <w:lang w:val="en-GB"/>
        </w:rPr>
      </w:pPr>
      <w:r w:rsidRPr="0060174F">
        <w:rPr>
          <w:lang w:val="en-GB"/>
        </w:rPr>
        <w:t>•</w:t>
      </w:r>
      <w:r w:rsidRPr="0060174F">
        <w:rPr>
          <w:lang w:val="en-GB"/>
        </w:rPr>
        <w:tab/>
      </w:r>
      <w:r w:rsidR="00FE7ED2" w:rsidRPr="0060174F">
        <w:rPr>
          <w:lang w:val="en-GB"/>
        </w:rPr>
        <w:t xml:space="preserve">Mr. </w:t>
      </w:r>
      <w:proofErr w:type="spellStart"/>
      <w:r w:rsidRPr="0060174F">
        <w:rPr>
          <w:lang w:val="en-GB"/>
        </w:rPr>
        <w:t>Òscar</w:t>
      </w:r>
      <w:proofErr w:type="spellEnd"/>
      <w:r w:rsidRPr="0060174F">
        <w:rPr>
          <w:lang w:val="en-GB"/>
        </w:rPr>
        <w:t xml:space="preserve"> Oliver, </w:t>
      </w:r>
      <w:r w:rsidR="00C42AE8" w:rsidRPr="0060174F">
        <w:rPr>
          <w:lang w:val="en-GB"/>
        </w:rPr>
        <w:t>Centre for Transportation Studies for the Western Mediterranean (CETMO)</w:t>
      </w:r>
      <w:r w:rsidRPr="0060174F">
        <w:rPr>
          <w:lang w:val="en-GB"/>
        </w:rPr>
        <w:t>.</w:t>
      </w:r>
    </w:p>
    <w:p w14:paraId="7DB9705A" w14:textId="3CA0242D" w:rsidR="008138F2" w:rsidRPr="0060174F" w:rsidRDefault="008138F2" w:rsidP="008138F2">
      <w:pPr>
        <w:pStyle w:val="H1G"/>
        <w:rPr>
          <w:lang w:val="en-GB"/>
        </w:rPr>
      </w:pPr>
      <w:r w:rsidRPr="0060174F">
        <w:rPr>
          <w:lang w:val="en-GB"/>
        </w:rPr>
        <w:tab/>
        <w:t>C.</w:t>
      </w:r>
      <w:r w:rsidRPr="0060174F">
        <w:rPr>
          <w:lang w:val="en-GB"/>
        </w:rPr>
        <w:tab/>
        <w:t xml:space="preserve">Panel III: </w:t>
      </w:r>
      <w:r w:rsidR="000D02D6" w:rsidRPr="0060174F">
        <w:rPr>
          <w:lang w:val="en-GB"/>
        </w:rPr>
        <w:t>Intermodal passenger mobility</w:t>
      </w:r>
    </w:p>
    <w:p w14:paraId="73E675A6" w14:textId="38D76D07" w:rsidR="0028527E" w:rsidRPr="0060174F" w:rsidRDefault="008C29AE" w:rsidP="008138F2">
      <w:pPr>
        <w:pStyle w:val="SingleTxtG"/>
        <w:rPr>
          <w:lang w:val="en-GB"/>
        </w:rPr>
      </w:pPr>
      <w:r w:rsidRPr="0060174F">
        <w:rPr>
          <w:lang w:val="en-GB"/>
        </w:rPr>
        <w:t>11.</w:t>
      </w:r>
      <w:r w:rsidRPr="0060174F">
        <w:rPr>
          <w:lang w:val="en-GB"/>
        </w:rPr>
        <w:tab/>
      </w:r>
      <w:r w:rsidR="0028527E" w:rsidRPr="0060174F">
        <w:rPr>
          <w:lang w:val="en-GB"/>
        </w:rPr>
        <w:t xml:space="preserve">Panel III focused on smart solutions across various modes for managing mobility for passengers in increasingly dense urban environments, including public transport and smart individual mobility. </w:t>
      </w:r>
    </w:p>
    <w:p w14:paraId="5B945F02" w14:textId="4210BE85" w:rsidR="0028527E" w:rsidRPr="0060174F" w:rsidRDefault="008C29AE" w:rsidP="00B260FF">
      <w:pPr>
        <w:pStyle w:val="SingleTxtG"/>
        <w:rPr>
          <w:lang w:val="en-GB"/>
        </w:rPr>
      </w:pPr>
      <w:r w:rsidRPr="0060174F">
        <w:rPr>
          <w:lang w:val="en-GB"/>
        </w:rPr>
        <w:lastRenderedPageBreak/>
        <w:t>12.</w:t>
      </w:r>
      <w:r w:rsidRPr="0060174F">
        <w:rPr>
          <w:lang w:val="en-GB"/>
        </w:rPr>
        <w:tab/>
      </w:r>
      <w:r w:rsidR="0028527E" w:rsidRPr="0060174F">
        <w:rPr>
          <w:lang w:val="en-GB"/>
        </w:rPr>
        <w:t xml:space="preserve">Keynote speeches were delivered by </w:t>
      </w:r>
      <w:r w:rsidR="0000080D" w:rsidRPr="0060174F">
        <w:rPr>
          <w:lang w:val="en-GB"/>
        </w:rPr>
        <w:t xml:space="preserve">His Excellency </w:t>
      </w:r>
      <w:r w:rsidR="00FE7ED2" w:rsidRPr="0060174F">
        <w:rPr>
          <w:lang w:val="en-GB"/>
        </w:rPr>
        <w:t xml:space="preserve">Mr. </w:t>
      </w:r>
      <w:proofErr w:type="spellStart"/>
      <w:r w:rsidR="005B69A4" w:rsidRPr="0060174F">
        <w:rPr>
          <w:lang w:val="en-GB"/>
        </w:rPr>
        <w:t>Arkhom</w:t>
      </w:r>
      <w:proofErr w:type="spellEnd"/>
      <w:r w:rsidR="005B69A4" w:rsidRPr="0060174F">
        <w:rPr>
          <w:lang w:val="en-GB"/>
        </w:rPr>
        <w:t xml:space="preserve"> </w:t>
      </w:r>
      <w:proofErr w:type="spellStart"/>
      <w:r w:rsidR="0028527E" w:rsidRPr="0060174F">
        <w:rPr>
          <w:lang w:val="en-GB"/>
        </w:rPr>
        <w:t>Termpittayapaisith</w:t>
      </w:r>
      <w:proofErr w:type="spellEnd"/>
      <w:r w:rsidR="0028527E" w:rsidRPr="0060174F">
        <w:rPr>
          <w:lang w:val="en-GB"/>
        </w:rPr>
        <w:t xml:space="preserve">, Minister of Transport of Thailand and </w:t>
      </w:r>
      <w:r w:rsidR="00FE7ED2" w:rsidRPr="0060174F">
        <w:rPr>
          <w:lang w:val="en-GB"/>
        </w:rPr>
        <w:t xml:space="preserve">Mr. </w:t>
      </w:r>
      <w:r w:rsidR="0028527E" w:rsidRPr="0060174F">
        <w:rPr>
          <w:lang w:val="en-GB"/>
        </w:rPr>
        <w:t xml:space="preserve">Kwaku Ofori </w:t>
      </w:r>
      <w:proofErr w:type="spellStart"/>
      <w:r w:rsidR="0028527E" w:rsidRPr="0060174F">
        <w:rPr>
          <w:lang w:val="en-GB"/>
        </w:rPr>
        <w:t>Asiamah</w:t>
      </w:r>
      <w:proofErr w:type="spellEnd"/>
      <w:r w:rsidR="0028527E" w:rsidRPr="0060174F">
        <w:rPr>
          <w:lang w:val="en-GB"/>
        </w:rPr>
        <w:t>, Minister of Transport of Ghana.</w:t>
      </w:r>
      <w:r w:rsidR="00661AD1" w:rsidRPr="0060174F">
        <w:rPr>
          <w:lang w:val="en-GB"/>
        </w:rPr>
        <w:t xml:space="preserve"> </w:t>
      </w:r>
      <w:r w:rsidR="004F3C20" w:rsidRPr="0060174F">
        <w:rPr>
          <w:lang w:val="en-GB"/>
        </w:rPr>
        <w:t>P</w:t>
      </w:r>
      <w:r w:rsidR="00661AD1" w:rsidRPr="0060174F">
        <w:rPr>
          <w:lang w:val="en-GB"/>
        </w:rPr>
        <w:t xml:space="preserve">anel presentations </w:t>
      </w:r>
      <w:r w:rsidR="004F3C20" w:rsidRPr="0060174F">
        <w:rPr>
          <w:lang w:val="en-GB"/>
        </w:rPr>
        <w:t xml:space="preserve">followed </w:t>
      </w:r>
      <w:r w:rsidR="00661AD1" w:rsidRPr="0060174F">
        <w:rPr>
          <w:lang w:val="en-GB"/>
        </w:rPr>
        <w:t xml:space="preserve">from </w:t>
      </w:r>
      <w:r w:rsidR="00FE7ED2" w:rsidRPr="0060174F">
        <w:rPr>
          <w:lang w:val="en-GB"/>
        </w:rPr>
        <w:t xml:space="preserve">Mr. </w:t>
      </w:r>
      <w:proofErr w:type="spellStart"/>
      <w:r w:rsidR="00B260FF" w:rsidRPr="0060174F">
        <w:rPr>
          <w:lang w:val="en-GB"/>
        </w:rPr>
        <w:t>Gery</w:t>
      </w:r>
      <w:proofErr w:type="spellEnd"/>
      <w:r w:rsidR="00B260FF" w:rsidRPr="0060174F">
        <w:rPr>
          <w:lang w:val="en-GB"/>
        </w:rPr>
        <w:t xml:space="preserve"> Balmer, Vice-</w:t>
      </w:r>
      <w:r w:rsidR="004F3C20" w:rsidRPr="0060174F">
        <w:rPr>
          <w:lang w:val="en-GB"/>
        </w:rPr>
        <w:t xml:space="preserve">Director </w:t>
      </w:r>
      <w:r w:rsidR="00B260FF" w:rsidRPr="0060174F">
        <w:rPr>
          <w:lang w:val="en-GB"/>
        </w:rPr>
        <w:t xml:space="preserve">and Head of </w:t>
      </w:r>
      <w:r w:rsidR="004F3C20" w:rsidRPr="0060174F">
        <w:rPr>
          <w:lang w:val="en-GB"/>
        </w:rPr>
        <w:t xml:space="preserve">the </w:t>
      </w:r>
      <w:r w:rsidR="00B260FF" w:rsidRPr="0060174F">
        <w:rPr>
          <w:lang w:val="en-GB"/>
        </w:rPr>
        <w:t xml:space="preserve">Policy Division </w:t>
      </w:r>
      <w:r w:rsidR="004F3C20" w:rsidRPr="0060174F">
        <w:rPr>
          <w:lang w:val="en-GB"/>
        </w:rPr>
        <w:t xml:space="preserve">of </w:t>
      </w:r>
      <w:r w:rsidR="00B260FF" w:rsidRPr="0060174F">
        <w:rPr>
          <w:lang w:val="en-GB"/>
        </w:rPr>
        <w:t xml:space="preserve">the Federal Office of Transport of Switzerland, </w:t>
      </w:r>
      <w:bookmarkStart w:id="2" w:name="_Hlk509393499"/>
      <w:r w:rsidR="00FE7ED2" w:rsidRPr="0060174F">
        <w:rPr>
          <w:lang w:val="en-GB"/>
        </w:rPr>
        <w:t xml:space="preserve">Mr. </w:t>
      </w:r>
      <w:r w:rsidR="00B260FF" w:rsidRPr="0060174F">
        <w:rPr>
          <w:lang w:val="en-GB"/>
        </w:rPr>
        <w:t>Dionisio González, Director</w:t>
      </w:r>
      <w:r w:rsidR="008250FF" w:rsidRPr="0060174F">
        <w:rPr>
          <w:lang w:val="en-GB"/>
        </w:rPr>
        <w:t xml:space="preserve"> of the </w:t>
      </w:r>
      <w:r w:rsidR="00B260FF" w:rsidRPr="0060174F">
        <w:rPr>
          <w:lang w:val="en-GB"/>
        </w:rPr>
        <w:t xml:space="preserve">International Association of Public Transport (UITP), </w:t>
      </w:r>
      <w:bookmarkEnd w:id="2"/>
      <w:r w:rsidR="00B260FF" w:rsidRPr="0060174F">
        <w:rPr>
          <w:lang w:val="en-GB"/>
        </w:rPr>
        <w:t xml:space="preserve">Ms. Karen </w:t>
      </w:r>
      <w:proofErr w:type="spellStart"/>
      <w:r w:rsidR="00B260FF" w:rsidRPr="0060174F">
        <w:rPr>
          <w:lang w:val="en-GB"/>
        </w:rPr>
        <w:t>Vancluysen</w:t>
      </w:r>
      <w:proofErr w:type="spellEnd"/>
      <w:r w:rsidR="00B260FF" w:rsidRPr="0060174F">
        <w:rPr>
          <w:lang w:val="en-GB"/>
        </w:rPr>
        <w:t xml:space="preserve">, </w:t>
      </w:r>
      <w:r w:rsidR="004F3C20" w:rsidRPr="0060174F">
        <w:rPr>
          <w:lang w:val="en-GB"/>
        </w:rPr>
        <w:t>Secretary-</w:t>
      </w:r>
      <w:r w:rsidR="00B260FF" w:rsidRPr="0060174F">
        <w:rPr>
          <w:lang w:val="en-GB"/>
        </w:rPr>
        <w:t>General</w:t>
      </w:r>
      <w:r w:rsidR="008250FF" w:rsidRPr="0060174F">
        <w:rPr>
          <w:lang w:val="en-GB"/>
        </w:rPr>
        <w:t xml:space="preserve"> of </w:t>
      </w:r>
      <w:r w:rsidR="00B260FF" w:rsidRPr="0060174F">
        <w:rPr>
          <w:lang w:val="en-GB"/>
        </w:rPr>
        <w:t xml:space="preserve">POLIS, and </w:t>
      </w:r>
      <w:r w:rsidR="00FE7ED2" w:rsidRPr="0060174F">
        <w:rPr>
          <w:lang w:val="en-GB"/>
        </w:rPr>
        <w:t xml:space="preserve">Mr. </w:t>
      </w:r>
      <w:r w:rsidR="00B260FF" w:rsidRPr="0060174F">
        <w:rPr>
          <w:lang w:val="en-GB"/>
        </w:rPr>
        <w:t xml:space="preserve">Henry </w:t>
      </w:r>
      <w:proofErr w:type="spellStart"/>
      <w:r w:rsidR="00B260FF" w:rsidRPr="0060174F">
        <w:rPr>
          <w:lang w:val="en-GB"/>
        </w:rPr>
        <w:t>Gourdji</w:t>
      </w:r>
      <w:proofErr w:type="spellEnd"/>
      <w:r w:rsidR="00B260FF" w:rsidRPr="0060174F">
        <w:rPr>
          <w:lang w:val="en-GB"/>
        </w:rPr>
        <w:t>, Head</w:t>
      </w:r>
      <w:r w:rsidR="008250FF" w:rsidRPr="0060174F">
        <w:rPr>
          <w:lang w:val="en-GB"/>
        </w:rPr>
        <w:t xml:space="preserve"> of </w:t>
      </w:r>
      <w:r w:rsidR="00B260FF" w:rsidRPr="0060174F">
        <w:rPr>
          <w:lang w:val="en-GB"/>
        </w:rPr>
        <w:t>Strategic Planning, Coordination and Partnerships Office</w:t>
      </w:r>
      <w:r w:rsidR="008250FF" w:rsidRPr="0060174F">
        <w:rPr>
          <w:lang w:val="en-GB"/>
        </w:rPr>
        <w:t xml:space="preserve"> of the </w:t>
      </w:r>
      <w:r w:rsidR="00B260FF" w:rsidRPr="0060174F">
        <w:rPr>
          <w:lang w:val="en-GB"/>
        </w:rPr>
        <w:t>International Civil Aviation Organization (ICAO).</w:t>
      </w:r>
    </w:p>
    <w:p w14:paraId="0D261AAD" w14:textId="4B053F63" w:rsidR="00B260FF" w:rsidRPr="0060174F" w:rsidRDefault="008C29AE" w:rsidP="008138F2">
      <w:pPr>
        <w:pStyle w:val="SingleTxtG"/>
        <w:rPr>
          <w:lang w:val="en-GB"/>
        </w:rPr>
      </w:pPr>
      <w:r w:rsidRPr="0060174F">
        <w:rPr>
          <w:lang w:val="en-GB"/>
        </w:rPr>
        <w:t>13</w:t>
      </w:r>
      <w:r w:rsidR="00B260FF" w:rsidRPr="0060174F">
        <w:rPr>
          <w:lang w:val="en-GB"/>
        </w:rPr>
        <w:t>.</w:t>
      </w:r>
      <w:r w:rsidR="00B260FF" w:rsidRPr="0060174F">
        <w:rPr>
          <w:lang w:val="en-GB"/>
        </w:rPr>
        <w:tab/>
        <w:t>Interventions followed from:</w:t>
      </w:r>
    </w:p>
    <w:p w14:paraId="5B9E6440" w14:textId="52DF9477" w:rsidR="00555CAB" w:rsidRPr="0060174F" w:rsidRDefault="0000080D" w:rsidP="0000080D">
      <w:pPr>
        <w:pStyle w:val="Bullet1G"/>
        <w:rPr>
          <w:lang w:val="en-GB"/>
        </w:rPr>
      </w:pPr>
      <w:r w:rsidRPr="0060174F">
        <w:rPr>
          <w:lang w:val="en-GB"/>
        </w:rPr>
        <w:t xml:space="preserve">His Excellency </w:t>
      </w:r>
      <w:r w:rsidR="00FE7ED2" w:rsidRPr="0060174F">
        <w:rPr>
          <w:lang w:val="en-GB"/>
        </w:rPr>
        <w:t xml:space="preserve">Mr. </w:t>
      </w:r>
      <w:r w:rsidR="00B260FF" w:rsidRPr="0060174F">
        <w:rPr>
          <w:lang w:val="en-GB"/>
        </w:rPr>
        <w:t xml:space="preserve">Ali </w:t>
      </w:r>
      <w:proofErr w:type="spellStart"/>
      <w:r w:rsidR="00B260FF" w:rsidRPr="0060174F">
        <w:rPr>
          <w:lang w:val="en-GB"/>
        </w:rPr>
        <w:t>Hammoud</w:t>
      </w:r>
      <w:proofErr w:type="spellEnd"/>
      <w:r w:rsidR="00B260FF" w:rsidRPr="0060174F">
        <w:rPr>
          <w:lang w:val="en-GB"/>
        </w:rPr>
        <w:t>, Minister of Transport of Syria</w:t>
      </w:r>
      <w:r w:rsidR="00C83FE0" w:rsidRPr="0060174F">
        <w:rPr>
          <w:lang w:val="en-GB"/>
        </w:rPr>
        <w:t>;</w:t>
      </w:r>
    </w:p>
    <w:p w14:paraId="6678D6EC" w14:textId="520AC489" w:rsidR="00555CAB" w:rsidRPr="0060174F" w:rsidRDefault="00FE7ED2" w:rsidP="00FB1F1F">
      <w:pPr>
        <w:pStyle w:val="Bullet1G"/>
        <w:rPr>
          <w:lang w:val="en-GB"/>
        </w:rPr>
      </w:pPr>
      <w:r w:rsidRPr="0060174F">
        <w:rPr>
          <w:lang w:val="en-GB"/>
        </w:rPr>
        <w:t xml:space="preserve">Mr. </w:t>
      </w:r>
      <w:r w:rsidR="00B260FF" w:rsidRPr="0060174F">
        <w:rPr>
          <w:lang w:val="en-GB"/>
        </w:rPr>
        <w:t xml:space="preserve">Viktor Zhukov, Deputy </w:t>
      </w:r>
      <w:r w:rsidR="004F3C20" w:rsidRPr="0060174F">
        <w:rPr>
          <w:lang w:val="en-GB"/>
        </w:rPr>
        <w:t xml:space="preserve">Chair </w:t>
      </w:r>
      <w:r w:rsidR="00B260FF" w:rsidRPr="0060174F">
        <w:rPr>
          <w:lang w:val="en-GB"/>
        </w:rPr>
        <w:t>of OSJD Committee</w:t>
      </w:r>
      <w:r w:rsidR="00C83FE0" w:rsidRPr="0060174F">
        <w:rPr>
          <w:lang w:val="en-GB"/>
        </w:rPr>
        <w:t>;</w:t>
      </w:r>
    </w:p>
    <w:p w14:paraId="78AA81EA" w14:textId="56009072" w:rsidR="00B260FF" w:rsidRPr="0060174F" w:rsidRDefault="00B260FF" w:rsidP="00FB1F1F">
      <w:pPr>
        <w:pStyle w:val="Bullet1G"/>
        <w:rPr>
          <w:lang w:val="en-GB"/>
        </w:rPr>
      </w:pPr>
      <w:r w:rsidRPr="0060174F">
        <w:rPr>
          <w:lang w:val="en-GB"/>
        </w:rPr>
        <w:t xml:space="preserve">Ms. </w:t>
      </w:r>
      <w:proofErr w:type="spellStart"/>
      <w:r w:rsidRPr="0060174F">
        <w:rPr>
          <w:lang w:val="en-GB"/>
        </w:rPr>
        <w:t>Bronwen</w:t>
      </w:r>
      <w:proofErr w:type="spellEnd"/>
      <w:r w:rsidRPr="0060174F">
        <w:rPr>
          <w:lang w:val="en-GB"/>
        </w:rPr>
        <w:t xml:space="preserve"> Thornton, Development Director, WALK21.</w:t>
      </w:r>
    </w:p>
    <w:p w14:paraId="281594A9" w14:textId="77777777" w:rsidR="008138F2" w:rsidRPr="0060174F" w:rsidRDefault="008138F2" w:rsidP="008138F2">
      <w:pPr>
        <w:pStyle w:val="HChG"/>
        <w:rPr>
          <w:lang w:val="en-GB"/>
        </w:rPr>
      </w:pPr>
      <w:r w:rsidRPr="0060174F">
        <w:rPr>
          <w:lang w:val="en-GB"/>
        </w:rPr>
        <w:tab/>
        <w:t>IV.</w:t>
      </w:r>
      <w:r w:rsidRPr="0060174F">
        <w:rPr>
          <w:lang w:val="en-GB"/>
        </w:rPr>
        <w:tab/>
        <w:t>Main insights</w:t>
      </w:r>
    </w:p>
    <w:p w14:paraId="5EF4E6D1" w14:textId="78752544" w:rsidR="008138F2" w:rsidRPr="0060174F" w:rsidRDefault="008138F2" w:rsidP="008138F2">
      <w:pPr>
        <w:pStyle w:val="H1G"/>
        <w:rPr>
          <w:lang w:val="en-GB"/>
        </w:rPr>
      </w:pPr>
      <w:r w:rsidRPr="0060174F">
        <w:rPr>
          <w:lang w:val="en-GB"/>
        </w:rPr>
        <w:tab/>
        <w:t>A.</w:t>
      </w:r>
      <w:r w:rsidRPr="0060174F">
        <w:rPr>
          <w:lang w:val="en-GB"/>
        </w:rPr>
        <w:tab/>
        <w:t>Panel I: ITC - Gateway to promote connectivity</w:t>
      </w:r>
    </w:p>
    <w:p w14:paraId="31E4D397" w14:textId="58C35CA4" w:rsidR="00571DB8" w:rsidRPr="0060174F" w:rsidRDefault="008138F2" w:rsidP="00571DB8">
      <w:pPr>
        <w:pStyle w:val="SingleTxtG"/>
        <w:rPr>
          <w:lang w:val="en-GB"/>
        </w:rPr>
      </w:pPr>
      <w:r w:rsidRPr="0060174F">
        <w:rPr>
          <w:lang w:val="en-GB"/>
        </w:rPr>
        <w:t>14.</w:t>
      </w:r>
      <w:r w:rsidRPr="0060174F">
        <w:rPr>
          <w:lang w:val="en-GB"/>
        </w:rPr>
        <w:tab/>
        <w:t xml:space="preserve">Participants agreed that </w:t>
      </w:r>
      <w:r w:rsidR="00571DB8" w:rsidRPr="0060174F">
        <w:rPr>
          <w:lang w:val="en-GB"/>
        </w:rPr>
        <w:t>a seamless combination of different modes of transport for passengers and freight makes transport safer, more efficient, and often faster and less costly. The debate focused on achieving a holistic approach to inland transport that facilitates and encourages intermodality</w:t>
      </w:r>
      <w:r w:rsidR="00597514" w:rsidRPr="0060174F">
        <w:rPr>
          <w:lang w:val="en-GB"/>
        </w:rPr>
        <w:t xml:space="preserve">, </w:t>
      </w:r>
      <w:r w:rsidR="00571DB8" w:rsidRPr="0060174F">
        <w:rPr>
          <w:lang w:val="en-GB"/>
        </w:rPr>
        <w:t xml:space="preserve">a multifaceted challenge that cannot be tackled at the level of infrastructure solutions alone or be isolated at the national or local level. </w:t>
      </w:r>
      <w:r w:rsidR="006E49AE" w:rsidRPr="0060174F">
        <w:rPr>
          <w:lang w:val="en-GB"/>
        </w:rPr>
        <w:t>D</w:t>
      </w:r>
      <w:r w:rsidR="00571DB8" w:rsidRPr="0060174F">
        <w:rPr>
          <w:lang w:val="en-GB"/>
        </w:rPr>
        <w:t>iscussion</w:t>
      </w:r>
      <w:r w:rsidR="006E49AE" w:rsidRPr="0060174F">
        <w:rPr>
          <w:lang w:val="en-GB"/>
        </w:rPr>
        <w:t>s</w:t>
      </w:r>
      <w:r w:rsidR="00571DB8" w:rsidRPr="0060174F">
        <w:rPr>
          <w:lang w:val="en-GB"/>
        </w:rPr>
        <w:t xml:space="preserve"> evolved around questions of policies</w:t>
      </w:r>
      <w:r w:rsidR="006E49AE" w:rsidRPr="0060174F">
        <w:rPr>
          <w:lang w:val="en-GB"/>
        </w:rPr>
        <w:t>,</w:t>
      </w:r>
      <w:r w:rsidR="00571DB8" w:rsidRPr="0060174F">
        <w:rPr>
          <w:lang w:val="en-GB"/>
        </w:rPr>
        <w:t xml:space="preserve"> </w:t>
      </w:r>
      <w:r w:rsidR="006E49AE" w:rsidRPr="0060174F">
        <w:rPr>
          <w:lang w:val="en-GB"/>
        </w:rPr>
        <w:t xml:space="preserve">and </w:t>
      </w:r>
      <w:r w:rsidR="00571DB8" w:rsidRPr="0060174F">
        <w:rPr>
          <w:lang w:val="en-GB"/>
        </w:rPr>
        <w:t xml:space="preserve">the opportunities and challenges that innovation and new technologies create. It emerged that intelligent transport systems could be another facilitator </w:t>
      </w:r>
      <w:r w:rsidR="006E49AE" w:rsidRPr="0060174F">
        <w:rPr>
          <w:lang w:val="en-GB"/>
        </w:rPr>
        <w:t xml:space="preserve">of </w:t>
      </w:r>
      <w:r w:rsidR="00571DB8" w:rsidRPr="0060174F">
        <w:rPr>
          <w:lang w:val="en-GB"/>
        </w:rPr>
        <w:t>intermodal freight transport and passenger mobility. Connecting infrastructure, vehicles and users optimizes the flow of information, and traffic and mobility management. The technological innovation could enhance connectivity and therefore facilitate intermodal transport operations, by improving their environmental footprint.</w:t>
      </w:r>
    </w:p>
    <w:p w14:paraId="7F409236" w14:textId="7C2F035E" w:rsidR="00571DB8" w:rsidRPr="0060174F" w:rsidRDefault="008C29AE" w:rsidP="00571DB8">
      <w:pPr>
        <w:pStyle w:val="SingleTxtG"/>
        <w:rPr>
          <w:lang w:val="en-GB"/>
        </w:rPr>
      </w:pPr>
      <w:r w:rsidRPr="0060174F">
        <w:rPr>
          <w:lang w:val="en-GB"/>
        </w:rPr>
        <w:t>15.</w:t>
      </w:r>
      <w:r w:rsidRPr="0060174F">
        <w:rPr>
          <w:lang w:val="en-GB"/>
        </w:rPr>
        <w:tab/>
      </w:r>
      <w:r w:rsidR="00571DB8" w:rsidRPr="0060174F">
        <w:rPr>
          <w:lang w:val="en-GB"/>
        </w:rPr>
        <w:t xml:space="preserve">Another overarching theme in this framework is traffic safety for all inland modes. How can this be best achieved? After all </w:t>
      </w:r>
      <w:r w:rsidR="00FE7ED2" w:rsidRPr="0060174F">
        <w:rPr>
          <w:lang w:val="en-GB"/>
        </w:rPr>
        <w:t>Sustainable Development Goal</w:t>
      </w:r>
      <w:r w:rsidR="00571DB8" w:rsidRPr="0060174F">
        <w:rPr>
          <w:lang w:val="en-GB"/>
        </w:rPr>
        <w:t xml:space="preserve"> target 3.6 calls for halving of the number of global deaths and injuries from road traffic crashes by 2020</w:t>
      </w:r>
      <w:r w:rsidR="006E49AE" w:rsidRPr="0060174F">
        <w:rPr>
          <w:lang w:val="en-GB"/>
        </w:rPr>
        <w:t>,</w:t>
      </w:r>
      <w:r w:rsidR="00571DB8" w:rsidRPr="0060174F">
        <w:rPr>
          <w:lang w:val="en-GB"/>
        </w:rPr>
        <w:t xml:space="preserve"> and </w:t>
      </w:r>
      <w:r w:rsidR="00FE7ED2" w:rsidRPr="0060174F">
        <w:rPr>
          <w:lang w:val="en-GB"/>
        </w:rPr>
        <w:t>Sustainable Development Goal</w:t>
      </w:r>
      <w:r w:rsidR="00571DB8" w:rsidRPr="0060174F">
        <w:rPr>
          <w:lang w:val="en-GB"/>
        </w:rPr>
        <w:t xml:space="preserve"> 11.2 aims to provide access to safe, affordable, accessible and sustainable transport systems for all, improving road safety, notably by expanding public transport, with special attention to the needs of </w:t>
      </w:r>
      <w:r w:rsidR="00C20E8A" w:rsidRPr="0060174F">
        <w:rPr>
          <w:lang w:val="en-GB"/>
        </w:rPr>
        <w:t xml:space="preserve">the </w:t>
      </w:r>
      <w:r w:rsidR="00571DB8" w:rsidRPr="0060174F">
        <w:rPr>
          <w:lang w:val="en-GB"/>
        </w:rPr>
        <w:t xml:space="preserve">vulnerable, </w:t>
      </w:r>
      <w:r w:rsidR="00C20E8A" w:rsidRPr="0060174F">
        <w:rPr>
          <w:lang w:val="en-GB"/>
        </w:rPr>
        <w:t xml:space="preserve">such as </w:t>
      </w:r>
      <w:r w:rsidR="00571DB8" w:rsidRPr="0060174F">
        <w:rPr>
          <w:lang w:val="en-GB"/>
        </w:rPr>
        <w:t>women, children, persons with disabilities and older persons</w:t>
      </w:r>
      <w:r w:rsidR="0000080D" w:rsidRPr="0060174F">
        <w:rPr>
          <w:lang w:val="en-GB"/>
        </w:rPr>
        <w:t>.</w:t>
      </w:r>
    </w:p>
    <w:p w14:paraId="4EB326CE" w14:textId="6E58305D" w:rsidR="00355D88" w:rsidRPr="0060174F" w:rsidRDefault="008C29AE" w:rsidP="00355D88">
      <w:pPr>
        <w:pStyle w:val="SingleTxtG"/>
        <w:rPr>
          <w:lang w:val="en-GB"/>
        </w:rPr>
      </w:pPr>
      <w:r w:rsidRPr="0060174F">
        <w:rPr>
          <w:lang w:val="en-GB"/>
        </w:rPr>
        <w:t>16.</w:t>
      </w:r>
      <w:r w:rsidRPr="0060174F">
        <w:rPr>
          <w:lang w:val="en-GB"/>
        </w:rPr>
        <w:tab/>
      </w:r>
      <w:r w:rsidR="0000080D" w:rsidRPr="0060174F">
        <w:rPr>
          <w:lang w:val="en-GB"/>
        </w:rPr>
        <w:t xml:space="preserve">His Excellency </w:t>
      </w:r>
      <w:r w:rsidR="00FE7ED2" w:rsidRPr="0060174F">
        <w:rPr>
          <w:lang w:val="en-GB"/>
        </w:rPr>
        <w:t xml:space="preserve">Mr. </w:t>
      </w:r>
      <w:r w:rsidR="00355D88" w:rsidRPr="0060174F">
        <w:rPr>
          <w:lang w:val="en-GB"/>
        </w:rPr>
        <w:t xml:space="preserve">Peter </w:t>
      </w:r>
      <w:proofErr w:type="spellStart"/>
      <w:r w:rsidR="00355D88" w:rsidRPr="0060174F">
        <w:rPr>
          <w:lang w:val="en-GB"/>
        </w:rPr>
        <w:t>Gašperšič</w:t>
      </w:r>
      <w:proofErr w:type="spellEnd"/>
      <w:r w:rsidR="00355D88" w:rsidRPr="0060174F">
        <w:rPr>
          <w:lang w:val="en-GB"/>
        </w:rPr>
        <w:t>, Minister of Infrastructure of Slovenia, discussed the country’s “Transport Development Strategy” adopted by the Government in 2015, and the “Resolution on the National Programme for the Development of Transport of the Republic of Slovenia” adopted in 2016 by the Government and the National Assembly. The resolution is based on the extensive study of traffic flow</w:t>
      </w:r>
      <w:r w:rsidR="006F5D89" w:rsidRPr="0060174F">
        <w:rPr>
          <w:lang w:val="en-GB"/>
        </w:rPr>
        <w:t>s</w:t>
      </w:r>
      <w:r w:rsidR="00355D88" w:rsidRPr="0060174F">
        <w:rPr>
          <w:lang w:val="en-GB"/>
        </w:rPr>
        <w:t xml:space="preserve"> and involv</w:t>
      </w:r>
      <w:r w:rsidR="006F5D89" w:rsidRPr="0060174F">
        <w:rPr>
          <w:lang w:val="en-GB"/>
        </w:rPr>
        <w:t>es</w:t>
      </w:r>
      <w:r w:rsidR="00355D88" w:rsidRPr="0060174F">
        <w:rPr>
          <w:lang w:val="en-GB"/>
        </w:rPr>
        <w:t xml:space="preserve"> 108 new measures including significant recurring infrastructure development funding. Intermodality is one of the crucial pillars for both documents, which, combined, aim to provide better and more sustainable mobility at a better cost, and with a wider area of coverage. </w:t>
      </w:r>
    </w:p>
    <w:p w14:paraId="55F9921F" w14:textId="7BB992D7" w:rsidR="001B4B65" w:rsidRPr="0060174F" w:rsidRDefault="008C29AE" w:rsidP="0037595E">
      <w:pPr>
        <w:pStyle w:val="SingleTxtG"/>
        <w:rPr>
          <w:lang w:val="en-GB"/>
        </w:rPr>
      </w:pPr>
      <w:r w:rsidRPr="0060174F">
        <w:rPr>
          <w:lang w:val="en-GB"/>
        </w:rPr>
        <w:t>17.</w:t>
      </w:r>
      <w:r w:rsidRPr="0060174F">
        <w:rPr>
          <w:lang w:val="en-GB"/>
        </w:rPr>
        <w:tab/>
      </w:r>
      <w:r w:rsidR="0037595E" w:rsidRPr="0060174F">
        <w:rPr>
          <w:lang w:val="en-GB"/>
        </w:rPr>
        <w:t xml:space="preserve">Ms. Maria Magdalena </w:t>
      </w:r>
      <w:proofErr w:type="spellStart"/>
      <w:r w:rsidR="0037595E" w:rsidRPr="0060174F">
        <w:rPr>
          <w:lang w:val="en-GB"/>
        </w:rPr>
        <w:t>Grigore</w:t>
      </w:r>
      <w:proofErr w:type="spellEnd"/>
      <w:r w:rsidR="0037595E" w:rsidRPr="0060174F">
        <w:rPr>
          <w:lang w:val="en-GB"/>
        </w:rPr>
        <w:t xml:space="preserve">, Vice-Minister of Transport of Romania, emphasized that </w:t>
      </w:r>
      <w:r w:rsidR="006F5D89" w:rsidRPr="0060174F">
        <w:rPr>
          <w:lang w:val="en-GB"/>
        </w:rPr>
        <w:t>i</w:t>
      </w:r>
      <w:r w:rsidR="0037595E" w:rsidRPr="0060174F">
        <w:rPr>
          <w:lang w:val="en-GB"/>
        </w:rPr>
        <w:t>ntermodality and interoperability provide the guarantee of an efficient transport with benefits for the whole economy. T</w:t>
      </w:r>
      <w:r w:rsidR="001B4B65" w:rsidRPr="0060174F">
        <w:rPr>
          <w:lang w:val="en-GB"/>
        </w:rPr>
        <w:t>he development of competitive international transport corridors can contribute both to intermodality and to the implementation of a digital logistics system, an efficient and sustainable logistics.</w:t>
      </w:r>
      <w:r w:rsidR="0037595E" w:rsidRPr="0060174F">
        <w:rPr>
          <w:lang w:val="en-GB"/>
        </w:rPr>
        <w:t xml:space="preserve"> </w:t>
      </w:r>
      <w:r w:rsidR="006F5D89" w:rsidRPr="0060174F">
        <w:rPr>
          <w:lang w:val="en-GB"/>
        </w:rPr>
        <w:t xml:space="preserve">The Government of Romania pays special </w:t>
      </w:r>
      <w:r w:rsidR="006F5D89" w:rsidRPr="0060174F">
        <w:rPr>
          <w:lang w:val="en-GB"/>
        </w:rPr>
        <w:lastRenderedPageBreak/>
        <w:t>attention to the development of regional cooperation in the field of freight transport and the Ministry of Transport will act to implement the initiative on the Black Sea - Caspian Sea freight corridor project. T</w:t>
      </w:r>
      <w:r w:rsidR="0037595E" w:rsidRPr="0060174F">
        <w:rPr>
          <w:lang w:val="en-GB"/>
        </w:rPr>
        <w:t xml:space="preserve">he development of the transport sector must </w:t>
      </w:r>
      <w:proofErr w:type="gramStart"/>
      <w:r w:rsidR="0037595E" w:rsidRPr="0060174F">
        <w:rPr>
          <w:lang w:val="en-GB"/>
        </w:rPr>
        <w:t>take into account</w:t>
      </w:r>
      <w:proofErr w:type="gramEnd"/>
      <w:r w:rsidR="0037595E" w:rsidRPr="0060174F">
        <w:rPr>
          <w:lang w:val="en-GB"/>
        </w:rPr>
        <w:t xml:space="preserve"> the necessary connections to the E</w:t>
      </w:r>
      <w:r w:rsidR="00F87129" w:rsidRPr="0060174F">
        <w:rPr>
          <w:lang w:val="en-GB"/>
        </w:rPr>
        <w:t xml:space="preserve">uropean </w:t>
      </w:r>
      <w:r w:rsidR="0037595E" w:rsidRPr="0060174F">
        <w:rPr>
          <w:lang w:val="en-GB"/>
        </w:rPr>
        <w:t>U</w:t>
      </w:r>
      <w:r w:rsidR="00F87129" w:rsidRPr="0060174F">
        <w:rPr>
          <w:lang w:val="en-GB"/>
        </w:rPr>
        <w:t>nion</w:t>
      </w:r>
      <w:r w:rsidR="0037595E" w:rsidRPr="0060174F">
        <w:rPr>
          <w:lang w:val="en-GB"/>
        </w:rPr>
        <w:t xml:space="preserve"> but also other regions, including towards Asia.</w:t>
      </w:r>
    </w:p>
    <w:p w14:paraId="49E4851A" w14:textId="1D939425" w:rsidR="00355D88" w:rsidRPr="0060174F" w:rsidRDefault="008C29AE" w:rsidP="001B4B65">
      <w:pPr>
        <w:pStyle w:val="SingleTxtG"/>
        <w:rPr>
          <w:lang w:val="en-GB"/>
        </w:rPr>
      </w:pPr>
      <w:r w:rsidRPr="0060174F">
        <w:rPr>
          <w:lang w:val="en-GB"/>
        </w:rPr>
        <w:t>18.</w:t>
      </w:r>
      <w:r w:rsidRPr="0060174F">
        <w:rPr>
          <w:lang w:val="en-GB"/>
        </w:rPr>
        <w:tab/>
      </w:r>
      <w:r w:rsidR="00FE7ED2" w:rsidRPr="0060174F">
        <w:rPr>
          <w:lang w:val="en-GB"/>
        </w:rPr>
        <w:t xml:space="preserve">Mr. </w:t>
      </w:r>
      <w:r w:rsidR="00355D88" w:rsidRPr="0060174F">
        <w:rPr>
          <w:lang w:val="en-GB"/>
        </w:rPr>
        <w:t>Matthew Baldwin, Deputy Director General of DG MOVE, informed the participants that the Commission had declared 2018 as the "Year of Multimodality".</w:t>
      </w:r>
      <w:r w:rsidR="002A640B" w:rsidRPr="0060174F">
        <w:rPr>
          <w:lang w:val="en-GB"/>
        </w:rPr>
        <w:t xml:space="preserve"> </w:t>
      </w:r>
      <w:r w:rsidR="00355D88" w:rsidRPr="0060174F">
        <w:rPr>
          <w:lang w:val="en-GB"/>
        </w:rPr>
        <w:t>Driven principally by the powerful force of d</w:t>
      </w:r>
      <w:r w:rsidR="00BE062D" w:rsidRPr="0060174F">
        <w:rPr>
          <w:lang w:val="en-GB"/>
        </w:rPr>
        <w:t>igitaliz</w:t>
      </w:r>
      <w:r w:rsidR="00355D88" w:rsidRPr="0060174F">
        <w:rPr>
          <w:lang w:val="en-GB"/>
        </w:rPr>
        <w:t>ation both for passengers and freight, the Commission saw great promise in delivering improved multimodality in order</w:t>
      </w:r>
      <w:r w:rsidR="00312BF2" w:rsidRPr="0060174F">
        <w:rPr>
          <w:lang w:val="en-GB"/>
        </w:rPr>
        <w:t>,</w:t>
      </w:r>
      <w:r w:rsidR="00355D88" w:rsidRPr="0060174F">
        <w:rPr>
          <w:lang w:val="en-GB"/>
        </w:rPr>
        <w:t xml:space="preserve"> inter alia</w:t>
      </w:r>
      <w:r w:rsidR="00312BF2" w:rsidRPr="0060174F">
        <w:rPr>
          <w:lang w:val="en-GB"/>
        </w:rPr>
        <w:t>,</w:t>
      </w:r>
      <w:r w:rsidR="00355D88" w:rsidRPr="0060174F">
        <w:rPr>
          <w:lang w:val="en-GB"/>
        </w:rPr>
        <w:t xml:space="preserve"> to reduce CO</w:t>
      </w:r>
      <w:r w:rsidR="00355D88" w:rsidRPr="0060174F">
        <w:rPr>
          <w:vertAlign w:val="subscript"/>
          <w:lang w:val="en-GB"/>
        </w:rPr>
        <w:t>2</w:t>
      </w:r>
      <w:r w:rsidR="00355D88" w:rsidRPr="0060174F">
        <w:rPr>
          <w:lang w:val="en-GB"/>
        </w:rPr>
        <w:t xml:space="preserve"> emissions, road congestion and air pollution.</w:t>
      </w:r>
      <w:r w:rsidR="002A640B" w:rsidRPr="0060174F">
        <w:rPr>
          <w:lang w:val="en-GB"/>
        </w:rPr>
        <w:t xml:space="preserve"> </w:t>
      </w:r>
      <w:r w:rsidR="00355D88" w:rsidRPr="0060174F">
        <w:rPr>
          <w:lang w:val="en-GB"/>
        </w:rPr>
        <w:t xml:space="preserve">But it also considered it important to examine the factors which have </w:t>
      </w:r>
      <w:r w:rsidR="00355D88" w:rsidRPr="0060174F">
        <w:rPr>
          <w:i/>
          <w:iCs/>
          <w:lang w:val="en-GB"/>
        </w:rPr>
        <w:t>prevented</w:t>
      </w:r>
      <w:r w:rsidR="00355D88" w:rsidRPr="0060174F">
        <w:rPr>
          <w:lang w:val="en-GB"/>
        </w:rPr>
        <w:t xml:space="preserve"> multimodal operations from assuming a more prominent role at the European and global levels. </w:t>
      </w:r>
      <w:r w:rsidR="00FE7ED2" w:rsidRPr="0060174F">
        <w:rPr>
          <w:lang w:val="en-GB"/>
        </w:rPr>
        <w:t xml:space="preserve">Mr. </w:t>
      </w:r>
      <w:r w:rsidR="00355D88" w:rsidRPr="0060174F">
        <w:rPr>
          <w:lang w:val="en-GB"/>
        </w:rPr>
        <w:t xml:space="preserve"> Baldwin acknowledged that ITC provides a useful forum for discussion of this important topic</w:t>
      </w:r>
      <w:r w:rsidR="00312BF2" w:rsidRPr="0060174F">
        <w:rPr>
          <w:lang w:val="en-GB"/>
        </w:rPr>
        <w:t>,</w:t>
      </w:r>
      <w:r w:rsidR="00355D88" w:rsidRPr="0060174F">
        <w:rPr>
          <w:lang w:val="en-GB"/>
        </w:rPr>
        <w:t xml:space="preserve"> and ensures that safe and sustainable operation of inland transport is strengthened in the new global framework of the U</w:t>
      </w:r>
      <w:r w:rsidR="0000080D" w:rsidRPr="0060174F">
        <w:rPr>
          <w:lang w:val="en-GB"/>
        </w:rPr>
        <w:t xml:space="preserve">nited </w:t>
      </w:r>
      <w:r w:rsidR="00355D88" w:rsidRPr="0060174F">
        <w:rPr>
          <w:lang w:val="en-GB"/>
        </w:rPr>
        <w:t>N</w:t>
      </w:r>
      <w:r w:rsidR="0000080D" w:rsidRPr="0060174F">
        <w:rPr>
          <w:lang w:val="en-GB"/>
        </w:rPr>
        <w:t>ations</w:t>
      </w:r>
      <w:r w:rsidR="00355D88" w:rsidRPr="0060174F">
        <w:rPr>
          <w:lang w:val="en-GB"/>
        </w:rPr>
        <w:t xml:space="preserve"> </w:t>
      </w:r>
      <w:r w:rsidR="0000080D" w:rsidRPr="0060174F">
        <w:rPr>
          <w:lang w:val="en-GB"/>
        </w:rPr>
        <w:t>Sustainable Development Goals</w:t>
      </w:r>
      <w:r w:rsidR="00355D88" w:rsidRPr="0060174F">
        <w:rPr>
          <w:lang w:val="en-GB"/>
        </w:rPr>
        <w:t>.</w:t>
      </w:r>
    </w:p>
    <w:p w14:paraId="5ED30F3C" w14:textId="363A1DA4" w:rsidR="00355D88" w:rsidRPr="0060174F" w:rsidRDefault="008C29AE" w:rsidP="00355D88">
      <w:pPr>
        <w:pStyle w:val="SingleTxtG"/>
        <w:rPr>
          <w:lang w:val="en-GB"/>
        </w:rPr>
      </w:pPr>
      <w:r w:rsidRPr="0060174F">
        <w:rPr>
          <w:lang w:val="en-GB"/>
        </w:rPr>
        <w:t>19.</w:t>
      </w:r>
      <w:r w:rsidRPr="0060174F">
        <w:rPr>
          <w:lang w:val="en-GB"/>
        </w:rPr>
        <w:tab/>
      </w:r>
      <w:r w:rsidR="00FE7ED2" w:rsidRPr="0060174F">
        <w:rPr>
          <w:lang w:val="en-GB"/>
        </w:rPr>
        <w:t xml:space="preserve">Mr. </w:t>
      </w:r>
      <w:r w:rsidR="00355D88" w:rsidRPr="0060174F">
        <w:rPr>
          <w:lang w:val="en-GB"/>
        </w:rPr>
        <w:t>Jean Todt, United Nations Secretary-General's Special Envoy for Road Safety, focused on the connections between intermodality on road safety.</w:t>
      </w:r>
      <w:r w:rsidR="002A640B" w:rsidRPr="0060174F">
        <w:rPr>
          <w:lang w:val="en-GB"/>
        </w:rPr>
        <w:t xml:space="preserve"> </w:t>
      </w:r>
      <w:r w:rsidR="00355D88" w:rsidRPr="0060174F">
        <w:rPr>
          <w:lang w:val="en-GB"/>
        </w:rPr>
        <w:t xml:space="preserve">“As the demand for mobility and transport continue to rise, intermodality must become an essence of transport if we are to build more sustainable transport system.” </w:t>
      </w:r>
      <w:r w:rsidR="00FE7ED2" w:rsidRPr="0060174F">
        <w:rPr>
          <w:lang w:val="en-GB"/>
        </w:rPr>
        <w:t xml:space="preserve">Mr. </w:t>
      </w:r>
      <w:r w:rsidR="00355D88" w:rsidRPr="0060174F">
        <w:rPr>
          <w:lang w:val="en-GB"/>
        </w:rPr>
        <w:t>Todt went on to say, “when we consider the expansion of public transport, the impact could be tremendous” citing estimates that when public transport increases from 10 to 20 per cent</w:t>
      </w:r>
      <w:r w:rsidR="00312BF2" w:rsidRPr="0060174F">
        <w:rPr>
          <w:lang w:val="en-GB"/>
        </w:rPr>
        <w:t>,</w:t>
      </w:r>
      <w:r w:rsidR="00355D88" w:rsidRPr="0060174F">
        <w:rPr>
          <w:lang w:val="en-GB"/>
        </w:rPr>
        <w:t xml:space="preserve"> traffic fatalities drop by 15 per cent. </w:t>
      </w:r>
    </w:p>
    <w:p w14:paraId="61FC5400" w14:textId="50D72F14" w:rsidR="00355D88" w:rsidRPr="0060174F" w:rsidRDefault="008C29AE" w:rsidP="00355D88">
      <w:pPr>
        <w:pStyle w:val="SingleTxtG"/>
        <w:rPr>
          <w:lang w:val="en-GB"/>
        </w:rPr>
      </w:pPr>
      <w:r w:rsidRPr="0060174F">
        <w:rPr>
          <w:lang w:val="en-GB"/>
        </w:rPr>
        <w:t>20.</w:t>
      </w:r>
      <w:r w:rsidRPr="0060174F">
        <w:rPr>
          <w:lang w:val="en-GB"/>
        </w:rPr>
        <w:tab/>
      </w:r>
      <w:r w:rsidR="00FE7ED2" w:rsidRPr="0060174F">
        <w:rPr>
          <w:lang w:val="en-GB"/>
        </w:rPr>
        <w:t>Mr.</w:t>
      </w:r>
      <w:r w:rsidR="00C87AA2" w:rsidRPr="0060174F">
        <w:rPr>
          <w:lang w:val="en-GB"/>
        </w:rPr>
        <w:t xml:space="preserve"> Jean-Pierre </w:t>
      </w:r>
      <w:proofErr w:type="spellStart"/>
      <w:r w:rsidR="00355D88" w:rsidRPr="0060174F">
        <w:rPr>
          <w:lang w:val="en-GB"/>
        </w:rPr>
        <w:t>Loubinoux</w:t>
      </w:r>
      <w:proofErr w:type="spellEnd"/>
      <w:r w:rsidR="00355D88" w:rsidRPr="0060174F">
        <w:rPr>
          <w:lang w:val="en-GB"/>
        </w:rPr>
        <w:t xml:space="preserve"> emphasized that to meet the challenges of sustainable mobility intermodality, it is important to further develop international transport corridors for freight and passengers. It is also crucial to continue joint projects on standardi</w:t>
      </w:r>
      <w:r w:rsidR="00C87AA2" w:rsidRPr="0060174F">
        <w:rPr>
          <w:lang w:val="en-GB"/>
        </w:rPr>
        <w:t>z</w:t>
      </w:r>
      <w:r w:rsidR="00355D88" w:rsidRPr="0060174F">
        <w:rPr>
          <w:lang w:val="en-GB"/>
        </w:rPr>
        <w:t>ation issues, thus highlighting the important role of the enhanced involvement of UIC in the work of ITC and its subsidiary bodies. It is also crucial to meet new challenges on safety and security.</w:t>
      </w:r>
    </w:p>
    <w:p w14:paraId="01C7C22F" w14:textId="0201A5B5" w:rsidR="008138F2" w:rsidRPr="0060174F" w:rsidRDefault="008C29AE" w:rsidP="00355D88">
      <w:pPr>
        <w:pStyle w:val="SingleTxtG"/>
        <w:rPr>
          <w:lang w:val="en-GB"/>
        </w:rPr>
      </w:pPr>
      <w:r w:rsidRPr="0060174F">
        <w:rPr>
          <w:lang w:val="en-GB"/>
        </w:rPr>
        <w:t>21.</w:t>
      </w:r>
      <w:r w:rsidRPr="0060174F">
        <w:rPr>
          <w:lang w:val="en-GB"/>
        </w:rPr>
        <w:tab/>
      </w:r>
      <w:r w:rsidR="00355D88" w:rsidRPr="0060174F">
        <w:rPr>
          <w:lang w:val="en-GB"/>
        </w:rPr>
        <w:t>Ms</w:t>
      </w:r>
      <w:r w:rsidR="0000080D" w:rsidRPr="0060174F">
        <w:rPr>
          <w:lang w:val="en-GB"/>
        </w:rPr>
        <w:t>.</w:t>
      </w:r>
      <w:r w:rsidR="00355D88" w:rsidRPr="0060174F">
        <w:rPr>
          <w:lang w:val="en-GB"/>
        </w:rPr>
        <w:t xml:space="preserve"> </w:t>
      </w:r>
      <w:r w:rsidR="00C87AA2" w:rsidRPr="0060174F">
        <w:rPr>
          <w:lang w:val="en-GB"/>
        </w:rPr>
        <w:t xml:space="preserve">Nancy Vandycke, Coordinator, </w:t>
      </w:r>
      <w:r w:rsidR="00355D88" w:rsidRPr="0060174F">
        <w:rPr>
          <w:lang w:val="en-GB"/>
        </w:rPr>
        <w:t xml:space="preserve">presented the plan of Sum4All to bridge the “Transport We Have” with the “Transport We Want”, </w:t>
      </w:r>
      <w:proofErr w:type="gramStart"/>
      <w:r w:rsidR="00355D88" w:rsidRPr="0060174F">
        <w:rPr>
          <w:lang w:val="en-GB"/>
        </w:rPr>
        <w:t>in order to</w:t>
      </w:r>
      <w:proofErr w:type="gramEnd"/>
      <w:r w:rsidR="00355D88" w:rsidRPr="0060174F">
        <w:rPr>
          <w:lang w:val="en-GB"/>
        </w:rPr>
        <w:t xml:space="preserve"> meet the ambitious goals of the 2030 Agenda for Sustainable Development. Through its </w:t>
      </w:r>
      <w:r w:rsidR="00BE062D" w:rsidRPr="0060174F">
        <w:rPr>
          <w:lang w:val="en-GB"/>
        </w:rPr>
        <w:t xml:space="preserve">four </w:t>
      </w:r>
      <w:r w:rsidR="00355D88" w:rsidRPr="0060174F">
        <w:rPr>
          <w:lang w:val="en-GB"/>
        </w:rPr>
        <w:t>global goals (</w:t>
      </w:r>
      <w:r w:rsidR="00C87AA2" w:rsidRPr="0060174F">
        <w:rPr>
          <w:lang w:val="en-GB"/>
        </w:rPr>
        <w:t>universal access</w:t>
      </w:r>
      <w:r w:rsidR="003B48C2" w:rsidRPr="0060174F">
        <w:rPr>
          <w:lang w:val="en-GB"/>
        </w:rPr>
        <w:t>,</w:t>
      </w:r>
      <w:r w:rsidR="00C87AA2" w:rsidRPr="0060174F">
        <w:rPr>
          <w:lang w:val="en-GB"/>
        </w:rPr>
        <w:t xml:space="preserve"> efficiency</w:t>
      </w:r>
      <w:r w:rsidR="003B48C2" w:rsidRPr="0060174F">
        <w:rPr>
          <w:lang w:val="en-GB"/>
        </w:rPr>
        <w:t>,</w:t>
      </w:r>
      <w:r w:rsidR="00C87AA2" w:rsidRPr="0060174F">
        <w:rPr>
          <w:lang w:val="en-GB"/>
        </w:rPr>
        <w:t xml:space="preserve"> safety</w:t>
      </w:r>
      <w:r w:rsidR="003B48C2" w:rsidRPr="0060174F">
        <w:rPr>
          <w:lang w:val="en-GB"/>
        </w:rPr>
        <w:t>,</w:t>
      </w:r>
      <w:r w:rsidR="00C87AA2" w:rsidRPr="0060174F">
        <w:rPr>
          <w:lang w:val="en-GB"/>
        </w:rPr>
        <w:t xml:space="preserve"> and green</w:t>
      </w:r>
      <w:r w:rsidR="00355D88" w:rsidRPr="0060174F">
        <w:rPr>
          <w:lang w:val="en-GB"/>
        </w:rPr>
        <w:t xml:space="preserve">), Sum4All in partnership with key transport stakeholders, including ITC published in 2017 the Global Mobility Report, the first-ever assessment of the transport sector globally, and its contribution to a sustainable future. The next step </w:t>
      </w:r>
      <w:r w:rsidR="00BE062D" w:rsidRPr="0060174F">
        <w:rPr>
          <w:lang w:val="en-GB"/>
        </w:rPr>
        <w:t xml:space="preserve">would be </w:t>
      </w:r>
      <w:r w:rsidR="00355D88" w:rsidRPr="0060174F">
        <w:rPr>
          <w:lang w:val="en-GB"/>
        </w:rPr>
        <w:t>the Global Road</w:t>
      </w:r>
      <w:r w:rsidR="00BE062D" w:rsidRPr="0060174F">
        <w:rPr>
          <w:lang w:val="en-GB"/>
        </w:rPr>
        <w:t xml:space="preserve"> Map </w:t>
      </w:r>
      <w:r w:rsidR="00355D88" w:rsidRPr="0060174F">
        <w:rPr>
          <w:lang w:val="en-GB"/>
        </w:rPr>
        <w:t xml:space="preserve">of Actions, a menu of actions that is informed by data and international agreements to assist countries in achieving sustainable mobility. ITC is actively engaged as </w:t>
      </w:r>
      <w:r w:rsidR="003B48C2" w:rsidRPr="0060174F">
        <w:rPr>
          <w:lang w:val="en-GB"/>
        </w:rPr>
        <w:t xml:space="preserve">a </w:t>
      </w:r>
      <w:r w:rsidR="00355D88" w:rsidRPr="0060174F">
        <w:rPr>
          <w:lang w:val="en-GB"/>
        </w:rPr>
        <w:t xml:space="preserve">co-lead in the </w:t>
      </w:r>
      <w:r w:rsidR="00BE062D" w:rsidRPr="0060174F">
        <w:rPr>
          <w:lang w:val="en-GB"/>
        </w:rPr>
        <w:t xml:space="preserve">efficiency and safety </w:t>
      </w:r>
      <w:r w:rsidR="005802FE" w:rsidRPr="0060174F">
        <w:rPr>
          <w:lang w:val="en-GB"/>
        </w:rPr>
        <w:t>working groups</w:t>
      </w:r>
      <w:r w:rsidR="00355D88" w:rsidRPr="0060174F">
        <w:rPr>
          <w:lang w:val="en-GB"/>
        </w:rPr>
        <w:t>.</w:t>
      </w:r>
    </w:p>
    <w:p w14:paraId="677145BC" w14:textId="143ECEF3" w:rsidR="008138F2" w:rsidRPr="0060174F" w:rsidRDefault="008138F2" w:rsidP="008138F2">
      <w:pPr>
        <w:pStyle w:val="H1G"/>
        <w:rPr>
          <w:lang w:val="en-GB"/>
        </w:rPr>
      </w:pPr>
      <w:r w:rsidRPr="0060174F">
        <w:rPr>
          <w:lang w:val="en-GB"/>
        </w:rPr>
        <w:tab/>
        <w:t>B.</w:t>
      </w:r>
      <w:r w:rsidRPr="0060174F">
        <w:rPr>
          <w:lang w:val="en-GB"/>
        </w:rPr>
        <w:tab/>
        <w:t>Panel II: ITC - Platform to link regulators and innovators: Technologies for sustainable mobility</w:t>
      </w:r>
    </w:p>
    <w:p w14:paraId="18B63037" w14:textId="4F84BE60" w:rsidR="00AD0CCC" w:rsidRPr="0060174F" w:rsidRDefault="008C29AE" w:rsidP="008138F2">
      <w:pPr>
        <w:pStyle w:val="SingleTxtG"/>
        <w:rPr>
          <w:lang w:val="en-GB"/>
        </w:rPr>
      </w:pPr>
      <w:r w:rsidRPr="0060174F">
        <w:rPr>
          <w:lang w:val="en-GB"/>
        </w:rPr>
        <w:t>22</w:t>
      </w:r>
      <w:r w:rsidR="008138F2" w:rsidRPr="0060174F">
        <w:rPr>
          <w:lang w:val="en-GB"/>
        </w:rPr>
        <w:t>.</w:t>
      </w:r>
      <w:r w:rsidR="008138F2" w:rsidRPr="0060174F">
        <w:rPr>
          <w:lang w:val="en-GB"/>
        </w:rPr>
        <w:tab/>
        <w:t xml:space="preserve">Participants agreed that </w:t>
      </w:r>
      <w:r w:rsidR="00AD0CCC" w:rsidRPr="0060174F">
        <w:rPr>
          <w:lang w:val="en-GB"/>
        </w:rPr>
        <w:t xml:space="preserve">innovation in transport </w:t>
      </w:r>
      <w:r w:rsidR="00910E2E" w:rsidRPr="0060174F">
        <w:rPr>
          <w:lang w:val="en-GB"/>
        </w:rPr>
        <w:t xml:space="preserve">has </w:t>
      </w:r>
      <w:r w:rsidR="00AD0CCC" w:rsidRPr="0060174F">
        <w:rPr>
          <w:lang w:val="en-GB"/>
        </w:rPr>
        <w:t>revolutioniz</w:t>
      </w:r>
      <w:r w:rsidR="00910E2E" w:rsidRPr="0060174F">
        <w:rPr>
          <w:lang w:val="en-GB"/>
        </w:rPr>
        <w:t>ed</w:t>
      </w:r>
      <w:r w:rsidR="00AD0CCC" w:rsidRPr="0060174F">
        <w:rPr>
          <w:lang w:val="en-GB"/>
        </w:rPr>
        <w:t xml:space="preserve"> intermodal freight transport and connectivity, changing everything from the way goods move, supply and demand meet each other, services are paid, to how transport legislation is designed. D</w:t>
      </w:r>
      <w:r w:rsidR="00BE062D" w:rsidRPr="0060174F">
        <w:rPr>
          <w:lang w:val="en-GB"/>
        </w:rPr>
        <w:t>igitaliz</w:t>
      </w:r>
      <w:r w:rsidR="00AD0CCC" w:rsidRPr="0060174F">
        <w:rPr>
          <w:lang w:val="en-GB"/>
        </w:rPr>
        <w:t>ation and e-docs in transport are already happening and are improving intermodal efficiency and governance. They also open new horizons for service provision, a</w:t>
      </w:r>
      <w:r w:rsidR="00910E2E" w:rsidRPr="0060174F">
        <w:rPr>
          <w:lang w:val="en-GB"/>
        </w:rPr>
        <w:t xml:space="preserve">nd </w:t>
      </w:r>
      <w:r w:rsidR="00AD0CCC" w:rsidRPr="0060174F">
        <w:rPr>
          <w:lang w:val="en-GB"/>
        </w:rPr>
        <w:t>for leapfrogging development stages. Accelerating the pace of the successful introduction of innovations in infrastructure, vehicles and mobility management will make intermodal transport safer and seamless.</w:t>
      </w:r>
    </w:p>
    <w:p w14:paraId="1953673C" w14:textId="3262A1E9" w:rsidR="00AD0CCC" w:rsidRPr="0060174F" w:rsidRDefault="008C29AE" w:rsidP="008138F2">
      <w:pPr>
        <w:pStyle w:val="SingleTxtG"/>
        <w:rPr>
          <w:lang w:val="en-GB"/>
        </w:rPr>
      </w:pPr>
      <w:r w:rsidRPr="0060174F">
        <w:rPr>
          <w:lang w:val="en-GB"/>
        </w:rPr>
        <w:t>23</w:t>
      </w:r>
      <w:r w:rsidR="0000080D" w:rsidRPr="0060174F">
        <w:rPr>
          <w:lang w:val="en-GB"/>
        </w:rPr>
        <w:t>.</w:t>
      </w:r>
      <w:r w:rsidRPr="0060174F">
        <w:rPr>
          <w:lang w:val="en-GB"/>
        </w:rPr>
        <w:tab/>
      </w:r>
      <w:r w:rsidR="00AD0CCC" w:rsidRPr="0060174F">
        <w:rPr>
          <w:lang w:val="en-GB"/>
        </w:rPr>
        <w:t xml:space="preserve">Infrastructure enabling intermodal connectivity is an important first step, but connecting services and facilitating the crossing of borders both for businesses and for people must be kept in mind. Land-locked developing countries suffer higher costs in their trade due </w:t>
      </w:r>
      <w:r w:rsidR="00AD0CCC" w:rsidRPr="0060174F">
        <w:rPr>
          <w:lang w:val="en-GB"/>
        </w:rPr>
        <w:lastRenderedPageBreak/>
        <w:t>to transit and border crossing bottlenecks</w:t>
      </w:r>
      <w:r w:rsidR="00910E2E" w:rsidRPr="0060174F">
        <w:rPr>
          <w:lang w:val="en-GB"/>
        </w:rPr>
        <w:t>,</w:t>
      </w:r>
      <w:r w:rsidR="00AD0CCC" w:rsidRPr="0060174F">
        <w:rPr>
          <w:lang w:val="en-GB"/>
        </w:rPr>
        <w:t xml:space="preserve"> and intermodality has a lot to contribute </w:t>
      </w:r>
      <w:r w:rsidR="00910E2E" w:rsidRPr="0060174F">
        <w:rPr>
          <w:lang w:val="en-GB"/>
        </w:rPr>
        <w:t xml:space="preserve">to </w:t>
      </w:r>
      <w:r w:rsidR="00AD0CCC" w:rsidRPr="0060174F">
        <w:rPr>
          <w:lang w:val="en-GB"/>
        </w:rPr>
        <w:t>help communities and economies connect with global supply chains.</w:t>
      </w:r>
    </w:p>
    <w:p w14:paraId="6736B09A" w14:textId="2A971055" w:rsidR="00355D88" w:rsidRPr="0060174F" w:rsidRDefault="008C29AE" w:rsidP="00355D88">
      <w:pPr>
        <w:pStyle w:val="SingleTxtG"/>
        <w:rPr>
          <w:lang w:val="en-GB"/>
        </w:rPr>
      </w:pPr>
      <w:r w:rsidRPr="0060174F">
        <w:rPr>
          <w:lang w:val="en-GB"/>
        </w:rPr>
        <w:t>24.</w:t>
      </w:r>
      <w:r w:rsidRPr="0060174F">
        <w:rPr>
          <w:lang w:val="en-GB"/>
        </w:rPr>
        <w:tab/>
      </w:r>
      <w:r w:rsidR="0000080D" w:rsidRPr="0060174F">
        <w:rPr>
          <w:lang w:val="en-GB"/>
        </w:rPr>
        <w:t xml:space="preserve">His Excellency </w:t>
      </w:r>
      <w:r w:rsidR="00FE7ED2" w:rsidRPr="0060174F">
        <w:rPr>
          <w:lang w:val="en-GB"/>
        </w:rPr>
        <w:t xml:space="preserve">Mr. </w:t>
      </w:r>
      <w:r w:rsidR="00355D88" w:rsidRPr="0060174F">
        <w:rPr>
          <w:lang w:val="en-GB"/>
        </w:rPr>
        <w:t xml:space="preserve">Abdalla Mohamed Obaid </w:t>
      </w:r>
      <w:proofErr w:type="spellStart"/>
      <w:r w:rsidR="00355D88" w:rsidRPr="0060174F">
        <w:rPr>
          <w:lang w:val="en-GB"/>
        </w:rPr>
        <w:t>Balhaif</w:t>
      </w:r>
      <w:proofErr w:type="spellEnd"/>
      <w:r w:rsidR="00355D88" w:rsidRPr="0060174F">
        <w:rPr>
          <w:lang w:val="en-GB"/>
        </w:rPr>
        <w:t xml:space="preserve"> </w:t>
      </w:r>
      <w:proofErr w:type="spellStart"/>
      <w:r w:rsidR="00355D88" w:rsidRPr="0060174F">
        <w:rPr>
          <w:lang w:val="en-GB"/>
        </w:rPr>
        <w:t>Alnuaimi</w:t>
      </w:r>
      <w:proofErr w:type="spellEnd"/>
      <w:r w:rsidR="00355D88" w:rsidRPr="0060174F">
        <w:rPr>
          <w:lang w:val="en-GB"/>
        </w:rPr>
        <w:t>, Minister of Infrastructure Development of the United Arab Emirates (UAE), explored how the country, in agreement with its neighbours, ha</w:t>
      </w:r>
      <w:r w:rsidR="00BE062D" w:rsidRPr="0060174F">
        <w:rPr>
          <w:lang w:val="en-GB"/>
        </w:rPr>
        <w:t>d</w:t>
      </w:r>
      <w:r w:rsidR="00355D88" w:rsidRPr="0060174F">
        <w:rPr>
          <w:lang w:val="en-GB"/>
        </w:rPr>
        <w:t xml:space="preserve"> diversified its transport with significant new rail development. With 264 kilometres of new rail, UAE had removed about 1,000 trucks from their roads, making transport in the country safer and more environmentally friendly.</w:t>
      </w:r>
      <w:r w:rsidR="002A640B" w:rsidRPr="0060174F">
        <w:rPr>
          <w:lang w:val="en-GB"/>
        </w:rPr>
        <w:t xml:space="preserve"> </w:t>
      </w:r>
      <w:r w:rsidR="00355D88" w:rsidRPr="0060174F">
        <w:rPr>
          <w:lang w:val="en-GB"/>
        </w:rPr>
        <w:t xml:space="preserve">However, he stressed that it would be a mistake to only look at old modes of transport when considering </w:t>
      </w:r>
      <w:r w:rsidR="00BE062D" w:rsidRPr="0060174F">
        <w:rPr>
          <w:lang w:val="en-GB"/>
        </w:rPr>
        <w:t>i</w:t>
      </w:r>
      <w:r w:rsidR="00355D88" w:rsidRPr="0060174F">
        <w:rPr>
          <w:lang w:val="en-GB"/>
        </w:rPr>
        <w:t xml:space="preserve">ntermodality, as new means of transport are constantly on the horizon. He went on to stress the development of drones, and while they are not carrying heavy cargo now, the technology is developing fast. </w:t>
      </w:r>
    </w:p>
    <w:p w14:paraId="26C903E4" w14:textId="6A82FF09" w:rsidR="005C7D3B" w:rsidRPr="0060174F" w:rsidRDefault="008C29AE" w:rsidP="005C7D3B">
      <w:pPr>
        <w:pStyle w:val="SingleTxtG"/>
        <w:rPr>
          <w:lang w:val="en-GB"/>
        </w:rPr>
      </w:pPr>
      <w:r w:rsidRPr="0060174F">
        <w:rPr>
          <w:lang w:val="en-GB"/>
        </w:rPr>
        <w:t>25.</w:t>
      </w:r>
      <w:r w:rsidRPr="0060174F">
        <w:rPr>
          <w:lang w:val="en-GB"/>
        </w:rPr>
        <w:tab/>
      </w:r>
      <w:r w:rsidR="00FE7ED2" w:rsidRPr="0060174F">
        <w:rPr>
          <w:lang w:val="en-GB"/>
        </w:rPr>
        <w:t xml:space="preserve">Mr. </w:t>
      </w:r>
      <w:proofErr w:type="spellStart"/>
      <w:r w:rsidR="005C7D3B" w:rsidRPr="0060174F">
        <w:rPr>
          <w:lang w:val="en-GB"/>
        </w:rPr>
        <w:t>Jumageldi</w:t>
      </w:r>
      <w:proofErr w:type="spellEnd"/>
      <w:r w:rsidR="005C7D3B" w:rsidRPr="0060174F">
        <w:rPr>
          <w:lang w:val="en-GB"/>
        </w:rPr>
        <w:t xml:space="preserve"> </w:t>
      </w:r>
      <w:proofErr w:type="spellStart"/>
      <w:r w:rsidR="005C7D3B" w:rsidRPr="0060174F">
        <w:rPr>
          <w:lang w:val="en-GB"/>
        </w:rPr>
        <w:t>Garayev</w:t>
      </w:r>
      <w:proofErr w:type="spellEnd"/>
      <w:r w:rsidR="005C7D3B" w:rsidRPr="0060174F">
        <w:rPr>
          <w:lang w:val="en-GB"/>
        </w:rPr>
        <w:t>, Deputy Minister of Motor Transport of Turkmenistan, noted that in line with the general policy of Turkmenistan, based on the principles of positive neutrality and aimed at developing a broad international cooperation, Turkmenistan had initiated three General Assembly resolutions in the field of transport, the latest on "Strengthening the links between all modes of transport to achieve the Sustainable Development Goals" (A/RES/72/212), adopted on 20 December 2017. Furthermore, he stressed that in recent years, Turkmenistan had implemented major regional and transcontinental projects</w:t>
      </w:r>
      <w:r w:rsidR="0000080D" w:rsidRPr="0060174F">
        <w:rPr>
          <w:lang w:val="en-GB"/>
        </w:rPr>
        <w:t>.</w:t>
      </w:r>
      <w:r w:rsidR="005C7D3B" w:rsidRPr="0060174F">
        <w:rPr>
          <w:lang w:val="en-GB"/>
        </w:rPr>
        <w:t xml:space="preserve"> He emphasized that progress in sustainable transport contributes to all the goals of sustainable development and welcomed the work of the Committee to help achieve </w:t>
      </w:r>
      <w:r w:rsidR="008E7551" w:rsidRPr="0060174F">
        <w:rPr>
          <w:lang w:val="en-GB"/>
        </w:rPr>
        <w:t xml:space="preserve">the </w:t>
      </w:r>
      <w:r w:rsidR="00FE7ED2" w:rsidRPr="0060174F">
        <w:rPr>
          <w:lang w:val="en-GB"/>
        </w:rPr>
        <w:t>Sustainable Development Goal</w:t>
      </w:r>
      <w:r w:rsidR="005C7D3B" w:rsidRPr="0060174F">
        <w:rPr>
          <w:lang w:val="en-GB"/>
        </w:rPr>
        <w:t xml:space="preserve">s. </w:t>
      </w:r>
    </w:p>
    <w:p w14:paraId="3821F1F1" w14:textId="3FC64CA6" w:rsidR="00355D88" w:rsidRPr="0060174F" w:rsidRDefault="008C29AE" w:rsidP="00355D88">
      <w:pPr>
        <w:pStyle w:val="SingleTxtG"/>
        <w:rPr>
          <w:lang w:val="en-GB"/>
        </w:rPr>
      </w:pPr>
      <w:r w:rsidRPr="0060174F">
        <w:rPr>
          <w:lang w:val="en-GB"/>
        </w:rPr>
        <w:t>26.</w:t>
      </w:r>
      <w:r w:rsidRPr="0060174F">
        <w:rPr>
          <w:lang w:val="en-GB"/>
        </w:rPr>
        <w:tab/>
      </w:r>
      <w:r w:rsidR="00FE7ED2" w:rsidRPr="0060174F">
        <w:rPr>
          <w:lang w:val="en-GB"/>
        </w:rPr>
        <w:t xml:space="preserve">Mr. </w:t>
      </w:r>
      <w:r w:rsidR="00355D88" w:rsidRPr="0060174F">
        <w:rPr>
          <w:lang w:val="en-GB"/>
        </w:rPr>
        <w:t xml:space="preserve">Umberto De </w:t>
      </w:r>
      <w:proofErr w:type="spellStart"/>
      <w:r w:rsidR="00355D88" w:rsidRPr="0060174F">
        <w:rPr>
          <w:lang w:val="en-GB"/>
        </w:rPr>
        <w:t>Pretto</w:t>
      </w:r>
      <w:proofErr w:type="spellEnd"/>
      <w:r w:rsidR="00355D88" w:rsidRPr="0060174F">
        <w:rPr>
          <w:lang w:val="en-GB"/>
        </w:rPr>
        <w:t xml:space="preserve">, </w:t>
      </w:r>
      <w:r w:rsidR="00BE062D" w:rsidRPr="0060174F">
        <w:rPr>
          <w:lang w:val="en-GB"/>
        </w:rPr>
        <w:t>Secretary-</w:t>
      </w:r>
      <w:r w:rsidR="00355D88" w:rsidRPr="0060174F">
        <w:rPr>
          <w:lang w:val="en-GB"/>
        </w:rPr>
        <w:t xml:space="preserve">General, International Road Transport Union (IRU) stressed that multi-modality is not important </w:t>
      </w:r>
      <w:proofErr w:type="gramStart"/>
      <w:r w:rsidR="00355D88" w:rsidRPr="0060174F">
        <w:rPr>
          <w:lang w:val="en-GB"/>
        </w:rPr>
        <w:t>in itself, but</w:t>
      </w:r>
      <w:proofErr w:type="gramEnd"/>
      <w:r w:rsidR="00355D88" w:rsidRPr="0060174F">
        <w:rPr>
          <w:lang w:val="en-GB"/>
        </w:rPr>
        <w:t xml:space="preserve"> rather because it can be used to find the most efficient and cheapest option for shipping, thus expanding logistic chains and using stretched infrastructure to the best possible effect. </w:t>
      </w:r>
      <w:r w:rsidR="00FE7ED2" w:rsidRPr="0060174F">
        <w:rPr>
          <w:lang w:val="en-GB"/>
        </w:rPr>
        <w:t xml:space="preserve">Mr. </w:t>
      </w:r>
      <w:r w:rsidR="00355D88" w:rsidRPr="0060174F">
        <w:rPr>
          <w:lang w:val="en-GB"/>
        </w:rPr>
        <w:t xml:space="preserve">De </w:t>
      </w:r>
      <w:proofErr w:type="spellStart"/>
      <w:r w:rsidR="00355D88" w:rsidRPr="0060174F">
        <w:rPr>
          <w:lang w:val="en-GB"/>
        </w:rPr>
        <w:t>Pretto</w:t>
      </w:r>
      <w:proofErr w:type="spellEnd"/>
      <w:r w:rsidR="00355D88" w:rsidRPr="0060174F">
        <w:rPr>
          <w:lang w:val="en-GB"/>
        </w:rPr>
        <w:t xml:space="preserve"> made the case for intermodality, by showcasing a 5-day saving in time when using TIR along an intermodal trade corridor linking Europe to the Middle East. </w:t>
      </w:r>
      <w:r w:rsidR="00FE7ED2" w:rsidRPr="0060174F">
        <w:rPr>
          <w:lang w:val="en-GB"/>
        </w:rPr>
        <w:t xml:space="preserve">Mr. </w:t>
      </w:r>
      <w:r w:rsidR="00355D88" w:rsidRPr="0060174F">
        <w:rPr>
          <w:lang w:val="en-GB"/>
        </w:rPr>
        <w:t xml:space="preserve">De </w:t>
      </w:r>
      <w:proofErr w:type="spellStart"/>
      <w:r w:rsidR="00355D88" w:rsidRPr="0060174F">
        <w:rPr>
          <w:lang w:val="en-GB"/>
        </w:rPr>
        <w:t>Pretto</w:t>
      </w:r>
      <w:proofErr w:type="spellEnd"/>
      <w:r w:rsidR="00355D88" w:rsidRPr="0060174F">
        <w:rPr>
          <w:lang w:val="en-GB"/>
        </w:rPr>
        <w:t xml:space="preserve"> further highlighted the benefits of </w:t>
      </w:r>
      <w:proofErr w:type="spellStart"/>
      <w:r w:rsidR="00355D88" w:rsidRPr="0060174F">
        <w:rPr>
          <w:lang w:val="en-GB"/>
        </w:rPr>
        <w:t>eTIR</w:t>
      </w:r>
      <w:proofErr w:type="spellEnd"/>
      <w:r w:rsidR="00355D88" w:rsidRPr="0060174F">
        <w:rPr>
          <w:lang w:val="en-GB"/>
        </w:rPr>
        <w:t xml:space="preserve"> and </w:t>
      </w:r>
      <w:proofErr w:type="spellStart"/>
      <w:r w:rsidR="00355D88" w:rsidRPr="0060174F">
        <w:rPr>
          <w:lang w:val="en-GB"/>
        </w:rPr>
        <w:t>eCMR</w:t>
      </w:r>
      <w:proofErr w:type="spellEnd"/>
      <w:r w:rsidR="00355D88" w:rsidRPr="0060174F">
        <w:rPr>
          <w:lang w:val="en-GB"/>
        </w:rPr>
        <w:t xml:space="preserve"> in deploying digitalization in freight transport and the benefits for intermodality.</w:t>
      </w:r>
    </w:p>
    <w:p w14:paraId="094B76E8" w14:textId="2BECE00F" w:rsidR="00355D88" w:rsidRPr="0060174F" w:rsidRDefault="008C29AE" w:rsidP="00355D88">
      <w:pPr>
        <w:pStyle w:val="SingleTxtG"/>
        <w:rPr>
          <w:lang w:val="en-GB"/>
        </w:rPr>
      </w:pPr>
      <w:r w:rsidRPr="0060174F">
        <w:rPr>
          <w:lang w:val="en-GB"/>
        </w:rPr>
        <w:t>27.</w:t>
      </w:r>
      <w:r w:rsidRPr="0060174F">
        <w:rPr>
          <w:lang w:val="en-GB"/>
        </w:rPr>
        <w:tab/>
      </w:r>
      <w:r w:rsidR="00FE7ED2" w:rsidRPr="0060174F">
        <w:rPr>
          <w:lang w:val="en-GB"/>
        </w:rPr>
        <w:t xml:space="preserve">Mr. </w:t>
      </w:r>
      <w:r w:rsidR="006B2764" w:rsidRPr="0060174F">
        <w:rPr>
          <w:lang w:val="en-GB"/>
        </w:rPr>
        <w:t xml:space="preserve">Sandagdorj </w:t>
      </w:r>
      <w:r w:rsidR="00355D88" w:rsidRPr="0060174F">
        <w:rPr>
          <w:lang w:val="en-GB"/>
        </w:rPr>
        <w:t>Erdenebileg</w:t>
      </w:r>
      <w:r w:rsidR="0000080D" w:rsidRPr="0060174F">
        <w:rPr>
          <w:lang w:val="en-GB"/>
        </w:rPr>
        <w:t xml:space="preserve"> (UN-OHRLLS) </w:t>
      </w:r>
      <w:r w:rsidR="00355D88" w:rsidRPr="0060174F">
        <w:rPr>
          <w:lang w:val="en-GB"/>
        </w:rPr>
        <w:t xml:space="preserve">emphasized the importance of intermodality and transport in general for the landlocked developing countries (LLDCs), who face special challenges and needs due to their geographical position and isolation from world markets. </w:t>
      </w:r>
      <w:proofErr w:type="gramStart"/>
      <w:r w:rsidR="00355D88" w:rsidRPr="0060174F">
        <w:rPr>
          <w:lang w:val="en-GB"/>
        </w:rPr>
        <w:t>As a result of</w:t>
      </w:r>
      <w:proofErr w:type="gramEnd"/>
      <w:r w:rsidR="00355D88" w:rsidRPr="0060174F">
        <w:rPr>
          <w:lang w:val="en-GB"/>
        </w:rPr>
        <w:t xml:space="preserve"> these challenges, the level of development of LLDCs is about 20</w:t>
      </w:r>
      <w:r w:rsidR="00BE062D" w:rsidRPr="0060174F">
        <w:rPr>
          <w:lang w:val="en-GB"/>
        </w:rPr>
        <w:t xml:space="preserve"> per cent </w:t>
      </w:r>
      <w:r w:rsidR="00355D88" w:rsidRPr="0060174F">
        <w:rPr>
          <w:lang w:val="en-GB"/>
        </w:rPr>
        <w:t xml:space="preserve">lower than it would be if they were not landlocked. One of the specific objectives of the Vienna Programme of Action is to significantly improve intermodal connectivity with the aim of ensuring efficient intermodal transfers. The achievement of the </w:t>
      </w:r>
      <w:r w:rsidR="00FE7ED2" w:rsidRPr="0060174F">
        <w:rPr>
          <w:lang w:val="en-GB"/>
        </w:rPr>
        <w:t>Sustainable Development Goal</w:t>
      </w:r>
      <w:r w:rsidR="00355D88" w:rsidRPr="0060174F">
        <w:rPr>
          <w:lang w:val="en-GB"/>
        </w:rPr>
        <w:t>s can only be successful if attention is paid to the most vulnerable countries and if no one is left behind.</w:t>
      </w:r>
    </w:p>
    <w:p w14:paraId="6715F057" w14:textId="496D13FA" w:rsidR="008138F2" w:rsidRPr="0060174F" w:rsidRDefault="008C29AE" w:rsidP="00355D88">
      <w:pPr>
        <w:pStyle w:val="SingleTxtG"/>
        <w:rPr>
          <w:lang w:val="en-GB"/>
        </w:rPr>
      </w:pPr>
      <w:r w:rsidRPr="0060174F">
        <w:rPr>
          <w:lang w:val="en-GB"/>
        </w:rPr>
        <w:t>28.</w:t>
      </w:r>
      <w:r w:rsidRPr="0060174F">
        <w:rPr>
          <w:lang w:val="en-GB"/>
        </w:rPr>
        <w:tab/>
      </w:r>
      <w:r w:rsidR="00FE7ED2" w:rsidRPr="0060174F">
        <w:rPr>
          <w:lang w:val="en-GB"/>
        </w:rPr>
        <w:t xml:space="preserve">Mr. </w:t>
      </w:r>
      <w:r w:rsidR="00355D88" w:rsidRPr="0060174F">
        <w:rPr>
          <w:lang w:val="en-GB"/>
        </w:rPr>
        <w:t xml:space="preserve">Ralf-Charley Schultze, Chair, </w:t>
      </w:r>
      <w:r w:rsidR="00BE062D" w:rsidRPr="0060174F">
        <w:rPr>
          <w:lang w:val="en-GB"/>
        </w:rPr>
        <w:t xml:space="preserve">International Union of Combined Road-Rail Transport </w:t>
      </w:r>
      <w:proofErr w:type="gramStart"/>
      <w:r w:rsidR="00BE062D" w:rsidRPr="0060174F">
        <w:rPr>
          <w:lang w:val="en-GB"/>
        </w:rPr>
        <w:t>Companies</w:t>
      </w:r>
      <w:r w:rsidR="00BE062D" w:rsidRPr="0060174F" w:rsidDel="00BE062D">
        <w:rPr>
          <w:lang w:val="en-GB"/>
        </w:rPr>
        <w:t xml:space="preserve"> </w:t>
      </w:r>
      <w:r w:rsidR="00355D88" w:rsidRPr="0060174F">
        <w:rPr>
          <w:lang w:val="en-GB"/>
        </w:rPr>
        <w:t xml:space="preserve"> (</w:t>
      </w:r>
      <w:proofErr w:type="gramEnd"/>
      <w:r w:rsidR="00355D88" w:rsidRPr="0060174F">
        <w:rPr>
          <w:lang w:val="en-GB"/>
        </w:rPr>
        <w:t xml:space="preserve">UIRR) posited that the answer to the challenges of longer distance freight transport is intermodal/combined transport. After identifying the intermodal bottlenecks in Europe, ranging from physical bottlenecks to national rules and divergent regulatory framework and enforcement, </w:t>
      </w:r>
      <w:r w:rsidR="00FE7ED2" w:rsidRPr="0060174F">
        <w:rPr>
          <w:lang w:val="en-GB"/>
        </w:rPr>
        <w:t xml:space="preserve">Mr. </w:t>
      </w:r>
      <w:r w:rsidR="00355D88" w:rsidRPr="0060174F">
        <w:rPr>
          <w:lang w:val="en-GB"/>
        </w:rPr>
        <w:t>Schultze made the case that intermodality can deliver the desired sustainable transport solutions, when the right conditions are in place.</w:t>
      </w:r>
    </w:p>
    <w:p w14:paraId="4FB21A56" w14:textId="78A43F60" w:rsidR="008138F2" w:rsidRPr="0060174F" w:rsidRDefault="008138F2" w:rsidP="008138F2">
      <w:pPr>
        <w:pStyle w:val="H1G"/>
        <w:rPr>
          <w:lang w:val="en-GB"/>
        </w:rPr>
      </w:pPr>
      <w:r w:rsidRPr="0060174F">
        <w:rPr>
          <w:lang w:val="en-GB"/>
        </w:rPr>
        <w:lastRenderedPageBreak/>
        <w:tab/>
        <w:t>C.</w:t>
      </w:r>
      <w:r w:rsidRPr="0060174F">
        <w:rPr>
          <w:lang w:val="en-GB"/>
        </w:rPr>
        <w:tab/>
        <w:t>Panel III: ITC - The centre of United Nations transport conventions: The benefits of internationally harmonized regulatory governance for inland transport</w:t>
      </w:r>
    </w:p>
    <w:p w14:paraId="5145D1BA" w14:textId="520B66D2" w:rsidR="00AD0CCC" w:rsidRPr="0060174F" w:rsidRDefault="008C29AE" w:rsidP="00AD0CCC">
      <w:pPr>
        <w:pStyle w:val="SingleTxtG"/>
        <w:rPr>
          <w:lang w:val="en-GB"/>
        </w:rPr>
      </w:pPr>
      <w:r w:rsidRPr="0060174F">
        <w:rPr>
          <w:lang w:val="en-GB"/>
        </w:rPr>
        <w:t>29</w:t>
      </w:r>
      <w:r w:rsidR="008138F2" w:rsidRPr="0060174F">
        <w:rPr>
          <w:lang w:val="en-GB"/>
        </w:rPr>
        <w:t>.</w:t>
      </w:r>
      <w:r w:rsidR="008138F2" w:rsidRPr="0060174F">
        <w:rPr>
          <w:lang w:val="en-GB"/>
        </w:rPr>
        <w:tab/>
      </w:r>
      <w:r w:rsidR="006B2764" w:rsidRPr="0060174F">
        <w:rPr>
          <w:lang w:val="en-GB"/>
        </w:rPr>
        <w:t>D</w:t>
      </w:r>
      <w:r w:rsidR="00AD0CCC" w:rsidRPr="0060174F">
        <w:rPr>
          <w:lang w:val="en-GB"/>
        </w:rPr>
        <w:t>iscussion</w:t>
      </w:r>
      <w:r w:rsidR="006B2764" w:rsidRPr="0060174F">
        <w:rPr>
          <w:lang w:val="en-GB"/>
        </w:rPr>
        <w:t>s</w:t>
      </w:r>
      <w:r w:rsidR="00AD0CCC" w:rsidRPr="0060174F">
        <w:rPr>
          <w:lang w:val="en-GB"/>
        </w:rPr>
        <w:t xml:space="preserve"> in this panel </w:t>
      </w:r>
      <w:r w:rsidR="006B2764" w:rsidRPr="0060174F">
        <w:rPr>
          <w:lang w:val="en-GB"/>
        </w:rPr>
        <w:t xml:space="preserve">were </w:t>
      </w:r>
      <w:r w:rsidR="00AD0CCC" w:rsidRPr="0060174F">
        <w:rPr>
          <w:lang w:val="en-GB"/>
        </w:rPr>
        <w:t>framed by global megatrends: in 2011, the global population reached the 7 billion and, depending on changes in future fertility rates, world population is expected to surpass 8 billion people in 2030 in the low fertility scenario, and be close to 9 billion in the high fertility scenario. In addition to population growth, the world experienc</w:t>
      </w:r>
      <w:r w:rsidR="006B2764" w:rsidRPr="0060174F">
        <w:rPr>
          <w:lang w:val="en-GB"/>
        </w:rPr>
        <w:t>es</w:t>
      </w:r>
      <w:r w:rsidR="00AD0CCC" w:rsidRPr="0060174F">
        <w:rPr>
          <w:lang w:val="en-GB"/>
        </w:rPr>
        <w:t xml:space="preserve"> high levels of urbanization and accelerating migration. </w:t>
      </w:r>
      <w:r w:rsidR="00BE062D" w:rsidRPr="0060174F">
        <w:rPr>
          <w:lang w:val="en-GB"/>
        </w:rPr>
        <w:t xml:space="preserve">The </w:t>
      </w:r>
      <w:r w:rsidR="006B2764" w:rsidRPr="0060174F">
        <w:rPr>
          <w:lang w:val="en-GB"/>
        </w:rPr>
        <w:t xml:space="preserve">global </w:t>
      </w:r>
      <w:r w:rsidR="00AD0CCC" w:rsidRPr="0060174F">
        <w:rPr>
          <w:lang w:val="en-GB"/>
        </w:rPr>
        <w:t xml:space="preserve">urban population is now close to 3.9 billion and is expected to reach 6.3 billion in 2050, with nearly 90 per cent of the increase in the urban areas of Africa and Asia. </w:t>
      </w:r>
    </w:p>
    <w:p w14:paraId="0F5594FF" w14:textId="7E54A056" w:rsidR="008765E0" w:rsidRPr="0060174F" w:rsidRDefault="008C29AE" w:rsidP="00AD0CCC">
      <w:pPr>
        <w:pStyle w:val="SingleTxtG"/>
        <w:rPr>
          <w:lang w:val="en-GB"/>
        </w:rPr>
      </w:pPr>
      <w:r w:rsidRPr="0060174F">
        <w:rPr>
          <w:lang w:val="en-GB"/>
        </w:rPr>
        <w:t>30.</w:t>
      </w:r>
      <w:r w:rsidRPr="0060174F">
        <w:rPr>
          <w:lang w:val="en-GB"/>
        </w:rPr>
        <w:tab/>
      </w:r>
      <w:r w:rsidR="006B2764" w:rsidRPr="0060174F">
        <w:rPr>
          <w:lang w:val="en-GB"/>
        </w:rPr>
        <w:t xml:space="preserve">The challenge of </w:t>
      </w:r>
      <w:r w:rsidR="00AD0CCC" w:rsidRPr="0060174F">
        <w:rPr>
          <w:lang w:val="en-GB"/>
        </w:rPr>
        <w:t xml:space="preserve">passenger mobility is to develop sustainable urban mobility and public transport that includes cycling and walking, and </w:t>
      </w:r>
      <w:r w:rsidR="006B2764" w:rsidRPr="0060174F">
        <w:rPr>
          <w:lang w:val="en-GB"/>
        </w:rPr>
        <w:t xml:space="preserve">the </w:t>
      </w:r>
      <w:r w:rsidR="00AD0CCC" w:rsidRPr="0060174F">
        <w:rPr>
          <w:lang w:val="en-GB"/>
        </w:rPr>
        <w:t xml:space="preserve">integrated services </w:t>
      </w:r>
      <w:r w:rsidR="006B2764" w:rsidRPr="0060174F">
        <w:rPr>
          <w:lang w:val="en-GB"/>
        </w:rPr>
        <w:t xml:space="preserve">that facilitate </w:t>
      </w:r>
      <w:r w:rsidR="00AD0CCC" w:rsidRPr="0060174F">
        <w:rPr>
          <w:lang w:val="en-GB"/>
        </w:rPr>
        <w:t xml:space="preserve">and </w:t>
      </w:r>
      <w:r w:rsidR="006B2764" w:rsidRPr="0060174F">
        <w:rPr>
          <w:lang w:val="en-GB"/>
        </w:rPr>
        <w:t xml:space="preserve">encourage </w:t>
      </w:r>
      <w:r w:rsidR="00AD0CCC" w:rsidRPr="0060174F">
        <w:rPr>
          <w:lang w:val="en-GB"/>
        </w:rPr>
        <w:t>passengers to use them. With six out of ten people expected to live in cities by 2030, it is essential to identify strategies and policies to promote sustainable urban mobility and public transport. A key component in the needed policy mix is moving away from individual motorized transport, with the objective to mitigate pollution, congestion and safety risks. Mobility as a service could be, under certain conditions, the key to achieving this objective</w:t>
      </w:r>
    </w:p>
    <w:p w14:paraId="1328CC4B" w14:textId="27030ADB" w:rsidR="00355D88" w:rsidRPr="0060174F" w:rsidRDefault="008C29AE" w:rsidP="00355D88">
      <w:pPr>
        <w:pStyle w:val="SingleTxtG"/>
        <w:rPr>
          <w:lang w:val="en-GB"/>
        </w:rPr>
      </w:pPr>
      <w:r w:rsidRPr="0060174F">
        <w:rPr>
          <w:lang w:val="en-GB"/>
        </w:rPr>
        <w:t>31.</w:t>
      </w:r>
      <w:r w:rsidRPr="0060174F">
        <w:rPr>
          <w:lang w:val="en-GB"/>
        </w:rPr>
        <w:tab/>
      </w:r>
      <w:r w:rsidR="0000080D" w:rsidRPr="0060174F">
        <w:rPr>
          <w:lang w:val="en-GB"/>
        </w:rPr>
        <w:t xml:space="preserve">His Excellency </w:t>
      </w:r>
      <w:r w:rsidR="00FE7ED2" w:rsidRPr="0060174F">
        <w:rPr>
          <w:lang w:val="en-GB"/>
        </w:rPr>
        <w:t xml:space="preserve">Mr. </w:t>
      </w:r>
      <w:proofErr w:type="spellStart"/>
      <w:r w:rsidR="009D733E" w:rsidRPr="0060174F">
        <w:rPr>
          <w:lang w:val="en-GB"/>
        </w:rPr>
        <w:t>Arkhom</w:t>
      </w:r>
      <w:proofErr w:type="spellEnd"/>
      <w:r w:rsidR="009D733E" w:rsidRPr="0060174F">
        <w:rPr>
          <w:lang w:val="en-GB"/>
        </w:rPr>
        <w:t xml:space="preserve"> </w:t>
      </w:r>
      <w:proofErr w:type="spellStart"/>
      <w:r w:rsidR="00355D88" w:rsidRPr="0060174F">
        <w:rPr>
          <w:lang w:val="en-GB"/>
        </w:rPr>
        <w:t>Termpittayapaisith</w:t>
      </w:r>
      <w:proofErr w:type="spellEnd"/>
      <w:r w:rsidR="00355D88" w:rsidRPr="0060174F">
        <w:rPr>
          <w:lang w:val="en-GB"/>
        </w:rPr>
        <w:t xml:space="preserve">, Minister of Transport of Thailand, stressed that we should not consider the </w:t>
      </w:r>
      <w:r w:rsidR="00BE062D" w:rsidRPr="0060174F">
        <w:rPr>
          <w:lang w:val="en-GB"/>
        </w:rPr>
        <w:t xml:space="preserve">shipment </w:t>
      </w:r>
      <w:r w:rsidR="00355D88" w:rsidRPr="0060174F">
        <w:rPr>
          <w:lang w:val="en-GB"/>
        </w:rPr>
        <w:t xml:space="preserve">of goods and the transport of people differently because they will all ultimately use the same infrastructure </w:t>
      </w:r>
      <w:r w:rsidR="005F7302" w:rsidRPr="0060174F">
        <w:rPr>
          <w:lang w:val="en-GB"/>
        </w:rPr>
        <w:t>—</w:t>
      </w:r>
      <w:r w:rsidR="005F7302" w:rsidRPr="0060174F" w:rsidDel="005F7302">
        <w:rPr>
          <w:lang w:val="en-GB"/>
        </w:rPr>
        <w:t xml:space="preserve"> </w:t>
      </w:r>
      <w:r w:rsidR="00355D88" w:rsidRPr="0060174F">
        <w:rPr>
          <w:lang w:val="en-GB"/>
        </w:rPr>
        <w:t>so their plans cannot be developed separately. To integrate transport system development, the vision “One Transport” was initiated by the Ministry of Transport of Thailand. To support seamless intermodal passenger mobility, three aspects were prioritized: passenger services to support intermodal mobility; design aspects of intermodal interchanges at railway stations, airports and ports; and universal design and additional services for passenger convenience.</w:t>
      </w:r>
      <w:r w:rsidR="002A640B" w:rsidRPr="0060174F">
        <w:rPr>
          <w:lang w:val="en-GB"/>
        </w:rPr>
        <w:t xml:space="preserve"> </w:t>
      </w:r>
    </w:p>
    <w:p w14:paraId="1F3225FA" w14:textId="18C94EA9" w:rsidR="00355D88" w:rsidRPr="0060174F" w:rsidRDefault="008C29AE" w:rsidP="00355D88">
      <w:pPr>
        <w:pStyle w:val="SingleTxtG"/>
        <w:rPr>
          <w:lang w:val="en-GB"/>
        </w:rPr>
      </w:pPr>
      <w:r w:rsidRPr="0060174F">
        <w:rPr>
          <w:lang w:val="en-GB"/>
        </w:rPr>
        <w:t>32.</w:t>
      </w:r>
      <w:r w:rsidRPr="0060174F">
        <w:rPr>
          <w:lang w:val="en-GB"/>
        </w:rPr>
        <w:tab/>
      </w:r>
      <w:r w:rsidR="0000080D" w:rsidRPr="0060174F">
        <w:rPr>
          <w:lang w:val="en-GB"/>
        </w:rPr>
        <w:t xml:space="preserve">His Excellency </w:t>
      </w:r>
      <w:r w:rsidR="00FE7ED2" w:rsidRPr="0060174F">
        <w:rPr>
          <w:lang w:val="en-GB"/>
        </w:rPr>
        <w:t xml:space="preserve">Mr. </w:t>
      </w:r>
      <w:r w:rsidR="00355D88" w:rsidRPr="0060174F">
        <w:rPr>
          <w:lang w:val="en-GB"/>
        </w:rPr>
        <w:t xml:space="preserve">Kwaku Ofori </w:t>
      </w:r>
      <w:proofErr w:type="spellStart"/>
      <w:r w:rsidR="00355D88" w:rsidRPr="0060174F">
        <w:rPr>
          <w:lang w:val="en-GB"/>
        </w:rPr>
        <w:t>Asiamah</w:t>
      </w:r>
      <w:proofErr w:type="spellEnd"/>
      <w:r w:rsidR="00355D88" w:rsidRPr="0060174F">
        <w:rPr>
          <w:lang w:val="en-GB"/>
        </w:rPr>
        <w:t xml:space="preserve">, Minister of Transport of Ghana, discussed </w:t>
      </w:r>
      <w:r w:rsidR="006B2764" w:rsidRPr="0060174F">
        <w:rPr>
          <w:lang w:val="en-GB"/>
        </w:rPr>
        <w:t xml:space="preserve">the </w:t>
      </w:r>
      <w:r w:rsidR="00355D88" w:rsidRPr="0060174F">
        <w:rPr>
          <w:lang w:val="en-GB"/>
        </w:rPr>
        <w:t xml:space="preserve">plans and challenges for significant infrastructure development in Ghana and emphasized that “for many countries especially those in the African continent, </w:t>
      </w:r>
      <w:r w:rsidR="005F7302" w:rsidRPr="0060174F">
        <w:rPr>
          <w:lang w:val="en-GB"/>
        </w:rPr>
        <w:t>land-</w:t>
      </w:r>
      <w:r w:rsidR="00355D88" w:rsidRPr="0060174F">
        <w:rPr>
          <w:lang w:val="en-GB"/>
        </w:rPr>
        <w:t xml:space="preserve">based transport </w:t>
      </w:r>
      <w:proofErr w:type="gramStart"/>
      <w:r w:rsidR="00355D88" w:rsidRPr="0060174F">
        <w:rPr>
          <w:lang w:val="en-GB"/>
        </w:rPr>
        <w:t>are</w:t>
      </w:r>
      <w:proofErr w:type="gramEnd"/>
      <w:r w:rsidR="00355D88" w:rsidRPr="0060174F">
        <w:rPr>
          <w:lang w:val="en-GB"/>
        </w:rPr>
        <w:t xml:space="preserve"> the main vehicle for growth, industrial revolution and economic activities.” In this context, Ghana has begun </w:t>
      </w:r>
      <w:r w:rsidR="006B2764" w:rsidRPr="0060174F">
        <w:rPr>
          <w:lang w:val="en-GB"/>
        </w:rPr>
        <w:t xml:space="preserve">to </w:t>
      </w:r>
      <w:r w:rsidR="00355D88" w:rsidRPr="0060174F">
        <w:rPr>
          <w:lang w:val="en-GB"/>
        </w:rPr>
        <w:t xml:space="preserve">stimulate growth in rail and inland water transport </w:t>
      </w:r>
      <w:proofErr w:type="gramStart"/>
      <w:r w:rsidR="00355D88" w:rsidRPr="0060174F">
        <w:rPr>
          <w:lang w:val="en-GB"/>
        </w:rPr>
        <w:t>in order to</w:t>
      </w:r>
      <w:proofErr w:type="gramEnd"/>
      <w:r w:rsidR="00355D88" w:rsidRPr="0060174F">
        <w:rPr>
          <w:lang w:val="en-GB"/>
        </w:rPr>
        <w:t xml:space="preserve"> create a smarter more balanced and environmentally friendly transport system.</w:t>
      </w:r>
    </w:p>
    <w:p w14:paraId="61E79B4B" w14:textId="71789DA3" w:rsidR="00355D88" w:rsidRPr="0060174F" w:rsidRDefault="008C29AE" w:rsidP="00355D88">
      <w:pPr>
        <w:pStyle w:val="SingleTxtG"/>
        <w:rPr>
          <w:lang w:val="en-GB"/>
        </w:rPr>
      </w:pPr>
      <w:r w:rsidRPr="0060174F">
        <w:rPr>
          <w:lang w:val="en-GB"/>
        </w:rPr>
        <w:t>33.</w:t>
      </w:r>
      <w:r w:rsidRPr="0060174F">
        <w:rPr>
          <w:lang w:val="en-GB"/>
        </w:rPr>
        <w:tab/>
      </w:r>
      <w:r w:rsidR="00FE7ED2" w:rsidRPr="0060174F">
        <w:rPr>
          <w:lang w:val="en-GB"/>
        </w:rPr>
        <w:t xml:space="preserve">Mr. </w:t>
      </w:r>
      <w:proofErr w:type="spellStart"/>
      <w:r w:rsidR="00355D88" w:rsidRPr="0060174F">
        <w:rPr>
          <w:lang w:val="en-GB"/>
        </w:rPr>
        <w:t>Gery</w:t>
      </w:r>
      <w:proofErr w:type="spellEnd"/>
      <w:r w:rsidR="00355D88" w:rsidRPr="0060174F">
        <w:rPr>
          <w:lang w:val="en-GB"/>
        </w:rPr>
        <w:t xml:space="preserve"> Balmer, Vice-</w:t>
      </w:r>
      <w:r w:rsidR="005F7302" w:rsidRPr="0060174F">
        <w:rPr>
          <w:lang w:val="en-GB"/>
        </w:rPr>
        <w:t>D</w:t>
      </w:r>
      <w:r w:rsidR="00355D88" w:rsidRPr="0060174F">
        <w:rPr>
          <w:lang w:val="en-GB"/>
        </w:rPr>
        <w:t>irector and Head of Policy Division in the Federal Office of Transport of Switzerland, noted that ever</w:t>
      </w:r>
      <w:r w:rsidR="006B2764" w:rsidRPr="0060174F">
        <w:rPr>
          <w:lang w:val="en-GB"/>
        </w:rPr>
        <w:t xml:space="preserve"> </w:t>
      </w:r>
      <w:r w:rsidR="00355D88" w:rsidRPr="0060174F">
        <w:rPr>
          <w:lang w:val="en-GB"/>
        </w:rPr>
        <w:t xml:space="preserve">growing traffic is a big challenge for Switzerland. Promoting multimodal mobility can make a significant contribution to deal with this challenge. To make multimodal mobility a reality, Switzerland plans to make mobility data available, to open public transport sales systems </w:t>
      </w:r>
      <w:r w:rsidR="006B2764" w:rsidRPr="0060174F">
        <w:rPr>
          <w:lang w:val="en-GB"/>
        </w:rPr>
        <w:t xml:space="preserve">to </w:t>
      </w:r>
      <w:r w:rsidR="00355D88" w:rsidRPr="0060174F">
        <w:rPr>
          <w:lang w:val="en-GB"/>
        </w:rPr>
        <w:t>third parties and to encourage the stakeholders to collaborate.</w:t>
      </w:r>
    </w:p>
    <w:p w14:paraId="34DE3E07" w14:textId="44A6DCCA" w:rsidR="002F0160" w:rsidRPr="0060174F" w:rsidRDefault="008C29AE" w:rsidP="00974BDE">
      <w:pPr>
        <w:pStyle w:val="SingleTxtG"/>
        <w:rPr>
          <w:lang w:val="en-GB"/>
        </w:rPr>
      </w:pPr>
      <w:r w:rsidRPr="0060174F">
        <w:rPr>
          <w:lang w:val="en-GB"/>
        </w:rPr>
        <w:t>34.</w:t>
      </w:r>
      <w:r w:rsidRPr="0060174F">
        <w:rPr>
          <w:lang w:val="en-GB"/>
        </w:rPr>
        <w:tab/>
      </w:r>
      <w:r w:rsidR="00FE7ED2" w:rsidRPr="0060174F">
        <w:rPr>
          <w:lang w:val="en-GB"/>
        </w:rPr>
        <w:t xml:space="preserve">Mr. </w:t>
      </w:r>
      <w:r w:rsidR="002F0160" w:rsidRPr="0060174F">
        <w:rPr>
          <w:lang w:val="en-GB"/>
        </w:rPr>
        <w:t>Dionisio González, Director, International Association of Public Transport (UITP), pointed out that in developing and delivering a successful urban strategy there are five key principles: sharing the vision, effective governance and regulation, long-term political commitment, strong links with land-use planning and economic development</w:t>
      </w:r>
      <w:r w:rsidR="006B2764" w:rsidRPr="0060174F">
        <w:rPr>
          <w:lang w:val="en-GB"/>
        </w:rPr>
        <w:t>,</w:t>
      </w:r>
      <w:r w:rsidR="002F0160" w:rsidRPr="0060174F">
        <w:rPr>
          <w:lang w:val="en-GB"/>
        </w:rPr>
        <w:t xml:space="preserve"> and </w:t>
      </w:r>
      <w:r w:rsidR="006B2764" w:rsidRPr="0060174F">
        <w:rPr>
          <w:lang w:val="en-GB"/>
        </w:rPr>
        <w:t xml:space="preserve">a </w:t>
      </w:r>
      <w:r w:rsidR="002F0160" w:rsidRPr="0060174F">
        <w:rPr>
          <w:lang w:val="en-GB"/>
        </w:rPr>
        <w:t>stable funding framework.</w:t>
      </w:r>
      <w:r w:rsidR="00974BDE" w:rsidRPr="0060174F">
        <w:rPr>
          <w:lang w:val="en-GB"/>
        </w:rPr>
        <w:t xml:space="preserve"> </w:t>
      </w:r>
      <w:r w:rsidR="002F0160" w:rsidRPr="0060174F">
        <w:rPr>
          <w:lang w:val="en-GB"/>
        </w:rPr>
        <w:t xml:space="preserve">No magic recipes </w:t>
      </w:r>
      <w:r w:rsidR="00974BDE" w:rsidRPr="0060174F">
        <w:rPr>
          <w:lang w:val="en-GB"/>
        </w:rPr>
        <w:t xml:space="preserve">exist but intermodality is a key component for sustainable </w:t>
      </w:r>
      <w:r w:rsidR="002F0160" w:rsidRPr="0060174F">
        <w:rPr>
          <w:lang w:val="en-GB"/>
        </w:rPr>
        <w:t xml:space="preserve">mobility </w:t>
      </w:r>
      <w:r w:rsidR="00974BDE" w:rsidRPr="0060174F">
        <w:rPr>
          <w:lang w:val="en-GB"/>
        </w:rPr>
        <w:t xml:space="preserve">and </w:t>
      </w:r>
      <w:r w:rsidR="002F0160" w:rsidRPr="0060174F">
        <w:rPr>
          <w:lang w:val="en-GB"/>
        </w:rPr>
        <w:t>i</w:t>
      </w:r>
      <w:r w:rsidR="00AE41D4" w:rsidRPr="0060174F">
        <w:rPr>
          <w:lang w:val="en-GB"/>
        </w:rPr>
        <w:t xml:space="preserve">s </w:t>
      </w:r>
      <w:r w:rsidR="002F0160" w:rsidRPr="0060174F">
        <w:rPr>
          <w:lang w:val="en-GB"/>
        </w:rPr>
        <w:t>clearly set</w:t>
      </w:r>
      <w:r w:rsidR="00974BDE" w:rsidRPr="0060174F">
        <w:rPr>
          <w:lang w:val="en-GB"/>
        </w:rPr>
        <w:t>ting</w:t>
      </w:r>
      <w:r w:rsidR="002F0160" w:rsidRPr="0060174F">
        <w:rPr>
          <w:lang w:val="en-GB"/>
        </w:rPr>
        <w:t xml:space="preserve"> priorities in terms of competitiveness, accessibility, inclusion, resilience, </w:t>
      </w:r>
      <w:r w:rsidR="00974BDE" w:rsidRPr="0060174F">
        <w:rPr>
          <w:lang w:val="en-GB"/>
        </w:rPr>
        <w:t xml:space="preserve">and </w:t>
      </w:r>
      <w:r w:rsidR="002F0160" w:rsidRPr="0060174F">
        <w:rPr>
          <w:lang w:val="en-GB"/>
        </w:rPr>
        <w:t>gender balance.</w:t>
      </w:r>
      <w:r w:rsidR="00974BDE" w:rsidRPr="0060174F">
        <w:rPr>
          <w:lang w:val="en-GB"/>
        </w:rPr>
        <w:t xml:space="preserve"> </w:t>
      </w:r>
      <w:r w:rsidR="00FE7ED2" w:rsidRPr="0060174F">
        <w:rPr>
          <w:lang w:val="en-GB"/>
        </w:rPr>
        <w:t xml:space="preserve">Mr. </w:t>
      </w:r>
      <w:r w:rsidR="00974BDE" w:rsidRPr="0060174F">
        <w:rPr>
          <w:lang w:val="en-GB"/>
        </w:rPr>
        <w:t>González concluded that m</w:t>
      </w:r>
      <w:r w:rsidR="002F0160" w:rsidRPr="0060174F">
        <w:rPr>
          <w:lang w:val="en-GB"/>
        </w:rPr>
        <w:t>obility as a service, and the shared economy</w:t>
      </w:r>
      <w:r w:rsidR="005802FE" w:rsidRPr="0060174F">
        <w:rPr>
          <w:lang w:val="en-GB"/>
        </w:rPr>
        <w:t xml:space="preserve"> are the key -</w:t>
      </w:r>
      <w:r w:rsidR="002F0160" w:rsidRPr="0060174F">
        <w:rPr>
          <w:lang w:val="en-GB"/>
        </w:rPr>
        <w:t xml:space="preserve"> if we </w:t>
      </w:r>
      <w:proofErr w:type="gramStart"/>
      <w:r w:rsidR="002F0160" w:rsidRPr="0060174F">
        <w:rPr>
          <w:lang w:val="en-GB"/>
        </w:rPr>
        <w:t>are able to</w:t>
      </w:r>
      <w:proofErr w:type="gramEnd"/>
      <w:r w:rsidR="002F0160" w:rsidRPr="0060174F">
        <w:rPr>
          <w:lang w:val="en-GB"/>
        </w:rPr>
        <w:t xml:space="preserve"> find the right business model, including all the regulatory aspects</w:t>
      </w:r>
      <w:r w:rsidR="005802FE" w:rsidRPr="0060174F">
        <w:rPr>
          <w:lang w:val="en-GB"/>
        </w:rPr>
        <w:t xml:space="preserve"> – but with</w:t>
      </w:r>
      <w:r w:rsidR="002F0160" w:rsidRPr="0060174F">
        <w:rPr>
          <w:lang w:val="en-GB"/>
        </w:rPr>
        <w:t xml:space="preserve"> </w:t>
      </w:r>
      <w:r w:rsidR="005F7302" w:rsidRPr="0060174F">
        <w:rPr>
          <w:lang w:val="en-GB"/>
        </w:rPr>
        <w:t xml:space="preserve">public transport </w:t>
      </w:r>
      <w:r w:rsidR="005802FE" w:rsidRPr="0060174F">
        <w:rPr>
          <w:lang w:val="en-GB"/>
        </w:rPr>
        <w:t xml:space="preserve">as </w:t>
      </w:r>
      <w:r w:rsidR="002F0160" w:rsidRPr="0060174F">
        <w:rPr>
          <w:lang w:val="en-GB"/>
        </w:rPr>
        <w:t xml:space="preserve">the backbone of metropolitan mobility. </w:t>
      </w:r>
    </w:p>
    <w:p w14:paraId="0D3D8449" w14:textId="7938D8F4" w:rsidR="00355D88" w:rsidRPr="0060174F" w:rsidRDefault="008C29AE" w:rsidP="00355D88">
      <w:pPr>
        <w:pStyle w:val="SingleTxtG"/>
        <w:rPr>
          <w:lang w:val="en-GB"/>
        </w:rPr>
      </w:pPr>
      <w:r w:rsidRPr="0060174F">
        <w:rPr>
          <w:lang w:val="en-GB"/>
        </w:rPr>
        <w:lastRenderedPageBreak/>
        <w:t>35.</w:t>
      </w:r>
      <w:r w:rsidRPr="0060174F">
        <w:rPr>
          <w:lang w:val="en-GB"/>
        </w:rPr>
        <w:tab/>
      </w:r>
      <w:r w:rsidR="00355D88" w:rsidRPr="0060174F">
        <w:rPr>
          <w:lang w:val="en-GB"/>
        </w:rPr>
        <w:t xml:space="preserve">Ms. Karen </w:t>
      </w:r>
      <w:proofErr w:type="spellStart"/>
      <w:r w:rsidR="00355D88" w:rsidRPr="0060174F">
        <w:rPr>
          <w:lang w:val="en-GB"/>
        </w:rPr>
        <w:t>Vancluysen</w:t>
      </w:r>
      <w:proofErr w:type="spellEnd"/>
      <w:r w:rsidR="00355D88" w:rsidRPr="0060174F">
        <w:rPr>
          <w:lang w:val="en-GB"/>
        </w:rPr>
        <w:t xml:space="preserve">, </w:t>
      </w:r>
      <w:r w:rsidR="005F7302" w:rsidRPr="0060174F">
        <w:rPr>
          <w:lang w:val="en-GB"/>
        </w:rPr>
        <w:t>Secretary-</w:t>
      </w:r>
      <w:r w:rsidR="00355D88" w:rsidRPr="0060174F">
        <w:rPr>
          <w:lang w:val="en-GB"/>
        </w:rPr>
        <w:t xml:space="preserve">General, POLIS network emphasized the changing role of local </w:t>
      </w:r>
      <w:r w:rsidR="00221A4A" w:rsidRPr="0060174F">
        <w:rPr>
          <w:lang w:val="en-GB"/>
        </w:rPr>
        <w:t xml:space="preserve">authorities </w:t>
      </w:r>
      <w:r w:rsidR="00355D88" w:rsidRPr="0060174F">
        <w:rPr>
          <w:lang w:val="en-GB"/>
        </w:rPr>
        <w:t xml:space="preserve">in transport service provision, </w:t>
      </w:r>
      <w:r w:rsidR="005802FE" w:rsidRPr="0060174F">
        <w:rPr>
          <w:lang w:val="en-GB"/>
        </w:rPr>
        <w:t xml:space="preserve">as </w:t>
      </w:r>
      <w:r w:rsidR="00355D88" w:rsidRPr="0060174F">
        <w:rPr>
          <w:lang w:val="en-GB"/>
        </w:rPr>
        <w:t>enablers for multimodality and intermodality. Within this context, Ms</w:t>
      </w:r>
      <w:r w:rsidR="005F7302" w:rsidRPr="0060174F">
        <w:rPr>
          <w:lang w:val="en-GB"/>
        </w:rPr>
        <w:t>.</w:t>
      </w:r>
      <w:r w:rsidR="00355D88" w:rsidRPr="0060174F">
        <w:rPr>
          <w:lang w:val="en-GB"/>
        </w:rPr>
        <w:t xml:space="preserve"> </w:t>
      </w:r>
      <w:proofErr w:type="spellStart"/>
      <w:r w:rsidR="00355D88" w:rsidRPr="0060174F">
        <w:rPr>
          <w:lang w:val="en-GB"/>
        </w:rPr>
        <w:t>Vancluysen</w:t>
      </w:r>
      <w:proofErr w:type="spellEnd"/>
      <w:r w:rsidR="00355D88" w:rsidRPr="0060174F">
        <w:rPr>
          <w:lang w:val="en-GB"/>
        </w:rPr>
        <w:t xml:space="preserve"> highlighted </w:t>
      </w:r>
      <w:r w:rsidR="00221A4A" w:rsidRPr="0060174F">
        <w:rPr>
          <w:lang w:val="en-GB"/>
        </w:rPr>
        <w:t xml:space="preserve">the </w:t>
      </w:r>
      <w:r w:rsidR="00355D88" w:rsidRPr="0060174F">
        <w:rPr>
          <w:lang w:val="en-GB"/>
        </w:rPr>
        <w:t xml:space="preserve">opportunities and </w:t>
      </w:r>
      <w:r w:rsidR="00221A4A" w:rsidRPr="0060174F">
        <w:rPr>
          <w:lang w:val="en-GB"/>
        </w:rPr>
        <w:t xml:space="preserve">the </w:t>
      </w:r>
      <w:r w:rsidR="00355D88" w:rsidRPr="0060174F">
        <w:rPr>
          <w:lang w:val="en-GB"/>
        </w:rPr>
        <w:t xml:space="preserve">risks of Mobility as a Service, and </w:t>
      </w:r>
      <w:proofErr w:type="gramStart"/>
      <w:r w:rsidR="00355D88" w:rsidRPr="0060174F">
        <w:rPr>
          <w:lang w:val="en-GB"/>
        </w:rPr>
        <w:t>in particular the</w:t>
      </w:r>
      <w:proofErr w:type="gramEnd"/>
      <w:r w:rsidR="00355D88" w:rsidRPr="0060174F">
        <w:rPr>
          <w:lang w:val="en-GB"/>
        </w:rPr>
        <w:t xml:space="preserve"> role of cities in </w:t>
      </w:r>
      <w:r w:rsidR="005F7302" w:rsidRPr="0060174F">
        <w:rPr>
          <w:lang w:val="en-GB"/>
        </w:rPr>
        <w:t xml:space="preserve">its </w:t>
      </w:r>
      <w:r w:rsidR="00355D88" w:rsidRPr="0060174F">
        <w:rPr>
          <w:lang w:val="en-GB"/>
        </w:rPr>
        <w:t>deployment.</w:t>
      </w:r>
    </w:p>
    <w:p w14:paraId="123B7F8F" w14:textId="61FCB237" w:rsidR="008138F2" w:rsidRPr="0060174F" w:rsidRDefault="008C29AE" w:rsidP="00355D88">
      <w:pPr>
        <w:pStyle w:val="SingleTxtG"/>
        <w:rPr>
          <w:lang w:val="en-GB"/>
        </w:rPr>
      </w:pPr>
      <w:r w:rsidRPr="0060174F">
        <w:rPr>
          <w:lang w:val="en-GB"/>
        </w:rPr>
        <w:t>36.</w:t>
      </w:r>
      <w:r w:rsidRPr="0060174F">
        <w:rPr>
          <w:lang w:val="en-GB"/>
        </w:rPr>
        <w:tab/>
      </w:r>
      <w:r w:rsidR="00FE7ED2" w:rsidRPr="0060174F">
        <w:rPr>
          <w:lang w:val="en-GB"/>
        </w:rPr>
        <w:t xml:space="preserve">Mr. </w:t>
      </w:r>
      <w:r w:rsidR="00355D88" w:rsidRPr="0060174F">
        <w:rPr>
          <w:lang w:val="en-GB"/>
        </w:rPr>
        <w:t xml:space="preserve">Henry </w:t>
      </w:r>
      <w:proofErr w:type="spellStart"/>
      <w:r w:rsidR="00355D88" w:rsidRPr="0060174F">
        <w:rPr>
          <w:lang w:val="en-GB"/>
        </w:rPr>
        <w:t>Gourdji</w:t>
      </w:r>
      <w:proofErr w:type="spellEnd"/>
      <w:r w:rsidR="00355D88" w:rsidRPr="0060174F">
        <w:rPr>
          <w:lang w:val="en-GB"/>
        </w:rPr>
        <w:t xml:space="preserve">, Head, Strategic Planning, Coordination and Partnerships Office, International Civil Aviation Organization (ICAO) made the case for </w:t>
      </w:r>
      <w:r w:rsidR="005F7302" w:rsidRPr="0060174F">
        <w:rPr>
          <w:lang w:val="en-GB"/>
        </w:rPr>
        <w:t>a</w:t>
      </w:r>
      <w:r w:rsidR="00355D88" w:rsidRPr="0060174F">
        <w:rPr>
          <w:lang w:val="en-GB"/>
        </w:rPr>
        <w:t xml:space="preserve">viation as an enabler to achieve the </w:t>
      </w:r>
      <w:r w:rsidR="00FE7ED2" w:rsidRPr="0060174F">
        <w:rPr>
          <w:lang w:val="en-GB"/>
        </w:rPr>
        <w:t>Sustainable Development Goal</w:t>
      </w:r>
      <w:r w:rsidR="00355D88" w:rsidRPr="0060174F">
        <w:rPr>
          <w:lang w:val="en-GB"/>
        </w:rPr>
        <w:t>s. He emphasized</w:t>
      </w:r>
      <w:r w:rsidR="00221A4A" w:rsidRPr="0060174F">
        <w:rPr>
          <w:lang w:val="en-GB"/>
        </w:rPr>
        <w:t xml:space="preserve"> </w:t>
      </w:r>
      <w:r w:rsidR="00355D88" w:rsidRPr="0060174F">
        <w:rPr>
          <w:lang w:val="en-GB"/>
        </w:rPr>
        <w:t xml:space="preserve">the need for integrated airport and urban transport planning that is environmentally sustainable, </w:t>
      </w:r>
      <w:proofErr w:type="gramStart"/>
      <w:r w:rsidR="00355D88" w:rsidRPr="0060174F">
        <w:rPr>
          <w:lang w:val="en-GB"/>
        </w:rPr>
        <w:t>in order to</w:t>
      </w:r>
      <w:proofErr w:type="gramEnd"/>
      <w:r w:rsidR="00355D88" w:rsidRPr="0060174F">
        <w:rPr>
          <w:lang w:val="en-GB"/>
        </w:rPr>
        <w:t xml:space="preserve"> maximize the benefit</w:t>
      </w:r>
      <w:r w:rsidR="00221A4A" w:rsidRPr="0060174F">
        <w:rPr>
          <w:lang w:val="en-GB"/>
        </w:rPr>
        <w:t>s</w:t>
      </w:r>
      <w:r w:rsidR="00355D88" w:rsidRPr="0060174F">
        <w:rPr>
          <w:lang w:val="en-GB"/>
        </w:rPr>
        <w:t xml:space="preserve"> to the overall socioeconomic development of countries. Sustainable hub airports include a corporate social responsibility dimension and are an integral part of intermodal sustainable mobility network.</w:t>
      </w:r>
    </w:p>
    <w:p w14:paraId="0F995297" w14:textId="364DDF31" w:rsidR="008138F2" w:rsidRPr="0060174F" w:rsidRDefault="008138F2" w:rsidP="008138F2">
      <w:pPr>
        <w:pStyle w:val="HChG"/>
        <w:rPr>
          <w:lang w:val="en-GB"/>
        </w:rPr>
      </w:pPr>
      <w:r w:rsidRPr="0060174F">
        <w:rPr>
          <w:lang w:val="en-GB"/>
        </w:rPr>
        <w:tab/>
        <w:t>V.</w:t>
      </w:r>
      <w:r w:rsidRPr="0060174F">
        <w:rPr>
          <w:lang w:val="en-GB"/>
        </w:rPr>
        <w:tab/>
        <w:t>Conclusion</w:t>
      </w:r>
      <w:r w:rsidR="00A459E6" w:rsidRPr="0060174F">
        <w:rPr>
          <w:lang w:val="en-GB"/>
        </w:rPr>
        <w:t>s</w:t>
      </w:r>
      <w:r w:rsidRPr="0060174F">
        <w:rPr>
          <w:lang w:val="en-GB"/>
        </w:rPr>
        <w:t xml:space="preserve"> and the role of the Committee in promoting </w:t>
      </w:r>
      <w:r w:rsidR="008765E0" w:rsidRPr="0060174F">
        <w:rPr>
          <w:lang w:val="en-GB"/>
        </w:rPr>
        <w:t>intermodality</w:t>
      </w:r>
    </w:p>
    <w:p w14:paraId="15F5906C" w14:textId="4A0EE430" w:rsidR="008765E0" w:rsidRPr="0060174F" w:rsidRDefault="008C29AE" w:rsidP="008765E0">
      <w:pPr>
        <w:pStyle w:val="SingleTxtG"/>
        <w:rPr>
          <w:lang w:val="en-GB"/>
        </w:rPr>
      </w:pPr>
      <w:r w:rsidRPr="0060174F">
        <w:rPr>
          <w:lang w:val="en-GB"/>
        </w:rPr>
        <w:t>37.</w:t>
      </w:r>
      <w:r w:rsidRPr="0060174F">
        <w:rPr>
          <w:lang w:val="en-GB"/>
        </w:rPr>
        <w:tab/>
      </w:r>
      <w:r w:rsidR="008765E0" w:rsidRPr="0060174F">
        <w:rPr>
          <w:lang w:val="en-GB"/>
        </w:rPr>
        <w:t>Since its establishment in 1947, ITC has played a pioneering role in facilitating the international movement of persons and goods by inland transport modes and improving the competitiveness of their economies. This has been achieved primarily through promotion of the development of coherent international infrastructure networks, uniform and simplified border</w:t>
      </w:r>
      <w:r w:rsidR="00221A4A" w:rsidRPr="0060174F">
        <w:rPr>
          <w:lang w:val="en-GB"/>
        </w:rPr>
        <w:t xml:space="preserve"> </w:t>
      </w:r>
      <w:r w:rsidR="008765E0" w:rsidRPr="0060174F">
        <w:rPr>
          <w:lang w:val="en-GB"/>
        </w:rPr>
        <w:t>crossing procedures and standardized international rules and regulations for ensuring a high level of efficiency, safety and environmental performa</w:t>
      </w:r>
      <w:r w:rsidR="001134EB" w:rsidRPr="0060174F">
        <w:rPr>
          <w:lang w:val="en-GB"/>
        </w:rPr>
        <w:t xml:space="preserve">nce of international </w:t>
      </w:r>
      <w:r w:rsidR="008765E0" w:rsidRPr="0060174F">
        <w:rPr>
          <w:lang w:val="en-GB"/>
        </w:rPr>
        <w:t xml:space="preserve">transport by road, rail, inland waterways and intermodal transport. </w:t>
      </w:r>
    </w:p>
    <w:p w14:paraId="08B237CF" w14:textId="4EBCBA3E" w:rsidR="008765E0" w:rsidRPr="0060174F" w:rsidRDefault="008C29AE" w:rsidP="008765E0">
      <w:pPr>
        <w:pStyle w:val="SingleTxtG"/>
        <w:rPr>
          <w:lang w:val="en-GB"/>
        </w:rPr>
      </w:pPr>
      <w:r w:rsidRPr="0060174F">
        <w:rPr>
          <w:lang w:val="en-GB"/>
        </w:rPr>
        <w:t>38.</w:t>
      </w:r>
      <w:r w:rsidRPr="0060174F">
        <w:rPr>
          <w:lang w:val="en-GB"/>
        </w:rPr>
        <w:tab/>
      </w:r>
      <w:r w:rsidR="005756EC" w:rsidRPr="0060174F">
        <w:rPr>
          <w:lang w:val="en-GB"/>
        </w:rPr>
        <w:t>I</w:t>
      </w:r>
      <w:r w:rsidR="001134EB" w:rsidRPr="0060174F">
        <w:rPr>
          <w:lang w:val="en-GB"/>
        </w:rPr>
        <w:t xml:space="preserve">ntermodality for freight and passengers is addressed by several ITC Working Parties. </w:t>
      </w:r>
      <w:r w:rsidR="005756EC" w:rsidRPr="0060174F">
        <w:rPr>
          <w:lang w:val="en-GB"/>
        </w:rPr>
        <w:t>P</w:t>
      </w:r>
      <w:r w:rsidR="008765E0" w:rsidRPr="0060174F">
        <w:rPr>
          <w:lang w:val="en-GB"/>
        </w:rPr>
        <w:t>romoting intermodal connectivity</w:t>
      </w:r>
      <w:r w:rsidR="001134EB" w:rsidRPr="0060174F">
        <w:rPr>
          <w:lang w:val="en-GB"/>
        </w:rPr>
        <w:t xml:space="preserve"> involves</w:t>
      </w:r>
      <w:r w:rsidR="008765E0" w:rsidRPr="0060174F">
        <w:rPr>
          <w:lang w:val="en-GB"/>
        </w:rPr>
        <w:t>:</w:t>
      </w:r>
    </w:p>
    <w:p w14:paraId="4A3F5174" w14:textId="04A80D50" w:rsidR="008C29AE" w:rsidRPr="0060174F" w:rsidRDefault="001134EB" w:rsidP="00187DEA">
      <w:pPr>
        <w:pStyle w:val="Bullet1G"/>
        <w:rPr>
          <w:lang w:val="en-GB"/>
        </w:rPr>
      </w:pPr>
      <w:r w:rsidRPr="0060174F">
        <w:rPr>
          <w:lang w:val="en-GB"/>
        </w:rPr>
        <w:t>Conventions facilitating international transport and mobility in road, rail, inland water and intermodal transport and transport of dangerous goods as well as infrastructure agreements (</w:t>
      </w:r>
      <w:r w:rsidR="00187DEA" w:rsidRPr="0060174F">
        <w:rPr>
          <w:lang w:val="en-GB"/>
        </w:rPr>
        <w:t>European Agreement on Main International Traffic Arteries (</w:t>
      </w:r>
      <w:r w:rsidRPr="0060174F">
        <w:rPr>
          <w:lang w:val="en-GB"/>
        </w:rPr>
        <w:t>AGR</w:t>
      </w:r>
      <w:r w:rsidR="00187DEA" w:rsidRPr="0060174F">
        <w:rPr>
          <w:lang w:val="en-GB"/>
        </w:rPr>
        <w:t>)</w:t>
      </w:r>
      <w:r w:rsidRPr="0060174F">
        <w:rPr>
          <w:lang w:val="en-GB"/>
        </w:rPr>
        <w:t xml:space="preserve">, </w:t>
      </w:r>
      <w:r w:rsidR="00187DEA" w:rsidRPr="0060174F">
        <w:rPr>
          <w:lang w:val="en-GB"/>
        </w:rPr>
        <w:t>European Agreement on Main Inland Waterways of International Importance (AGN)</w:t>
      </w:r>
      <w:r w:rsidRPr="0060174F">
        <w:rPr>
          <w:lang w:val="en-GB"/>
        </w:rPr>
        <w:t xml:space="preserve">, </w:t>
      </w:r>
      <w:r w:rsidR="00187DEA" w:rsidRPr="0060174F">
        <w:rPr>
          <w:lang w:val="en-GB"/>
        </w:rPr>
        <w:t>European Agreement on Main International Railway Lines (AGC)</w:t>
      </w:r>
      <w:r w:rsidRPr="0060174F">
        <w:rPr>
          <w:lang w:val="en-GB"/>
        </w:rPr>
        <w:t xml:space="preserve">, </w:t>
      </w:r>
      <w:r w:rsidR="00187DEA" w:rsidRPr="0060174F">
        <w:rPr>
          <w:lang w:val="en-GB"/>
        </w:rPr>
        <w:t>European Agreement on Important International Combined Transport Lines and Related Installations (AGTC)</w:t>
      </w:r>
      <w:r w:rsidR="00C83FE0" w:rsidRPr="0060174F">
        <w:rPr>
          <w:lang w:val="en-GB"/>
        </w:rPr>
        <w:t>;</w:t>
      </w:r>
    </w:p>
    <w:p w14:paraId="524A52DA" w14:textId="0B0F08BC" w:rsidR="008C29AE" w:rsidRPr="0060174F" w:rsidRDefault="001134EB" w:rsidP="00BF60DC">
      <w:pPr>
        <w:pStyle w:val="Bullet1G"/>
        <w:rPr>
          <w:lang w:val="en-GB"/>
        </w:rPr>
      </w:pPr>
      <w:r w:rsidRPr="0060174F">
        <w:rPr>
          <w:lang w:val="en-GB"/>
        </w:rPr>
        <w:t xml:space="preserve">other </w:t>
      </w:r>
      <w:r w:rsidR="00DB552F" w:rsidRPr="0060174F">
        <w:rPr>
          <w:lang w:val="en-GB"/>
        </w:rPr>
        <w:t>activities</w:t>
      </w:r>
      <w:r w:rsidRPr="0060174F">
        <w:rPr>
          <w:lang w:val="en-GB"/>
        </w:rPr>
        <w:t xml:space="preserve"> such as </w:t>
      </w:r>
      <w:r w:rsidR="00BF60DC" w:rsidRPr="0060174F">
        <w:rPr>
          <w:lang w:val="en-GB"/>
        </w:rPr>
        <w:t xml:space="preserve">Trans-European Motorway (TEM), Trans-European Railway (TER) </w:t>
      </w:r>
      <w:r w:rsidRPr="0060174F">
        <w:rPr>
          <w:lang w:val="en-GB"/>
        </w:rPr>
        <w:t xml:space="preserve">and </w:t>
      </w:r>
      <w:r w:rsidR="00BF60DC" w:rsidRPr="0060174F">
        <w:rPr>
          <w:lang w:val="en-GB"/>
        </w:rPr>
        <w:t xml:space="preserve">Euro-Asian Transport Links (EATL) </w:t>
      </w:r>
      <w:r w:rsidR="00221A4A" w:rsidRPr="0060174F">
        <w:rPr>
          <w:lang w:val="en-GB"/>
        </w:rPr>
        <w:t xml:space="preserve">project </w:t>
      </w:r>
      <w:r w:rsidRPr="0060174F">
        <w:rPr>
          <w:lang w:val="en-GB"/>
        </w:rPr>
        <w:t>masterplans</w:t>
      </w:r>
      <w:r w:rsidR="00221A4A" w:rsidRPr="0060174F">
        <w:rPr>
          <w:lang w:val="en-GB"/>
        </w:rPr>
        <w:t>,</w:t>
      </w:r>
      <w:r w:rsidRPr="0060174F">
        <w:rPr>
          <w:lang w:val="en-GB"/>
        </w:rPr>
        <w:t xml:space="preserve"> as well as national master plans on freight transport and logistics, </w:t>
      </w:r>
      <w:r w:rsidR="00221A4A" w:rsidRPr="0060174F">
        <w:rPr>
          <w:lang w:val="en-GB"/>
        </w:rPr>
        <w:t xml:space="preserve">and </w:t>
      </w:r>
      <w:r w:rsidRPr="0060174F">
        <w:rPr>
          <w:lang w:val="en-GB"/>
        </w:rPr>
        <w:t>intermodal transport terminals</w:t>
      </w:r>
      <w:r w:rsidR="00C83FE0" w:rsidRPr="0060174F">
        <w:rPr>
          <w:lang w:val="en-GB"/>
        </w:rPr>
        <w:t>;</w:t>
      </w:r>
    </w:p>
    <w:p w14:paraId="6B05B64D" w14:textId="43535D2B" w:rsidR="008C29AE" w:rsidRPr="0060174F" w:rsidRDefault="001134EB" w:rsidP="00187DEA">
      <w:pPr>
        <w:pStyle w:val="Bullet1G"/>
        <w:rPr>
          <w:lang w:val="en-GB"/>
        </w:rPr>
      </w:pPr>
      <w:r w:rsidRPr="0060174F">
        <w:rPr>
          <w:lang w:val="en-GB"/>
        </w:rPr>
        <w:t xml:space="preserve">Analytical work involving workshops, research and publications on intermodality </w:t>
      </w:r>
      <w:r w:rsidR="00221A4A" w:rsidRPr="0060174F">
        <w:rPr>
          <w:lang w:val="en-GB"/>
        </w:rPr>
        <w:t>for</w:t>
      </w:r>
      <w:r w:rsidRPr="0060174F">
        <w:rPr>
          <w:lang w:val="en-GB"/>
        </w:rPr>
        <w:t>: border</w:t>
      </w:r>
      <w:r w:rsidR="005F7302" w:rsidRPr="0060174F">
        <w:rPr>
          <w:lang w:val="en-GB"/>
        </w:rPr>
        <w:t xml:space="preserve"> </w:t>
      </w:r>
      <w:r w:rsidRPr="0060174F">
        <w:rPr>
          <w:lang w:val="en-GB"/>
        </w:rPr>
        <w:t>crossing facilitation, sustainable urban mobility and public transport</w:t>
      </w:r>
      <w:r w:rsidR="00C83FE0" w:rsidRPr="0060174F">
        <w:rPr>
          <w:lang w:val="en-GB"/>
        </w:rPr>
        <w:t>;</w:t>
      </w:r>
    </w:p>
    <w:p w14:paraId="6081C677" w14:textId="4D2DC994" w:rsidR="008765E0" w:rsidRPr="0060174F" w:rsidRDefault="001134EB" w:rsidP="00187DEA">
      <w:pPr>
        <w:pStyle w:val="Bullet1G"/>
        <w:rPr>
          <w:lang w:val="en-GB"/>
        </w:rPr>
      </w:pPr>
      <w:r w:rsidRPr="0060174F">
        <w:rPr>
          <w:lang w:val="en-GB"/>
        </w:rPr>
        <w:t xml:space="preserve">Other </w:t>
      </w:r>
      <w:r w:rsidR="005F7302" w:rsidRPr="0060174F">
        <w:rPr>
          <w:lang w:val="en-GB"/>
        </w:rPr>
        <w:t>c</w:t>
      </w:r>
      <w:r w:rsidRPr="0060174F">
        <w:rPr>
          <w:lang w:val="en-GB"/>
        </w:rPr>
        <w:t xml:space="preserve">onventions </w:t>
      </w:r>
      <w:r w:rsidR="00221A4A" w:rsidRPr="0060174F">
        <w:rPr>
          <w:lang w:val="en-GB"/>
        </w:rPr>
        <w:t xml:space="preserve">that promote </w:t>
      </w:r>
      <w:r w:rsidR="008765E0" w:rsidRPr="0060174F">
        <w:rPr>
          <w:lang w:val="en-GB"/>
        </w:rPr>
        <w:t>service connectivity, transport and border crossing facilitation</w:t>
      </w:r>
      <w:r w:rsidRPr="0060174F">
        <w:rPr>
          <w:lang w:val="en-GB"/>
        </w:rPr>
        <w:t xml:space="preserve">, such as the </w:t>
      </w:r>
      <w:r w:rsidR="008765E0" w:rsidRPr="0060174F">
        <w:rPr>
          <w:lang w:val="en-GB"/>
        </w:rPr>
        <w:t>TIR Convention (1975), Harmonization Convention (1982)</w:t>
      </w:r>
      <w:r w:rsidRPr="0060174F">
        <w:rPr>
          <w:lang w:val="en-GB"/>
        </w:rPr>
        <w:t xml:space="preserve">, </w:t>
      </w:r>
      <w:r w:rsidR="00413447" w:rsidRPr="0060174F">
        <w:rPr>
          <w:lang w:val="en-GB"/>
        </w:rPr>
        <w:t>and</w:t>
      </w:r>
      <w:r w:rsidRPr="0060174F">
        <w:rPr>
          <w:lang w:val="en-GB"/>
        </w:rPr>
        <w:t xml:space="preserve"> eTIR</w:t>
      </w:r>
      <w:r w:rsidR="00187DEA" w:rsidRPr="0060174F">
        <w:rPr>
          <w:lang w:val="en-GB"/>
        </w:rPr>
        <w:t>.</w:t>
      </w:r>
    </w:p>
    <w:p w14:paraId="7B9726C1" w14:textId="6024EE37" w:rsidR="008138F2" w:rsidRPr="0060174F" w:rsidRDefault="008C29AE" w:rsidP="00187DEA">
      <w:pPr>
        <w:pStyle w:val="SingleTxtG"/>
        <w:rPr>
          <w:lang w:val="en-GB"/>
        </w:rPr>
      </w:pPr>
      <w:r w:rsidRPr="0060174F">
        <w:rPr>
          <w:bCs/>
          <w:lang w:val="en-GB"/>
        </w:rPr>
        <w:t>39.</w:t>
      </w:r>
      <w:r w:rsidRPr="0060174F">
        <w:rPr>
          <w:bCs/>
          <w:lang w:val="en-GB"/>
        </w:rPr>
        <w:tab/>
      </w:r>
      <w:proofErr w:type="gramStart"/>
      <w:r w:rsidRPr="0060174F">
        <w:rPr>
          <w:bCs/>
          <w:lang w:val="en-GB"/>
        </w:rPr>
        <w:t>On the basis of</w:t>
      </w:r>
      <w:proofErr w:type="gramEnd"/>
      <w:r w:rsidRPr="0060174F">
        <w:rPr>
          <w:bCs/>
          <w:lang w:val="en-GB"/>
        </w:rPr>
        <w:t xml:space="preserve"> the </w:t>
      </w:r>
      <w:r w:rsidR="00DB552F" w:rsidRPr="0060174F">
        <w:rPr>
          <w:bCs/>
          <w:lang w:val="en-GB"/>
        </w:rPr>
        <w:t xml:space="preserve">high-level policy segment’s </w:t>
      </w:r>
      <w:r w:rsidRPr="0060174F">
        <w:rPr>
          <w:bCs/>
          <w:lang w:val="en-GB"/>
        </w:rPr>
        <w:t>presentations, interventions and debates, the Committee</w:t>
      </w:r>
      <w:r w:rsidRPr="0060174F">
        <w:rPr>
          <w:b/>
          <w:lang w:val="en-GB"/>
        </w:rPr>
        <w:t xml:space="preserve"> endorsed</w:t>
      </w:r>
      <w:r w:rsidRPr="0060174F">
        <w:rPr>
          <w:lang w:val="en-GB"/>
        </w:rPr>
        <w:t xml:space="preserve"> the outcome of the policy segment. </w:t>
      </w:r>
      <w:r w:rsidRPr="0060174F">
        <w:rPr>
          <w:bCs/>
          <w:lang w:val="en-GB"/>
        </w:rPr>
        <w:t>The Committee</w:t>
      </w:r>
      <w:r w:rsidRPr="0060174F">
        <w:rPr>
          <w:b/>
          <w:lang w:val="en-GB"/>
        </w:rPr>
        <w:t xml:space="preserve"> expressed strong support</w:t>
      </w:r>
      <w:r w:rsidRPr="0060174F">
        <w:rPr>
          <w:lang w:val="en-GB"/>
        </w:rPr>
        <w:t xml:space="preserve"> for a holistic approach to inland transport modes, based on lessons from real</w:t>
      </w:r>
      <w:r w:rsidR="00221A4A" w:rsidRPr="0060174F">
        <w:rPr>
          <w:lang w:val="en-GB"/>
        </w:rPr>
        <w:t xml:space="preserve"> </w:t>
      </w:r>
      <w:r w:rsidRPr="0060174F">
        <w:rPr>
          <w:lang w:val="en-GB"/>
        </w:rPr>
        <w:t xml:space="preserve">world best practices </w:t>
      </w:r>
      <w:r w:rsidR="00221A4A" w:rsidRPr="0060174F">
        <w:rPr>
          <w:lang w:val="en-GB"/>
        </w:rPr>
        <w:t xml:space="preserve">in </w:t>
      </w:r>
      <w:r w:rsidRPr="0060174F">
        <w:rPr>
          <w:lang w:val="en-GB"/>
        </w:rPr>
        <w:t xml:space="preserve">developing and deploying successful innovations that promote sustainable mobility across modes of transport, and can be of benefit to the citizens of developed and developing countries. It </w:t>
      </w:r>
      <w:r w:rsidRPr="0060174F">
        <w:rPr>
          <w:b/>
          <w:lang w:val="en-GB"/>
        </w:rPr>
        <w:t>agreed</w:t>
      </w:r>
      <w:r w:rsidRPr="0060174F">
        <w:rPr>
          <w:lang w:val="en-GB"/>
        </w:rPr>
        <w:t xml:space="preserve"> that a short report of the discussions, in the form of moderator’s conclusions, be annexed to the Committee’s report. Finally</w:t>
      </w:r>
      <w:r w:rsidR="00DB552F" w:rsidRPr="0060174F">
        <w:rPr>
          <w:lang w:val="en-GB"/>
        </w:rPr>
        <w:t>,</w:t>
      </w:r>
      <w:r w:rsidRPr="0060174F">
        <w:rPr>
          <w:lang w:val="en-GB"/>
        </w:rPr>
        <w:t xml:space="preserve"> the Committee </w:t>
      </w:r>
      <w:r w:rsidRPr="0060174F">
        <w:rPr>
          <w:b/>
          <w:lang w:val="en-GB"/>
        </w:rPr>
        <w:t>requested</w:t>
      </w:r>
      <w:r w:rsidRPr="0060174F">
        <w:rPr>
          <w:lang w:val="en-GB"/>
        </w:rPr>
        <w:t xml:space="preserve"> its subsidiary bodies to take on-board the outcomes, as deemed appropriate. </w:t>
      </w:r>
      <w:r w:rsidR="008138F2" w:rsidRPr="0060174F">
        <w:rPr>
          <w:lang w:val="en-GB"/>
        </w:rPr>
        <w:br w:type="page"/>
      </w:r>
    </w:p>
    <w:p w14:paraId="70B6C208" w14:textId="01240BE2" w:rsidR="008138F2" w:rsidRPr="0060174F" w:rsidRDefault="008138F2" w:rsidP="008138F2">
      <w:pPr>
        <w:pStyle w:val="HChG"/>
        <w:rPr>
          <w:lang w:val="en-GB"/>
        </w:rPr>
      </w:pPr>
      <w:r w:rsidRPr="0060174F">
        <w:rPr>
          <w:lang w:val="en-GB"/>
        </w:rPr>
        <w:lastRenderedPageBreak/>
        <w:t>Annex II</w:t>
      </w:r>
    </w:p>
    <w:p w14:paraId="2E3E99EE" w14:textId="154DA9B9" w:rsidR="008138F2" w:rsidRPr="0060174F" w:rsidRDefault="008138F2" w:rsidP="00B027D8">
      <w:pPr>
        <w:pStyle w:val="HChG"/>
        <w:rPr>
          <w:szCs w:val="28"/>
          <w:lang w:val="en-GB"/>
        </w:rPr>
      </w:pPr>
      <w:r w:rsidRPr="0060174F">
        <w:rPr>
          <w:lang w:val="en-GB"/>
        </w:rPr>
        <w:tab/>
      </w:r>
      <w:r w:rsidRPr="0060174F">
        <w:rPr>
          <w:lang w:val="en-GB"/>
        </w:rPr>
        <w:tab/>
      </w:r>
      <w:r w:rsidR="00B027D8" w:rsidRPr="0060174F">
        <w:rPr>
          <w:lang w:val="en-GB"/>
        </w:rPr>
        <w:t xml:space="preserve">Report of the eighth meeting of the Chairs of the Committee’s subsidiary bodies and Administrative Committees of United Nations legal instruments in transport </w:t>
      </w:r>
    </w:p>
    <w:p w14:paraId="32A3FE07" w14:textId="77777777" w:rsidR="008138F2" w:rsidRPr="0060174F" w:rsidRDefault="008138F2" w:rsidP="008138F2">
      <w:pPr>
        <w:pStyle w:val="H1G"/>
        <w:rPr>
          <w:lang w:val="en-GB"/>
        </w:rPr>
      </w:pPr>
      <w:r w:rsidRPr="0060174F">
        <w:rPr>
          <w:lang w:val="en-GB"/>
        </w:rPr>
        <w:tab/>
      </w:r>
      <w:r w:rsidRPr="0060174F">
        <w:rPr>
          <w:lang w:val="en-GB"/>
        </w:rPr>
        <w:tab/>
        <w:t>Submitted by the Chair of the Inland Transport Committee</w:t>
      </w:r>
    </w:p>
    <w:p w14:paraId="58551FB8" w14:textId="77777777" w:rsidR="008138F2" w:rsidRPr="0060174F" w:rsidRDefault="008138F2" w:rsidP="008138F2">
      <w:pPr>
        <w:pStyle w:val="HChG"/>
        <w:rPr>
          <w:lang w:val="en-GB"/>
        </w:rPr>
      </w:pPr>
      <w:r w:rsidRPr="0060174F">
        <w:rPr>
          <w:lang w:val="en-GB"/>
        </w:rPr>
        <w:tab/>
        <w:t>I.</w:t>
      </w:r>
      <w:r w:rsidRPr="0060174F">
        <w:rPr>
          <w:lang w:val="en-GB"/>
        </w:rPr>
        <w:tab/>
        <w:t>Introduction</w:t>
      </w:r>
    </w:p>
    <w:p w14:paraId="54AEB321" w14:textId="73C32D15" w:rsidR="008138F2" w:rsidRPr="0060174F" w:rsidRDefault="008138F2" w:rsidP="008138F2">
      <w:pPr>
        <w:pStyle w:val="SingleTxtG"/>
        <w:rPr>
          <w:lang w:val="en-GB"/>
        </w:rPr>
      </w:pPr>
      <w:r w:rsidRPr="0060174F">
        <w:rPr>
          <w:lang w:val="en-GB"/>
        </w:rPr>
        <w:t>1.</w:t>
      </w:r>
      <w:r w:rsidRPr="0060174F">
        <w:rPr>
          <w:lang w:val="en-GB"/>
        </w:rPr>
        <w:tab/>
        <w:t xml:space="preserve">The </w:t>
      </w:r>
      <w:r w:rsidR="00974BDE" w:rsidRPr="0060174F">
        <w:rPr>
          <w:lang w:val="en-GB"/>
        </w:rPr>
        <w:t>eighth</w:t>
      </w:r>
      <w:r w:rsidRPr="0060174F">
        <w:rPr>
          <w:lang w:val="en-GB"/>
        </w:rPr>
        <w:t xml:space="preserve"> </w:t>
      </w:r>
      <w:r w:rsidR="00C24B04" w:rsidRPr="0060174F">
        <w:rPr>
          <w:lang w:val="en-GB"/>
        </w:rPr>
        <w:t>m</w:t>
      </w:r>
      <w:r w:rsidRPr="0060174F">
        <w:rPr>
          <w:lang w:val="en-GB"/>
        </w:rPr>
        <w:t>eeting of the Chairs was held on 2</w:t>
      </w:r>
      <w:r w:rsidR="00974BDE" w:rsidRPr="0060174F">
        <w:rPr>
          <w:lang w:val="en-GB"/>
        </w:rPr>
        <w:t>1</w:t>
      </w:r>
      <w:r w:rsidRPr="0060174F">
        <w:rPr>
          <w:lang w:val="en-GB"/>
        </w:rPr>
        <w:t xml:space="preserve"> February 201</w:t>
      </w:r>
      <w:r w:rsidR="00974BDE" w:rsidRPr="0060174F">
        <w:rPr>
          <w:lang w:val="en-GB"/>
        </w:rPr>
        <w:t>8</w:t>
      </w:r>
      <w:r w:rsidRPr="0060174F">
        <w:rPr>
          <w:lang w:val="en-GB"/>
        </w:rPr>
        <w:t>.</w:t>
      </w:r>
    </w:p>
    <w:p w14:paraId="4D1AD84C" w14:textId="60AB8243" w:rsidR="008138F2" w:rsidRPr="0060174F" w:rsidRDefault="008138F2" w:rsidP="008138F2">
      <w:pPr>
        <w:pStyle w:val="SingleTxtG"/>
        <w:rPr>
          <w:lang w:val="en-GB"/>
        </w:rPr>
      </w:pPr>
      <w:bookmarkStart w:id="3" w:name="_Hlk509393880"/>
      <w:r w:rsidRPr="0060174F">
        <w:rPr>
          <w:lang w:val="en-GB"/>
        </w:rPr>
        <w:t>2.</w:t>
      </w:r>
      <w:r w:rsidRPr="0060174F">
        <w:rPr>
          <w:lang w:val="en-GB"/>
        </w:rPr>
        <w:tab/>
      </w:r>
      <w:r w:rsidR="00E12ABD" w:rsidRPr="0060174F">
        <w:rPr>
          <w:lang w:val="en-GB"/>
        </w:rPr>
        <w:t xml:space="preserve">The Chairs and Vice-Chairs of the Committee’s subsidiary bodies and </w:t>
      </w:r>
      <w:r w:rsidR="00C24B04" w:rsidRPr="0060174F">
        <w:rPr>
          <w:lang w:val="en-GB"/>
        </w:rPr>
        <w:t>Administrative Committees</w:t>
      </w:r>
      <w:r w:rsidR="00E12ABD" w:rsidRPr="0060174F">
        <w:rPr>
          <w:lang w:val="en-GB"/>
        </w:rPr>
        <w:t xml:space="preserve"> of United Nations transport conventions, the members of the Bureau and </w:t>
      </w:r>
      <w:r w:rsidR="00205D0A" w:rsidRPr="0060174F">
        <w:rPr>
          <w:lang w:val="en-GB"/>
        </w:rPr>
        <w:t xml:space="preserve">government </w:t>
      </w:r>
      <w:r w:rsidR="00E12ABD" w:rsidRPr="0060174F">
        <w:rPr>
          <w:lang w:val="en-GB"/>
        </w:rPr>
        <w:t xml:space="preserve">delegates of </w:t>
      </w:r>
      <w:r w:rsidR="00C24B04" w:rsidRPr="0060174F">
        <w:rPr>
          <w:lang w:val="en-GB"/>
        </w:rPr>
        <w:t xml:space="preserve">contracting parties </w:t>
      </w:r>
      <w:r w:rsidR="00E12ABD" w:rsidRPr="0060174F">
        <w:rPr>
          <w:lang w:val="en-GB"/>
        </w:rPr>
        <w:t>participating at the session of the Committee attended the meeting. In total, 111 representatives from 52 countries, including 18 non-</w:t>
      </w:r>
      <w:r w:rsidR="002525A9" w:rsidRPr="0060174F">
        <w:rPr>
          <w:lang w:val="en-GB"/>
        </w:rPr>
        <w:t>ECE</w:t>
      </w:r>
      <w:r w:rsidR="00E12ABD" w:rsidRPr="0060174F">
        <w:rPr>
          <w:lang w:val="en-GB"/>
        </w:rPr>
        <w:t xml:space="preserve"> member States, the European Commission, and 23 Chairs and Vice-Chairs participated</w:t>
      </w:r>
      <w:r w:rsidRPr="0060174F">
        <w:rPr>
          <w:lang w:val="en-GB"/>
        </w:rPr>
        <w:t xml:space="preserve">. </w:t>
      </w:r>
    </w:p>
    <w:bookmarkEnd w:id="3"/>
    <w:p w14:paraId="19E8B740" w14:textId="2099682F" w:rsidR="008138F2" w:rsidRPr="0060174F" w:rsidRDefault="008138F2" w:rsidP="008138F2">
      <w:pPr>
        <w:pStyle w:val="SingleTxtG"/>
        <w:rPr>
          <w:lang w:val="en-GB"/>
        </w:rPr>
      </w:pPr>
      <w:r w:rsidRPr="0060174F">
        <w:rPr>
          <w:lang w:val="en-GB"/>
        </w:rPr>
        <w:t>3.</w:t>
      </w:r>
      <w:r w:rsidRPr="0060174F">
        <w:rPr>
          <w:lang w:val="en-GB"/>
        </w:rPr>
        <w:tab/>
        <w:t xml:space="preserve">This year’s meeting focused on </w:t>
      </w:r>
      <w:r w:rsidR="00E939B5" w:rsidRPr="0060174F">
        <w:rPr>
          <w:lang w:val="en-GB"/>
        </w:rPr>
        <w:t>further developing</w:t>
      </w:r>
      <w:r w:rsidRPr="0060174F">
        <w:rPr>
          <w:lang w:val="en-GB"/>
        </w:rPr>
        <w:t xml:space="preserve"> the strategy and the future directions of the Committee</w:t>
      </w:r>
      <w:r w:rsidR="00E939B5" w:rsidRPr="0060174F">
        <w:rPr>
          <w:lang w:val="en-GB"/>
        </w:rPr>
        <w:t>,</w:t>
      </w:r>
      <w:r w:rsidRPr="0060174F">
        <w:rPr>
          <w:lang w:val="en-GB"/>
        </w:rPr>
        <w:t xml:space="preserve"> </w:t>
      </w:r>
      <w:r w:rsidR="00E939B5" w:rsidRPr="0060174F">
        <w:rPr>
          <w:lang w:val="en-GB"/>
        </w:rPr>
        <w:t xml:space="preserve">as well as identifying the timeline </w:t>
      </w:r>
      <w:r w:rsidR="00CF6AF8" w:rsidRPr="0060174F">
        <w:rPr>
          <w:lang w:val="en-GB"/>
        </w:rPr>
        <w:t xml:space="preserve">for </w:t>
      </w:r>
      <w:r w:rsidR="00E939B5" w:rsidRPr="0060174F">
        <w:rPr>
          <w:lang w:val="en-GB"/>
        </w:rPr>
        <w:t>its adoption</w:t>
      </w:r>
      <w:r w:rsidRPr="0060174F">
        <w:rPr>
          <w:lang w:val="en-GB"/>
        </w:rPr>
        <w:t>.</w:t>
      </w:r>
    </w:p>
    <w:p w14:paraId="0FCACB59" w14:textId="2D11A220" w:rsidR="008138F2" w:rsidRPr="0060174F" w:rsidRDefault="008138F2" w:rsidP="008138F2">
      <w:pPr>
        <w:pStyle w:val="SingleTxtG"/>
        <w:rPr>
          <w:lang w:val="en-GB"/>
        </w:rPr>
      </w:pPr>
      <w:r w:rsidRPr="0060174F">
        <w:rPr>
          <w:lang w:val="en-GB"/>
        </w:rPr>
        <w:t>4.</w:t>
      </w:r>
      <w:r w:rsidRPr="0060174F">
        <w:rPr>
          <w:lang w:val="en-GB"/>
        </w:rPr>
        <w:tab/>
        <w:t xml:space="preserve">Discussions were based on </w:t>
      </w:r>
      <w:r w:rsidR="004852EA" w:rsidRPr="0060174F">
        <w:rPr>
          <w:lang w:val="en-GB"/>
        </w:rPr>
        <w:t xml:space="preserve">Informal </w:t>
      </w:r>
      <w:proofErr w:type="gramStart"/>
      <w:r w:rsidR="004852EA" w:rsidRPr="0060174F">
        <w:rPr>
          <w:lang w:val="en-GB"/>
        </w:rPr>
        <w:t>document</w:t>
      </w:r>
      <w:proofErr w:type="gramEnd"/>
      <w:r w:rsidR="004852EA" w:rsidRPr="0060174F">
        <w:rPr>
          <w:lang w:val="en-GB"/>
        </w:rPr>
        <w:t xml:space="preserve"> No. 1. The Committee also had the opportunity to review </w:t>
      </w:r>
      <w:r w:rsidR="00205D0A" w:rsidRPr="0060174F">
        <w:rPr>
          <w:lang w:val="en-GB"/>
        </w:rPr>
        <w:t xml:space="preserve">the background report </w:t>
      </w:r>
      <w:r w:rsidR="00CF6AF8" w:rsidRPr="0060174F">
        <w:rPr>
          <w:lang w:val="en-GB"/>
        </w:rPr>
        <w:t xml:space="preserve">of </w:t>
      </w:r>
      <w:r w:rsidR="004852EA" w:rsidRPr="0060174F">
        <w:rPr>
          <w:lang w:val="en-GB"/>
        </w:rPr>
        <w:t>the ECE ITC Strategy (ECE/TRANS/272 (Future)</w:t>
      </w:r>
      <w:r w:rsidR="00C24B04" w:rsidRPr="0060174F">
        <w:rPr>
          <w:lang w:val="en-GB"/>
        </w:rPr>
        <w:t>)</w:t>
      </w:r>
      <w:r w:rsidR="004852EA" w:rsidRPr="0060174F">
        <w:rPr>
          <w:lang w:val="en-GB"/>
        </w:rPr>
        <w:t xml:space="preserve">. </w:t>
      </w:r>
      <w:r w:rsidR="00C24B04" w:rsidRPr="0060174F">
        <w:rPr>
          <w:lang w:val="en-GB"/>
        </w:rPr>
        <w:t>The ministerial resolution on “Embracing the new era for sustainable inland transport and mobility” (ECE/TRANS/2017/2) of 21 February 2017 had invited the Committee to implement a strategic dialogue and to develop an ITC strategy that takes the decisions of the resolution into consideration</w:t>
      </w:r>
      <w:r w:rsidR="00E939B5" w:rsidRPr="0060174F">
        <w:rPr>
          <w:lang w:val="en-GB"/>
        </w:rPr>
        <w:t>.</w:t>
      </w:r>
      <w:r w:rsidRPr="0060174F">
        <w:rPr>
          <w:lang w:val="en-GB"/>
        </w:rPr>
        <w:t xml:space="preserve"> </w:t>
      </w:r>
      <w:r w:rsidR="004852EA" w:rsidRPr="0060174F">
        <w:rPr>
          <w:lang w:val="en-GB"/>
        </w:rPr>
        <w:t xml:space="preserve">The Committee had welcomed and endorsed the 2017 </w:t>
      </w:r>
      <w:r w:rsidR="00C24B04" w:rsidRPr="0060174F">
        <w:rPr>
          <w:lang w:val="en-GB"/>
        </w:rPr>
        <w:t xml:space="preserve">ministerial resolution </w:t>
      </w:r>
      <w:r w:rsidR="004852EA" w:rsidRPr="0060174F">
        <w:rPr>
          <w:lang w:val="en-GB"/>
        </w:rPr>
        <w:t xml:space="preserve">at its </w:t>
      </w:r>
      <w:r w:rsidR="0000080D" w:rsidRPr="0060174F">
        <w:rPr>
          <w:lang w:val="en-GB"/>
        </w:rPr>
        <w:t>seventy</w:t>
      </w:r>
      <w:r w:rsidR="004852EA" w:rsidRPr="0060174F">
        <w:rPr>
          <w:lang w:val="en-GB"/>
        </w:rPr>
        <w:t>-ninth session.</w:t>
      </w:r>
    </w:p>
    <w:p w14:paraId="71E7D88A" w14:textId="3CF1D14B" w:rsidR="008138F2" w:rsidRPr="0060174F" w:rsidRDefault="008138F2" w:rsidP="008138F2">
      <w:pPr>
        <w:pStyle w:val="SingleTxtG"/>
        <w:rPr>
          <w:lang w:val="en-GB"/>
        </w:rPr>
      </w:pPr>
      <w:r w:rsidRPr="0060174F">
        <w:rPr>
          <w:lang w:val="en-GB"/>
        </w:rPr>
        <w:t>5.</w:t>
      </w:r>
      <w:r w:rsidRPr="0060174F">
        <w:rPr>
          <w:lang w:val="en-GB"/>
        </w:rPr>
        <w:tab/>
        <w:t>This annex summar</w:t>
      </w:r>
      <w:r w:rsidR="00C24B04" w:rsidRPr="0060174F">
        <w:rPr>
          <w:lang w:val="en-GB"/>
        </w:rPr>
        <w:t>izes</w:t>
      </w:r>
      <w:r w:rsidRPr="0060174F">
        <w:rPr>
          <w:lang w:val="en-GB"/>
        </w:rPr>
        <w:t xml:space="preserve"> and </w:t>
      </w:r>
      <w:r w:rsidR="00C24B04" w:rsidRPr="0060174F">
        <w:rPr>
          <w:lang w:val="en-GB"/>
        </w:rPr>
        <w:t xml:space="preserve">provides </w:t>
      </w:r>
      <w:r w:rsidRPr="0060174F">
        <w:rPr>
          <w:lang w:val="en-GB"/>
        </w:rPr>
        <w:t xml:space="preserve">conclusions </w:t>
      </w:r>
      <w:r w:rsidR="00C24B04" w:rsidRPr="0060174F">
        <w:rPr>
          <w:lang w:val="en-GB"/>
        </w:rPr>
        <w:t xml:space="preserve">from </w:t>
      </w:r>
      <w:r w:rsidRPr="0060174F">
        <w:rPr>
          <w:lang w:val="en-GB"/>
        </w:rPr>
        <w:t xml:space="preserve">the meeting based on the views exchanged. </w:t>
      </w:r>
    </w:p>
    <w:p w14:paraId="666B23B6" w14:textId="77777777" w:rsidR="008138F2" w:rsidRPr="0060174F" w:rsidRDefault="008138F2" w:rsidP="008138F2">
      <w:pPr>
        <w:pStyle w:val="SingleTxtG"/>
        <w:rPr>
          <w:lang w:val="en-GB"/>
        </w:rPr>
      </w:pPr>
      <w:r w:rsidRPr="0060174F">
        <w:rPr>
          <w:lang w:val="en-GB"/>
        </w:rPr>
        <w:t>6.</w:t>
      </w:r>
      <w:r w:rsidRPr="0060174F">
        <w:rPr>
          <w:lang w:val="en-GB"/>
        </w:rPr>
        <w:tab/>
        <w:t>Participants at the restricted session agreed that the summary would take the form of the Chair’s note which would be annexed to the ITC report after approval by the participating delegates in the restricted session.</w:t>
      </w:r>
    </w:p>
    <w:p w14:paraId="3745E771" w14:textId="23F7024A" w:rsidR="008138F2" w:rsidRPr="0060174F" w:rsidRDefault="008138F2" w:rsidP="008138F2">
      <w:pPr>
        <w:pStyle w:val="HChG"/>
        <w:rPr>
          <w:lang w:val="en-GB"/>
        </w:rPr>
      </w:pPr>
      <w:r w:rsidRPr="0060174F">
        <w:rPr>
          <w:lang w:val="en-GB"/>
        </w:rPr>
        <w:tab/>
        <w:t>II.</w:t>
      </w:r>
      <w:r w:rsidRPr="0060174F">
        <w:rPr>
          <w:lang w:val="en-GB"/>
        </w:rPr>
        <w:tab/>
      </w:r>
      <w:r w:rsidR="004852EA" w:rsidRPr="0060174F">
        <w:rPr>
          <w:lang w:val="en-GB"/>
        </w:rPr>
        <w:t>Developing</w:t>
      </w:r>
      <w:r w:rsidRPr="0060174F">
        <w:rPr>
          <w:lang w:val="en-GB"/>
        </w:rPr>
        <w:t xml:space="preserve"> the </w:t>
      </w:r>
      <w:r w:rsidR="00763EBE" w:rsidRPr="0060174F">
        <w:rPr>
          <w:lang w:val="en-GB"/>
        </w:rPr>
        <w:t>s</w:t>
      </w:r>
      <w:r w:rsidR="004852EA" w:rsidRPr="0060174F">
        <w:rPr>
          <w:lang w:val="en-GB"/>
        </w:rPr>
        <w:t>trategy</w:t>
      </w:r>
    </w:p>
    <w:p w14:paraId="6B125D38" w14:textId="44C75B1D" w:rsidR="004852EA" w:rsidRPr="0060174F" w:rsidRDefault="008138F2" w:rsidP="008138F2">
      <w:pPr>
        <w:pStyle w:val="SingleTxtG"/>
        <w:rPr>
          <w:lang w:val="en-GB"/>
        </w:rPr>
      </w:pPr>
      <w:r w:rsidRPr="0060174F">
        <w:rPr>
          <w:lang w:val="en-GB"/>
        </w:rPr>
        <w:t>7.</w:t>
      </w:r>
      <w:r w:rsidRPr="0060174F">
        <w:rPr>
          <w:lang w:val="en-GB"/>
        </w:rPr>
        <w:tab/>
        <w:t xml:space="preserve">Consensus emerged during the discussions on </w:t>
      </w:r>
      <w:r w:rsidR="004852EA" w:rsidRPr="0060174F">
        <w:rPr>
          <w:lang w:val="en-GB"/>
        </w:rPr>
        <w:t xml:space="preserve">recognizing the </w:t>
      </w:r>
      <w:r w:rsidR="00763EBE" w:rsidRPr="0060174F">
        <w:rPr>
          <w:lang w:val="en-GB"/>
        </w:rPr>
        <w:t xml:space="preserve">increasing </w:t>
      </w:r>
      <w:r w:rsidR="004852EA" w:rsidRPr="0060174F">
        <w:rPr>
          <w:lang w:val="en-GB"/>
        </w:rPr>
        <w:t>global role of the Committee and the legal instruments</w:t>
      </w:r>
      <w:r w:rsidR="00763EBE" w:rsidRPr="0060174F">
        <w:rPr>
          <w:lang w:val="en-GB"/>
        </w:rPr>
        <w:t>,</w:t>
      </w:r>
      <w:r w:rsidR="004852EA" w:rsidRPr="0060174F">
        <w:rPr>
          <w:lang w:val="en-GB"/>
        </w:rPr>
        <w:t xml:space="preserve"> </w:t>
      </w:r>
      <w:r w:rsidR="00763EBE" w:rsidRPr="0060174F">
        <w:rPr>
          <w:lang w:val="en-GB"/>
        </w:rPr>
        <w:t xml:space="preserve">and </w:t>
      </w:r>
      <w:r w:rsidR="004852EA" w:rsidRPr="0060174F">
        <w:rPr>
          <w:lang w:val="en-GB"/>
        </w:rPr>
        <w:t xml:space="preserve">the changing </w:t>
      </w:r>
      <w:r w:rsidR="00C24B04" w:rsidRPr="0060174F">
        <w:rPr>
          <w:lang w:val="en-GB"/>
        </w:rPr>
        <w:t xml:space="preserve">global </w:t>
      </w:r>
      <w:r w:rsidR="004852EA" w:rsidRPr="0060174F">
        <w:rPr>
          <w:lang w:val="en-GB"/>
        </w:rPr>
        <w:t xml:space="preserve">institutional and regulatory landscape. </w:t>
      </w:r>
      <w:r w:rsidR="00763EBE" w:rsidRPr="0060174F">
        <w:rPr>
          <w:lang w:val="en-GB"/>
        </w:rPr>
        <w:t>D</w:t>
      </w:r>
      <w:r w:rsidR="004852EA" w:rsidRPr="0060174F">
        <w:rPr>
          <w:lang w:val="en-GB"/>
        </w:rPr>
        <w:t xml:space="preserve">evelopmental, economic and environmental challenges in transport were </w:t>
      </w:r>
      <w:r w:rsidR="00763EBE" w:rsidRPr="0060174F">
        <w:rPr>
          <w:lang w:val="en-GB"/>
        </w:rPr>
        <w:t xml:space="preserve">also recognized to be </w:t>
      </w:r>
      <w:r w:rsidR="004852EA" w:rsidRPr="0060174F">
        <w:rPr>
          <w:lang w:val="en-GB"/>
        </w:rPr>
        <w:t>on the rise and becoming critical in many parts of the world, thus increasing the urgency for identif</w:t>
      </w:r>
      <w:r w:rsidR="00763EBE" w:rsidRPr="0060174F">
        <w:rPr>
          <w:lang w:val="en-GB"/>
        </w:rPr>
        <w:t xml:space="preserve">ying </w:t>
      </w:r>
      <w:r w:rsidR="004852EA" w:rsidRPr="0060174F">
        <w:rPr>
          <w:lang w:val="en-GB"/>
        </w:rPr>
        <w:t xml:space="preserve">the proper role for ITC. </w:t>
      </w:r>
    </w:p>
    <w:p w14:paraId="085398A6" w14:textId="72195920" w:rsidR="00586759" w:rsidRPr="0060174F" w:rsidRDefault="002C2610" w:rsidP="008138F2">
      <w:pPr>
        <w:pStyle w:val="SingleTxtG"/>
        <w:rPr>
          <w:lang w:val="en-GB"/>
        </w:rPr>
      </w:pPr>
      <w:r w:rsidRPr="0060174F">
        <w:rPr>
          <w:lang w:val="en-GB"/>
        </w:rPr>
        <w:t>8.</w:t>
      </w:r>
      <w:r w:rsidRPr="0060174F">
        <w:rPr>
          <w:lang w:val="en-GB"/>
        </w:rPr>
        <w:tab/>
      </w:r>
      <w:r w:rsidR="00586759" w:rsidRPr="0060174F">
        <w:rPr>
          <w:lang w:val="en-GB"/>
        </w:rPr>
        <w:t xml:space="preserve">A nexus of opportunities and challenges thus </w:t>
      </w:r>
      <w:r w:rsidR="00C24B04" w:rsidRPr="0060174F">
        <w:rPr>
          <w:lang w:val="en-GB"/>
        </w:rPr>
        <w:t>emerged</w:t>
      </w:r>
      <w:r w:rsidR="00763EBE" w:rsidRPr="0060174F">
        <w:rPr>
          <w:lang w:val="en-GB"/>
        </w:rPr>
        <w:t>,</w:t>
      </w:r>
      <w:r w:rsidR="00C24B04" w:rsidRPr="0060174F">
        <w:rPr>
          <w:lang w:val="en-GB"/>
        </w:rPr>
        <w:t xml:space="preserve"> </w:t>
      </w:r>
      <w:r w:rsidR="00586759" w:rsidRPr="0060174F">
        <w:rPr>
          <w:lang w:val="en-GB"/>
        </w:rPr>
        <w:t>setting the basic parameters for needed changes in the strategic direction of the Committee</w:t>
      </w:r>
      <w:r w:rsidR="00763EBE" w:rsidRPr="0060174F">
        <w:rPr>
          <w:lang w:val="en-GB"/>
        </w:rPr>
        <w:t>, such as:</w:t>
      </w:r>
    </w:p>
    <w:p w14:paraId="44D9F63F" w14:textId="5AACD4B7" w:rsidR="00555CAB" w:rsidRPr="0060174F" w:rsidRDefault="00586759" w:rsidP="00210490">
      <w:pPr>
        <w:pStyle w:val="Bullet1G"/>
        <w:rPr>
          <w:lang w:val="en-GB"/>
        </w:rPr>
      </w:pPr>
      <w:r w:rsidRPr="0060174F">
        <w:rPr>
          <w:lang w:val="en-GB"/>
        </w:rPr>
        <w:t>Global agreements that drive global policies for transforming the path of development: the work of ITC should contribute and support</w:t>
      </w:r>
    </w:p>
    <w:p w14:paraId="78C8B8E8" w14:textId="6E242ED8" w:rsidR="00555CAB" w:rsidRPr="0060174F" w:rsidRDefault="00586759" w:rsidP="00210490">
      <w:pPr>
        <w:pStyle w:val="Bullet1G"/>
        <w:rPr>
          <w:lang w:val="en-GB"/>
        </w:rPr>
      </w:pPr>
      <w:r w:rsidRPr="0060174F">
        <w:rPr>
          <w:lang w:val="en-GB"/>
        </w:rPr>
        <w:t>Technolog</w:t>
      </w:r>
      <w:r w:rsidR="00555CAB" w:rsidRPr="0060174F">
        <w:rPr>
          <w:lang w:val="en-GB"/>
        </w:rPr>
        <w:t>y</w:t>
      </w:r>
      <w:r w:rsidRPr="0060174F">
        <w:rPr>
          <w:lang w:val="en-GB"/>
        </w:rPr>
        <w:t xml:space="preserve">, for example </w:t>
      </w:r>
      <w:r w:rsidR="00C24B04" w:rsidRPr="0060174F">
        <w:rPr>
          <w:lang w:val="en-GB"/>
        </w:rPr>
        <w:t>intelligent transport systems, digitalization and automation</w:t>
      </w:r>
    </w:p>
    <w:p w14:paraId="476A9D4F" w14:textId="38AEDF56" w:rsidR="00555CAB" w:rsidRPr="0060174F" w:rsidRDefault="00586759" w:rsidP="00210490">
      <w:pPr>
        <w:pStyle w:val="Bullet1G"/>
        <w:rPr>
          <w:lang w:val="en-GB"/>
        </w:rPr>
      </w:pPr>
      <w:r w:rsidRPr="0060174F">
        <w:rPr>
          <w:lang w:val="en-GB"/>
        </w:rPr>
        <w:t>The continuing road safety crisis</w:t>
      </w:r>
    </w:p>
    <w:p w14:paraId="6021B172" w14:textId="7CBAEC5B" w:rsidR="00555CAB" w:rsidRPr="0060174F" w:rsidRDefault="00586759" w:rsidP="00210490">
      <w:pPr>
        <w:pStyle w:val="Bullet1G"/>
        <w:rPr>
          <w:lang w:val="en-GB"/>
        </w:rPr>
      </w:pPr>
      <w:r w:rsidRPr="0060174F">
        <w:rPr>
          <w:lang w:val="en-GB"/>
        </w:rPr>
        <w:t xml:space="preserve">Global megatrends, </w:t>
      </w:r>
      <w:r w:rsidR="00D86B74" w:rsidRPr="0060174F">
        <w:rPr>
          <w:lang w:val="en-GB"/>
        </w:rPr>
        <w:t xml:space="preserve">e.g. </w:t>
      </w:r>
      <w:r w:rsidRPr="0060174F">
        <w:rPr>
          <w:lang w:val="en-GB"/>
        </w:rPr>
        <w:t>demographic dynamics and urbanization</w:t>
      </w:r>
    </w:p>
    <w:p w14:paraId="6DFAFD6C" w14:textId="7A73C06B" w:rsidR="00586759" w:rsidRPr="0060174F" w:rsidRDefault="00586759" w:rsidP="00210490">
      <w:pPr>
        <w:pStyle w:val="Bullet1G"/>
        <w:rPr>
          <w:lang w:val="en-GB"/>
        </w:rPr>
      </w:pPr>
      <w:r w:rsidRPr="0060174F">
        <w:rPr>
          <w:lang w:val="en-GB"/>
        </w:rPr>
        <w:lastRenderedPageBreak/>
        <w:t xml:space="preserve">Increasing transport demand, </w:t>
      </w:r>
      <w:r w:rsidR="00D86B74" w:rsidRPr="0060174F">
        <w:rPr>
          <w:lang w:val="en-GB"/>
        </w:rPr>
        <w:t xml:space="preserve">i.e. </w:t>
      </w:r>
      <w:r w:rsidRPr="0060174F">
        <w:rPr>
          <w:lang w:val="en-GB"/>
        </w:rPr>
        <w:t>urban environments</w:t>
      </w:r>
      <w:r w:rsidR="00763EBE" w:rsidRPr="0060174F" w:rsidDel="00763EBE">
        <w:rPr>
          <w:lang w:val="en-GB"/>
        </w:rPr>
        <w:t xml:space="preserve"> </w:t>
      </w:r>
    </w:p>
    <w:p w14:paraId="023FC6AD" w14:textId="45A9C687" w:rsidR="00586759" w:rsidRPr="0060174F" w:rsidRDefault="00586759" w:rsidP="00210490">
      <w:pPr>
        <w:pStyle w:val="Bullet1G"/>
        <w:rPr>
          <w:lang w:val="en-GB"/>
        </w:rPr>
      </w:pPr>
      <w:r w:rsidRPr="0060174F">
        <w:rPr>
          <w:lang w:val="en-GB"/>
        </w:rPr>
        <w:t xml:space="preserve">Infrastructure gaps and adequate </w:t>
      </w:r>
      <w:r w:rsidR="00D86B74" w:rsidRPr="0060174F">
        <w:rPr>
          <w:lang w:val="en-GB"/>
        </w:rPr>
        <w:t xml:space="preserve">global </w:t>
      </w:r>
      <w:r w:rsidRPr="0060174F">
        <w:rPr>
          <w:lang w:val="en-GB"/>
        </w:rPr>
        <w:t>infrastructure investment</w:t>
      </w:r>
      <w:r w:rsidR="00663CF0" w:rsidRPr="0060174F">
        <w:rPr>
          <w:lang w:val="en-GB"/>
        </w:rPr>
        <w:t>.</w:t>
      </w:r>
    </w:p>
    <w:p w14:paraId="340EADA2" w14:textId="1D31F40C" w:rsidR="004852EA" w:rsidRPr="0060174F" w:rsidRDefault="002C2610" w:rsidP="004852EA">
      <w:pPr>
        <w:pStyle w:val="SingleTxtG"/>
        <w:rPr>
          <w:lang w:val="en-GB"/>
        </w:rPr>
      </w:pPr>
      <w:r w:rsidRPr="0060174F">
        <w:rPr>
          <w:lang w:val="en-GB"/>
        </w:rPr>
        <w:t>9</w:t>
      </w:r>
      <w:r w:rsidR="00586759" w:rsidRPr="0060174F">
        <w:rPr>
          <w:lang w:val="en-GB"/>
        </w:rPr>
        <w:t>.</w:t>
      </w:r>
      <w:r w:rsidR="00586759" w:rsidRPr="0060174F">
        <w:rPr>
          <w:lang w:val="en-GB"/>
        </w:rPr>
        <w:tab/>
      </w:r>
      <w:r w:rsidR="004852EA" w:rsidRPr="0060174F">
        <w:rPr>
          <w:lang w:val="en-GB"/>
        </w:rPr>
        <w:t>These broad dynamics could be grouped around 6 themes.</w:t>
      </w:r>
    </w:p>
    <w:p w14:paraId="1D086426" w14:textId="0118FCC3" w:rsidR="00586759" w:rsidRPr="0060174F" w:rsidRDefault="00495A3C" w:rsidP="00495A3C">
      <w:pPr>
        <w:pStyle w:val="H1G"/>
        <w:rPr>
          <w:lang w:val="en-GB"/>
        </w:rPr>
      </w:pPr>
      <w:r w:rsidRPr="0060174F">
        <w:rPr>
          <w:lang w:val="en-GB"/>
        </w:rPr>
        <w:tab/>
        <w:t>A.</w:t>
      </w:r>
      <w:r w:rsidRPr="0060174F">
        <w:rPr>
          <w:lang w:val="en-GB"/>
        </w:rPr>
        <w:tab/>
      </w:r>
      <w:r w:rsidR="00586759" w:rsidRPr="0060174F">
        <w:rPr>
          <w:lang w:val="en-GB"/>
        </w:rPr>
        <w:t>Institutional dimension (ITC, its subsidiary bodies and legal instruments)</w:t>
      </w:r>
    </w:p>
    <w:p w14:paraId="62B27132" w14:textId="0F27E547" w:rsidR="002E5587" w:rsidRPr="0060174F" w:rsidRDefault="00336600" w:rsidP="002C2610">
      <w:pPr>
        <w:pStyle w:val="SingleTxtG"/>
        <w:rPr>
          <w:lang w:val="en-GB"/>
        </w:rPr>
      </w:pPr>
      <w:r w:rsidRPr="0060174F">
        <w:rPr>
          <w:lang w:val="en-GB"/>
        </w:rPr>
        <w:t>10.</w:t>
      </w:r>
      <w:r w:rsidRPr="0060174F">
        <w:rPr>
          <w:lang w:val="en-GB"/>
        </w:rPr>
        <w:tab/>
      </w:r>
      <w:r w:rsidR="002E5587" w:rsidRPr="0060174F">
        <w:rPr>
          <w:lang w:val="en-GB"/>
        </w:rPr>
        <w:t xml:space="preserve">In response to the increasingly global role of the Committee and the legal instruments, much of the discussion revolved around the legal instruments. Specifically, the opening </w:t>
      </w:r>
      <w:r w:rsidR="00F464B4" w:rsidRPr="0060174F">
        <w:rPr>
          <w:lang w:val="en-GB"/>
        </w:rPr>
        <w:t xml:space="preserve">of </w:t>
      </w:r>
      <w:r w:rsidR="002E5587" w:rsidRPr="0060174F">
        <w:rPr>
          <w:lang w:val="en-GB"/>
        </w:rPr>
        <w:t xml:space="preserve">these instruments to all </w:t>
      </w:r>
      <w:r w:rsidR="00C24B04" w:rsidRPr="0060174F">
        <w:rPr>
          <w:lang w:val="en-GB"/>
        </w:rPr>
        <w:t xml:space="preserve">United Nations </w:t>
      </w:r>
      <w:r w:rsidR="002E5587" w:rsidRPr="0060174F">
        <w:rPr>
          <w:lang w:val="en-GB"/>
        </w:rPr>
        <w:t>Member States, to the exten</w:t>
      </w:r>
      <w:r w:rsidR="000276B8" w:rsidRPr="0060174F">
        <w:rPr>
          <w:lang w:val="en-GB"/>
        </w:rPr>
        <w:t xml:space="preserve">t </w:t>
      </w:r>
      <w:r w:rsidR="002E5587" w:rsidRPr="0060174F">
        <w:rPr>
          <w:lang w:val="en-GB"/>
        </w:rPr>
        <w:t>feasible</w:t>
      </w:r>
      <w:r w:rsidR="002C2610" w:rsidRPr="0060174F">
        <w:rPr>
          <w:lang w:val="en-GB"/>
        </w:rPr>
        <w:t xml:space="preserve">, and their </w:t>
      </w:r>
      <w:r w:rsidR="002C2610" w:rsidRPr="0060174F">
        <w:rPr>
          <w:i/>
          <w:iCs/>
          <w:lang w:val="en-GB"/>
        </w:rPr>
        <w:t xml:space="preserve">universalization </w:t>
      </w:r>
      <w:r w:rsidR="002C2610" w:rsidRPr="0060174F">
        <w:rPr>
          <w:lang w:val="en-GB"/>
        </w:rPr>
        <w:t xml:space="preserve">were mentioned by several participants. Increasing accessions by non-ECE States and expanding the geographical focus were strongly supported. </w:t>
      </w:r>
      <w:r w:rsidR="00763EBE" w:rsidRPr="0060174F">
        <w:rPr>
          <w:lang w:val="en-GB"/>
        </w:rPr>
        <w:t>I</w:t>
      </w:r>
      <w:r w:rsidR="002C2610" w:rsidRPr="0060174F">
        <w:rPr>
          <w:lang w:val="en-GB"/>
        </w:rPr>
        <w:t xml:space="preserve">deas </w:t>
      </w:r>
      <w:r w:rsidR="00763EBE" w:rsidRPr="0060174F">
        <w:rPr>
          <w:lang w:val="en-GB"/>
        </w:rPr>
        <w:t xml:space="preserve">for </w:t>
      </w:r>
      <w:r w:rsidR="002C2610" w:rsidRPr="0060174F">
        <w:rPr>
          <w:lang w:val="en-GB"/>
        </w:rPr>
        <w:t>achiev</w:t>
      </w:r>
      <w:r w:rsidR="005802FE" w:rsidRPr="0060174F">
        <w:rPr>
          <w:lang w:val="en-GB"/>
        </w:rPr>
        <w:t>e</w:t>
      </w:r>
      <w:r w:rsidR="00763EBE" w:rsidRPr="0060174F">
        <w:rPr>
          <w:lang w:val="en-GB"/>
        </w:rPr>
        <w:t>ment</w:t>
      </w:r>
      <w:r w:rsidR="002C2610" w:rsidRPr="0060174F">
        <w:rPr>
          <w:lang w:val="en-GB"/>
        </w:rPr>
        <w:t xml:space="preserve"> included changing the name</w:t>
      </w:r>
      <w:r w:rsidR="00763EBE" w:rsidRPr="0060174F">
        <w:rPr>
          <w:lang w:val="en-GB"/>
        </w:rPr>
        <w:t>s</w:t>
      </w:r>
      <w:r w:rsidR="002C2610" w:rsidRPr="0060174F">
        <w:rPr>
          <w:lang w:val="en-GB"/>
        </w:rPr>
        <w:t xml:space="preserve"> of some conventions to better reflect their global scope and thus facilitate the accession of non-ECE countries. The develop</w:t>
      </w:r>
      <w:r w:rsidR="00763EBE" w:rsidRPr="0060174F">
        <w:rPr>
          <w:lang w:val="en-GB"/>
        </w:rPr>
        <w:t>ment of</w:t>
      </w:r>
      <w:r w:rsidR="002C2610" w:rsidRPr="0060174F">
        <w:rPr>
          <w:lang w:val="en-GB"/>
        </w:rPr>
        <w:t xml:space="preserve"> new legal instruments on a need</w:t>
      </w:r>
      <w:r w:rsidR="00681845" w:rsidRPr="0060174F">
        <w:rPr>
          <w:lang w:val="en-GB"/>
        </w:rPr>
        <w:t xml:space="preserve"> </w:t>
      </w:r>
      <w:r w:rsidR="002C2610" w:rsidRPr="0060174F">
        <w:rPr>
          <w:lang w:val="en-GB"/>
        </w:rPr>
        <w:t>basis was also strongly supported. Finally</w:t>
      </w:r>
      <w:r w:rsidRPr="0060174F">
        <w:rPr>
          <w:lang w:val="en-GB"/>
        </w:rPr>
        <w:t>,</w:t>
      </w:r>
      <w:r w:rsidR="002C2610" w:rsidRPr="0060174F">
        <w:rPr>
          <w:lang w:val="en-GB"/>
        </w:rPr>
        <w:t xml:space="preserve"> the importance of supporting </w:t>
      </w:r>
      <w:r w:rsidR="00763EBE" w:rsidRPr="0060174F">
        <w:rPr>
          <w:lang w:val="en-GB"/>
        </w:rPr>
        <w:t xml:space="preserve">an </w:t>
      </w:r>
      <w:r w:rsidR="002C2610" w:rsidRPr="0060174F">
        <w:rPr>
          <w:lang w:val="en-GB"/>
        </w:rPr>
        <w:t xml:space="preserve">effective implementation of </w:t>
      </w:r>
      <w:r w:rsidR="00681845" w:rsidRPr="0060174F">
        <w:rPr>
          <w:lang w:val="en-GB"/>
        </w:rPr>
        <w:t>c</w:t>
      </w:r>
      <w:r w:rsidR="002C2610" w:rsidRPr="0060174F">
        <w:rPr>
          <w:lang w:val="en-GB"/>
        </w:rPr>
        <w:t>onventions was highlighted and complemented the discussion on increasing accessions.</w:t>
      </w:r>
    </w:p>
    <w:p w14:paraId="2659412A" w14:textId="3645C993" w:rsidR="002E5587" w:rsidRPr="0060174F" w:rsidRDefault="00336600" w:rsidP="002E5587">
      <w:pPr>
        <w:pStyle w:val="SingleTxtG"/>
        <w:rPr>
          <w:lang w:val="en-GB"/>
        </w:rPr>
      </w:pPr>
      <w:r w:rsidRPr="0060174F">
        <w:rPr>
          <w:lang w:val="en-GB"/>
        </w:rPr>
        <w:t>11.</w:t>
      </w:r>
      <w:r w:rsidRPr="0060174F">
        <w:rPr>
          <w:lang w:val="en-GB"/>
        </w:rPr>
        <w:tab/>
      </w:r>
      <w:r w:rsidR="002E5587" w:rsidRPr="0060174F">
        <w:rPr>
          <w:lang w:val="en-GB"/>
        </w:rPr>
        <w:t xml:space="preserve">The need to </w:t>
      </w:r>
      <w:proofErr w:type="gramStart"/>
      <w:r w:rsidR="002E5587" w:rsidRPr="0060174F">
        <w:rPr>
          <w:lang w:val="en-GB"/>
        </w:rPr>
        <w:t>open up</w:t>
      </w:r>
      <w:proofErr w:type="gramEnd"/>
      <w:r w:rsidR="002E5587" w:rsidRPr="0060174F">
        <w:rPr>
          <w:lang w:val="en-GB"/>
        </w:rPr>
        <w:t xml:space="preserve"> the ITC to non-ECE </w:t>
      </w:r>
      <w:r w:rsidR="00681845" w:rsidRPr="0060174F">
        <w:rPr>
          <w:lang w:val="en-GB"/>
        </w:rPr>
        <w:t>contracting parties</w:t>
      </w:r>
      <w:r w:rsidR="005802FE" w:rsidRPr="0060174F">
        <w:rPr>
          <w:lang w:val="en-GB"/>
        </w:rPr>
        <w:t xml:space="preserve"> was stressed by participants</w:t>
      </w:r>
      <w:r w:rsidR="002E5587" w:rsidRPr="0060174F">
        <w:rPr>
          <w:lang w:val="en-GB"/>
        </w:rPr>
        <w:t>, something that could go hand in hand with even more of its Working Parties administering global conventions</w:t>
      </w:r>
      <w:r w:rsidR="005802FE" w:rsidRPr="0060174F">
        <w:rPr>
          <w:lang w:val="en-GB"/>
        </w:rPr>
        <w:t xml:space="preserve"> in the future</w:t>
      </w:r>
      <w:r w:rsidR="002E5587" w:rsidRPr="0060174F">
        <w:rPr>
          <w:lang w:val="en-GB"/>
        </w:rPr>
        <w:t xml:space="preserve">. As a global regulatory centre of sustainable inland transport, ITC should lead proactive initiatives, and reflect it in TORs and mandates, as well change in inland transport policies, also contributing to sustainable development in the ECE region and worldwide. </w:t>
      </w:r>
      <w:r w:rsidR="00F6423F" w:rsidRPr="0060174F">
        <w:rPr>
          <w:lang w:val="en-GB"/>
        </w:rPr>
        <w:t>It was</w:t>
      </w:r>
      <w:r w:rsidR="002E5587" w:rsidRPr="0060174F">
        <w:rPr>
          <w:lang w:val="en-GB"/>
        </w:rPr>
        <w:t xml:space="preserve"> </w:t>
      </w:r>
      <w:r w:rsidR="00763EBE" w:rsidRPr="0060174F">
        <w:rPr>
          <w:lang w:val="en-GB"/>
        </w:rPr>
        <w:t xml:space="preserve">also recognized </w:t>
      </w:r>
      <w:r w:rsidR="002E5587" w:rsidRPr="0060174F">
        <w:rPr>
          <w:lang w:val="en-GB"/>
        </w:rPr>
        <w:t>that these ideas might lead to</w:t>
      </w:r>
      <w:r w:rsidR="00763EBE" w:rsidRPr="0060174F">
        <w:rPr>
          <w:lang w:val="en-GB"/>
        </w:rPr>
        <w:t xml:space="preserve"> or </w:t>
      </w:r>
      <w:r w:rsidR="002E5587" w:rsidRPr="0060174F">
        <w:rPr>
          <w:lang w:val="en-GB"/>
        </w:rPr>
        <w:t xml:space="preserve">necessitate changes to the functioning and organization of </w:t>
      </w:r>
      <w:r w:rsidR="00763EBE" w:rsidRPr="0060174F">
        <w:rPr>
          <w:lang w:val="en-GB"/>
        </w:rPr>
        <w:t xml:space="preserve">ITC </w:t>
      </w:r>
      <w:r w:rsidR="002E5587" w:rsidRPr="0060174F">
        <w:rPr>
          <w:lang w:val="en-GB"/>
        </w:rPr>
        <w:t xml:space="preserve">activities and </w:t>
      </w:r>
      <w:r w:rsidR="00763EBE" w:rsidRPr="0060174F">
        <w:rPr>
          <w:lang w:val="en-GB"/>
        </w:rPr>
        <w:t xml:space="preserve">of </w:t>
      </w:r>
      <w:r w:rsidR="002E5587" w:rsidRPr="0060174F">
        <w:rPr>
          <w:lang w:val="en-GB"/>
        </w:rPr>
        <w:t>its subsidiary bodies.</w:t>
      </w:r>
    </w:p>
    <w:p w14:paraId="675F8A31" w14:textId="472C062F" w:rsidR="002C2610" w:rsidRPr="0060174F" w:rsidRDefault="00336600" w:rsidP="002E5587">
      <w:pPr>
        <w:pStyle w:val="SingleTxtG"/>
        <w:rPr>
          <w:lang w:val="en-GB"/>
        </w:rPr>
      </w:pPr>
      <w:r w:rsidRPr="0060174F">
        <w:rPr>
          <w:lang w:val="en-GB"/>
        </w:rPr>
        <w:t>12.</w:t>
      </w:r>
      <w:r w:rsidRPr="0060174F">
        <w:rPr>
          <w:lang w:val="en-GB"/>
        </w:rPr>
        <w:tab/>
      </w:r>
      <w:r w:rsidR="002C2610" w:rsidRPr="0060174F">
        <w:rPr>
          <w:lang w:val="en-GB"/>
        </w:rPr>
        <w:t xml:space="preserve">Programmatic aspects of the work of the Committee were also briefly discussed, </w:t>
      </w:r>
      <w:r w:rsidR="00763EBE" w:rsidRPr="0060174F">
        <w:rPr>
          <w:lang w:val="en-GB"/>
        </w:rPr>
        <w:t xml:space="preserve">and pointed </w:t>
      </w:r>
      <w:r w:rsidR="002C2610" w:rsidRPr="0060174F">
        <w:rPr>
          <w:lang w:val="en-GB"/>
        </w:rPr>
        <w:t>out the need to balance regional and global issues and priorities in the programme of work of the Committee. It was observed that at the time of the discussion, the budget and programme of work reflected mostly regional priorities.</w:t>
      </w:r>
    </w:p>
    <w:p w14:paraId="6B334F2B" w14:textId="7DF0FC1B" w:rsidR="002C2610" w:rsidRPr="0060174F" w:rsidRDefault="00495A3C" w:rsidP="00495A3C">
      <w:pPr>
        <w:pStyle w:val="H1G"/>
        <w:rPr>
          <w:lang w:val="en-GB"/>
        </w:rPr>
      </w:pPr>
      <w:r w:rsidRPr="0060174F">
        <w:rPr>
          <w:lang w:val="en-GB"/>
        </w:rPr>
        <w:tab/>
        <w:t>B.</w:t>
      </w:r>
      <w:r w:rsidRPr="0060174F">
        <w:rPr>
          <w:lang w:val="en-GB"/>
        </w:rPr>
        <w:tab/>
      </w:r>
      <w:r w:rsidR="002C2610" w:rsidRPr="0060174F">
        <w:rPr>
          <w:lang w:val="en-GB"/>
        </w:rPr>
        <w:t>Vision, mission and strategic objectives</w:t>
      </w:r>
    </w:p>
    <w:p w14:paraId="2A712559" w14:textId="1B5D39D3" w:rsidR="002C2610" w:rsidRPr="0060174F" w:rsidRDefault="00336600" w:rsidP="002C2610">
      <w:pPr>
        <w:pStyle w:val="SingleTxtG"/>
        <w:rPr>
          <w:lang w:val="en-GB"/>
        </w:rPr>
      </w:pPr>
      <w:r w:rsidRPr="0060174F">
        <w:rPr>
          <w:lang w:val="en-GB"/>
        </w:rPr>
        <w:t>13.</w:t>
      </w:r>
      <w:r w:rsidRPr="0060174F">
        <w:rPr>
          <w:lang w:val="en-GB"/>
        </w:rPr>
        <w:tab/>
      </w:r>
      <w:r w:rsidR="00E30F53" w:rsidRPr="0060174F">
        <w:rPr>
          <w:lang w:val="en-GB"/>
        </w:rPr>
        <w:t>The vision, mission and strategic objectives of the Committee were s</w:t>
      </w:r>
      <w:r w:rsidR="002C2610" w:rsidRPr="0060174F">
        <w:rPr>
          <w:lang w:val="en-GB"/>
        </w:rPr>
        <w:t xml:space="preserve">upported by all member States </w:t>
      </w:r>
      <w:r w:rsidR="00015FCB" w:rsidRPr="0060174F">
        <w:rPr>
          <w:lang w:val="en-GB"/>
        </w:rPr>
        <w:t xml:space="preserve">which </w:t>
      </w:r>
      <w:r w:rsidR="002C2610" w:rsidRPr="0060174F">
        <w:rPr>
          <w:lang w:val="en-GB"/>
        </w:rPr>
        <w:t>took the floor</w:t>
      </w:r>
      <w:r w:rsidR="00763EBE" w:rsidRPr="0060174F">
        <w:rPr>
          <w:lang w:val="en-GB"/>
        </w:rPr>
        <w:t>,</w:t>
      </w:r>
      <w:r w:rsidR="00E30F53" w:rsidRPr="0060174F">
        <w:rPr>
          <w:lang w:val="en-GB"/>
        </w:rPr>
        <w:t xml:space="preserve"> </w:t>
      </w:r>
      <w:r w:rsidR="0042156C" w:rsidRPr="0060174F">
        <w:rPr>
          <w:lang w:val="en-GB"/>
        </w:rPr>
        <w:t xml:space="preserve">without </w:t>
      </w:r>
      <w:r w:rsidR="002C2610" w:rsidRPr="0060174F">
        <w:rPr>
          <w:lang w:val="en-GB"/>
        </w:rPr>
        <w:t>object</w:t>
      </w:r>
      <w:r w:rsidR="0042156C" w:rsidRPr="0060174F">
        <w:rPr>
          <w:lang w:val="en-GB"/>
        </w:rPr>
        <w:t>ion</w:t>
      </w:r>
      <w:r w:rsidR="002C2610" w:rsidRPr="0060174F">
        <w:rPr>
          <w:lang w:val="en-GB"/>
        </w:rPr>
        <w:t xml:space="preserve">. </w:t>
      </w:r>
      <w:r w:rsidR="00E30F53" w:rsidRPr="0060174F">
        <w:rPr>
          <w:lang w:val="en-GB"/>
        </w:rPr>
        <w:t xml:space="preserve">The need to </w:t>
      </w:r>
      <w:r w:rsidR="002C2610" w:rsidRPr="0060174F">
        <w:rPr>
          <w:lang w:val="en-GB"/>
        </w:rPr>
        <w:t xml:space="preserve">reflect in the strategy the regional dimension of the </w:t>
      </w:r>
      <w:r w:rsidR="00E30F53" w:rsidRPr="0060174F">
        <w:rPr>
          <w:lang w:val="en-GB"/>
        </w:rPr>
        <w:t xml:space="preserve">work of </w:t>
      </w:r>
      <w:r w:rsidR="002C2610" w:rsidRPr="0060174F">
        <w:rPr>
          <w:lang w:val="en-GB"/>
        </w:rPr>
        <w:t>ITC</w:t>
      </w:r>
      <w:r w:rsidR="00E30F53" w:rsidRPr="0060174F">
        <w:rPr>
          <w:lang w:val="en-GB"/>
        </w:rPr>
        <w:t>, to keep it in line with its existing programmatic framework and mandates</w:t>
      </w:r>
      <w:r w:rsidR="005802FE" w:rsidRPr="0060174F">
        <w:rPr>
          <w:lang w:val="en-GB"/>
        </w:rPr>
        <w:t>, was emphasized</w:t>
      </w:r>
      <w:r w:rsidR="002C2610" w:rsidRPr="0060174F">
        <w:rPr>
          <w:lang w:val="en-GB"/>
        </w:rPr>
        <w:t>.</w:t>
      </w:r>
    </w:p>
    <w:p w14:paraId="4F2D73B8" w14:textId="68F3DCBD" w:rsidR="002C2610" w:rsidRPr="0060174F" w:rsidRDefault="00336600" w:rsidP="00E30F53">
      <w:pPr>
        <w:pStyle w:val="SingleTxtG"/>
        <w:rPr>
          <w:lang w:val="en-GB"/>
        </w:rPr>
      </w:pPr>
      <w:r w:rsidRPr="0060174F">
        <w:rPr>
          <w:lang w:val="en-GB"/>
        </w:rPr>
        <w:t>14.</w:t>
      </w:r>
      <w:r w:rsidRPr="0060174F">
        <w:rPr>
          <w:lang w:val="en-GB"/>
        </w:rPr>
        <w:tab/>
      </w:r>
      <w:r w:rsidR="0042156C" w:rsidRPr="0060174F">
        <w:rPr>
          <w:lang w:val="en-GB"/>
        </w:rPr>
        <w:t>C</w:t>
      </w:r>
      <w:r w:rsidR="00E30F53" w:rsidRPr="0060174F">
        <w:rPr>
          <w:lang w:val="en-GB"/>
        </w:rPr>
        <w:t xml:space="preserve">ontributing </w:t>
      </w:r>
      <w:r w:rsidR="002C2610" w:rsidRPr="0060174F">
        <w:rPr>
          <w:lang w:val="en-GB"/>
        </w:rPr>
        <w:t xml:space="preserve">to the implementation of the </w:t>
      </w:r>
      <w:r w:rsidR="00FE7ED2" w:rsidRPr="0060174F">
        <w:rPr>
          <w:lang w:val="en-GB"/>
        </w:rPr>
        <w:t>Sustainable Development Goal</w:t>
      </w:r>
      <w:r w:rsidR="002C2610" w:rsidRPr="0060174F">
        <w:rPr>
          <w:lang w:val="en-GB"/>
        </w:rPr>
        <w:t xml:space="preserve">s </w:t>
      </w:r>
      <w:r w:rsidR="003F5168" w:rsidRPr="0060174F">
        <w:rPr>
          <w:lang w:val="en-GB"/>
        </w:rPr>
        <w:t xml:space="preserve">as a strategic objective for the Committee </w:t>
      </w:r>
      <w:r w:rsidR="002C2610" w:rsidRPr="0060174F">
        <w:rPr>
          <w:lang w:val="en-GB"/>
        </w:rPr>
        <w:t xml:space="preserve">was </w:t>
      </w:r>
      <w:r w:rsidR="003F5168" w:rsidRPr="0060174F">
        <w:rPr>
          <w:lang w:val="en-GB"/>
        </w:rPr>
        <w:t xml:space="preserve">supported </w:t>
      </w:r>
      <w:r w:rsidR="002C2610" w:rsidRPr="0060174F">
        <w:rPr>
          <w:lang w:val="en-GB"/>
        </w:rPr>
        <w:t xml:space="preserve">by </w:t>
      </w:r>
      <w:r w:rsidR="00E30F53" w:rsidRPr="0060174F">
        <w:rPr>
          <w:lang w:val="en-GB"/>
        </w:rPr>
        <w:t xml:space="preserve">numerous </w:t>
      </w:r>
      <w:r w:rsidR="002C2610" w:rsidRPr="0060174F">
        <w:rPr>
          <w:lang w:val="en-GB"/>
        </w:rPr>
        <w:t>delegations.</w:t>
      </w:r>
    </w:p>
    <w:p w14:paraId="71543033" w14:textId="21DDB9ED" w:rsidR="003F5168" w:rsidRPr="0060174F" w:rsidRDefault="00495A3C" w:rsidP="00495A3C">
      <w:pPr>
        <w:pStyle w:val="H1G"/>
        <w:rPr>
          <w:lang w:val="en-GB"/>
        </w:rPr>
      </w:pPr>
      <w:r w:rsidRPr="0060174F">
        <w:rPr>
          <w:lang w:val="en-GB"/>
        </w:rPr>
        <w:tab/>
        <w:t>C.</w:t>
      </w:r>
      <w:r w:rsidRPr="0060174F">
        <w:rPr>
          <w:lang w:val="en-GB"/>
        </w:rPr>
        <w:tab/>
      </w:r>
      <w:r w:rsidR="003F5168" w:rsidRPr="0060174F">
        <w:rPr>
          <w:lang w:val="en-GB"/>
        </w:rPr>
        <w:t>Timeline</w:t>
      </w:r>
    </w:p>
    <w:p w14:paraId="08A372F8" w14:textId="2D831584" w:rsidR="003F5168" w:rsidRPr="0060174F" w:rsidRDefault="00336600" w:rsidP="003F5168">
      <w:pPr>
        <w:pStyle w:val="SingleTxtG"/>
        <w:rPr>
          <w:lang w:val="en-GB"/>
        </w:rPr>
      </w:pPr>
      <w:r w:rsidRPr="0060174F">
        <w:rPr>
          <w:lang w:val="en-GB"/>
        </w:rPr>
        <w:t>15.</w:t>
      </w:r>
      <w:r w:rsidRPr="0060174F">
        <w:rPr>
          <w:lang w:val="en-GB"/>
        </w:rPr>
        <w:tab/>
      </w:r>
      <w:r w:rsidR="003F5168" w:rsidRPr="0060174F">
        <w:rPr>
          <w:lang w:val="en-GB"/>
        </w:rPr>
        <w:t xml:space="preserve">There was overwhelming support that the Committee should adopt its new </w:t>
      </w:r>
      <w:r w:rsidR="00C80551" w:rsidRPr="0060174F">
        <w:rPr>
          <w:lang w:val="en-GB"/>
        </w:rPr>
        <w:t>st</w:t>
      </w:r>
      <w:r w:rsidR="003F5168" w:rsidRPr="0060174F">
        <w:rPr>
          <w:lang w:val="en-GB"/>
        </w:rPr>
        <w:t>rategy and deliverables in 2019 (see also section</w:t>
      </w:r>
      <w:r w:rsidR="0076701F" w:rsidRPr="0060174F">
        <w:rPr>
          <w:lang w:val="en-GB"/>
        </w:rPr>
        <w:t xml:space="preserve"> D</w:t>
      </w:r>
      <w:r w:rsidR="003F5168" w:rsidRPr="0060174F">
        <w:rPr>
          <w:lang w:val="en-GB"/>
        </w:rPr>
        <w:t>).</w:t>
      </w:r>
    </w:p>
    <w:p w14:paraId="14526E2C" w14:textId="421A19DF" w:rsidR="003F5168" w:rsidRPr="0060174F" w:rsidRDefault="00495A3C" w:rsidP="00495A3C">
      <w:pPr>
        <w:pStyle w:val="H1G"/>
        <w:rPr>
          <w:lang w:val="en-GB"/>
        </w:rPr>
      </w:pPr>
      <w:r w:rsidRPr="0060174F">
        <w:rPr>
          <w:lang w:val="en-GB"/>
        </w:rPr>
        <w:tab/>
        <w:t>D.</w:t>
      </w:r>
      <w:r w:rsidRPr="0060174F">
        <w:rPr>
          <w:lang w:val="en-GB"/>
        </w:rPr>
        <w:tab/>
      </w:r>
      <w:r w:rsidR="0076701F" w:rsidRPr="0060174F">
        <w:rPr>
          <w:lang w:val="en-GB"/>
        </w:rPr>
        <w:t>D</w:t>
      </w:r>
      <w:r w:rsidR="003F5168" w:rsidRPr="0060174F">
        <w:rPr>
          <w:lang w:val="en-GB"/>
        </w:rPr>
        <w:t>eliverables for the eighty-first session</w:t>
      </w:r>
    </w:p>
    <w:p w14:paraId="06A7393C" w14:textId="4066F0B7" w:rsidR="0020317C" w:rsidRPr="0060174F" w:rsidRDefault="00336600" w:rsidP="0020317C">
      <w:pPr>
        <w:pStyle w:val="SingleTxtG"/>
        <w:rPr>
          <w:lang w:val="en-GB"/>
        </w:rPr>
      </w:pPr>
      <w:r w:rsidRPr="0060174F">
        <w:rPr>
          <w:lang w:val="en-GB"/>
        </w:rPr>
        <w:t>16.</w:t>
      </w:r>
      <w:r w:rsidRPr="0060174F">
        <w:rPr>
          <w:lang w:val="en-GB"/>
        </w:rPr>
        <w:tab/>
      </w:r>
      <w:r w:rsidR="00A82A4A" w:rsidRPr="0060174F">
        <w:rPr>
          <w:lang w:val="en-GB"/>
        </w:rPr>
        <w:t>T</w:t>
      </w:r>
      <w:r w:rsidR="0020317C" w:rsidRPr="0060174F">
        <w:rPr>
          <w:lang w:val="en-GB"/>
        </w:rPr>
        <w:t xml:space="preserve">he following deliverables should be presented to the Committee at its eighty-first annual session in 2019 for adoption: </w:t>
      </w:r>
    </w:p>
    <w:p w14:paraId="584B5A35" w14:textId="77777777" w:rsidR="0020317C" w:rsidRPr="0060174F" w:rsidRDefault="0020317C" w:rsidP="0020317C">
      <w:pPr>
        <w:pStyle w:val="SingleTxtG"/>
        <w:ind w:firstLine="567"/>
        <w:rPr>
          <w:lang w:val="en-GB"/>
        </w:rPr>
      </w:pPr>
      <w:r w:rsidRPr="0060174F">
        <w:rPr>
          <w:lang w:val="en-GB"/>
        </w:rPr>
        <w:lastRenderedPageBreak/>
        <w:t>(a)</w:t>
      </w:r>
      <w:r w:rsidRPr="0060174F">
        <w:rPr>
          <w:lang w:val="en-GB"/>
        </w:rPr>
        <w:tab/>
        <w:t>ITC Strategy until 2030 (and beyond) and Action Plan/Road map;</w:t>
      </w:r>
    </w:p>
    <w:p w14:paraId="7B7D3C86" w14:textId="2E3758D4" w:rsidR="003F5168" w:rsidRPr="0060174F" w:rsidRDefault="0020317C" w:rsidP="0020317C">
      <w:pPr>
        <w:pStyle w:val="SingleTxtG"/>
        <w:ind w:firstLine="567"/>
        <w:rPr>
          <w:lang w:val="en-GB"/>
        </w:rPr>
      </w:pPr>
      <w:r w:rsidRPr="0060174F">
        <w:rPr>
          <w:lang w:val="en-GB"/>
        </w:rPr>
        <w:t>(b)</w:t>
      </w:r>
      <w:r w:rsidRPr="0060174F">
        <w:rPr>
          <w:lang w:val="en-GB"/>
        </w:rPr>
        <w:tab/>
        <w:t>Revised Terms of Reference (</w:t>
      </w:r>
      <w:proofErr w:type="spellStart"/>
      <w:r w:rsidRPr="0060174F">
        <w:rPr>
          <w:lang w:val="en-GB"/>
        </w:rPr>
        <w:t>ToRs</w:t>
      </w:r>
      <w:proofErr w:type="spellEnd"/>
      <w:r w:rsidRPr="0060174F">
        <w:rPr>
          <w:lang w:val="en-GB"/>
        </w:rPr>
        <w:t>) for the Committee.</w:t>
      </w:r>
    </w:p>
    <w:p w14:paraId="4B306152" w14:textId="7E5F4EE8" w:rsidR="003F5168" w:rsidRPr="0060174F" w:rsidRDefault="00495A3C" w:rsidP="00495A3C">
      <w:pPr>
        <w:pStyle w:val="H1G"/>
        <w:rPr>
          <w:lang w:val="en-GB"/>
        </w:rPr>
      </w:pPr>
      <w:r w:rsidRPr="0060174F">
        <w:rPr>
          <w:lang w:val="en-GB"/>
        </w:rPr>
        <w:tab/>
        <w:t>E.</w:t>
      </w:r>
      <w:r w:rsidRPr="0060174F">
        <w:rPr>
          <w:lang w:val="en-GB"/>
        </w:rPr>
        <w:tab/>
      </w:r>
      <w:r w:rsidR="003F5168" w:rsidRPr="0060174F">
        <w:rPr>
          <w:lang w:val="en-GB"/>
        </w:rPr>
        <w:t>Resources, financi</w:t>
      </w:r>
      <w:r w:rsidR="0076701F" w:rsidRPr="0060174F">
        <w:rPr>
          <w:lang w:val="en-GB"/>
        </w:rPr>
        <w:t>al</w:t>
      </w:r>
      <w:r w:rsidR="003F5168" w:rsidRPr="0060174F">
        <w:rPr>
          <w:lang w:val="en-GB"/>
        </w:rPr>
        <w:t xml:space="preserve"> strategy</w:t>
      </w:r>
    </w:p>
    <w:p w14:paraId="478C1193" w14:textId="31648F41" w:rsidR="00AB4390" w:rsidRPr="0060174F" w:rsidRDefault="00336600" w:rsidP="00AB4390">
      <w:pPr>
        <w:pStyle w:val="SingleTxtG"/>
        <w:rPr>
          <w:lang w:val="en-GB"/>
        </w:rPr>
      </w:pPr>
      <w:r w:rsidRPr="0060174F">
        <w:rPr>
          <w:lang w:val="en-GB"/>
        </w:rPr>
        <w:t>17.</w:t>
      </w:r>
      <w:r w:rsidRPr="0060174F">
        <w:rPr>
          <w:lang w:val="en-GB"/>
        </w:rPr>
        <w:tab/>
      </w:r>
      <w:r w:rsidR="0076701F" w:rsidRPr="0060174F">
        <w:rPr>
          <w:lang w:val="en-GB"/>
        </w:rPr>
        <w:t>R</w:t>
      </w:r>
      <w:r w:rsidR="00AB4390" w:rsidRPr="0060174F">
        <w:rPr>
          <w:lang w:val="en-GB"/>
        </w:rPr>
        <w:t>esources</w:t>
      </w:r>
      <w:r w:rsidR="0076701F" w:rsidRPr="0060174F">
        <w:rPr>
          <w:lang w:val="en-GB"/>
        </w:rPr>
        <w:t xml:space="preserve"> were </w:t>
      </w:r>
      <w:r w:rsidR="00AB4390" w:rsidRPr="0060174F">
        <w:rPr>
          <w:lang w:val="en-GB"/>
        </w:rPr>
        <w:t xml:space="preserve">considered important but not the </w:t>
      </w:r>
      <w:proofErr w:type="gramStart"/>
      <w:r w:rsidR="00AB4390" w:rsidRPr="0060174F">
        <w:rPr>
          <w:lang w:val="en-GB"/>
        </w:rPr>
        <w:t>main focus</w:t>
      </w:r>
      <w:proofErr w:type="gramEnd"/>
      <w:r w:rsidR="00AB4390" w:rsidRPr="0060174F">
        <w:rPr>
          <w:lang w:val="en-GB"/>
        </w:rPr>
        <w:t xml:space="preserve"> of the discussions. The need to </w:t>
      </w:r>
      <w:r w:rsidR="003F5168" w:rsidRPr="0060174F">
        <w:rPr>
          <w:lang w:val="en-GB"/>
        </w:rPr>
        <w:t xml:space="preserve">step up resources and capacity </w:t>
      </w:r>
      <w:proofErr w:type="gramStart"/>
      <w:r w:rsidR="003F5168" w:rsidRPr="0060174F">
        <w:rPr>
          <w:lang w:val="en-GB"/>
        </w:rPr>
        <w:t>in light of</w:t>
      </w:r>
      <w:proofErr w:type="gramEnd"/>
      <w:r w:rsidR="003F5168" w:rsidRPr="0060174F">
        <w:rPr>
          <w:lang w:val="en-GB"/>
        </w:rPr>
        <w:t xml:space="preserve"> the needs created by </w:t>
      </w:r>
      <w:r w:rsidR="00AB4390" w:rsidRPr="0060174F">
        <w:rPr>
          <w:lang w:val="en-GB"/>
        </w:rPr>
        <w:t xml:space="preserve">the </w:t>
      </w:r>
      <w:r w:rsidR="003F5168" w:rsidRPr="0060174F">
        <w:rPr>
          <w:lang w:val="en-GB"/>
        </w:rPr>
        <w:t>increasing number of accessions and support to high-priority areas</w:t>
      </w:r>
      <w:r w:rsidR="00AB4390" w:rsidRPr="0060174F">
        <w:rPr>
          <w:lang w:val="en-GB"/>
        </w:rPr>
        <w:t xml:space="preserve"> was mentioned, as was the need to prioritize the Committee’s activities </w:t>
      </w:r>
      <w:r w:rsidR="003F5168" w:rsidRPr="0060174F">
        <w:rPr>
          <w:lang w:val="en-GB"/>
        </w:rPr>
        <w:t xml:space="preserve">against </w:t>
      </w:r>
      <w:r w:rsidR="00AB4390" w:rsidRPr="0060174F">
        <w:rPr>
          <w:lang w:val="en-GB"/>
        </w:rPr>
        <w:t xml:space="preserve">different </w:t>
      </w:r>
      <w:r w:rsidR="003F5168" w:rsidRPr="0060174F">
        <w:rPr>
          <w:lang w:val="en-GB"/>
        </w:rPr>
        <w:t xml:space="preserve">financial scenarios of increased/stable/declining resources. </w:t>
      </w:r>
      <w:r w:rsidR="00AB4390" w:rsidRPr="0060174F">
        <w:rPr>
          <w:lang w:val="en-GB"/>
        </w:rPr>
        <w:t xml:space="preserve">One delegation </w:t>
      </w:r>
      <w:r w:rsidR="003F5168" w:rsidRPr="0060174F">
        <w:rPr>
          <w:lang w:val="en-GB"/>
        </w:rPr>
        <w:t xml:space="preserve">proposed that the budget should reflect the regional priorities </w:t>
      </w:r>
      <w:proofErr w:type="gramStart"/>
      <w:r w:rsidR="003F5168" w:rsidRPr="0060174F">
        <w:rPr>
          <w:lang w:val="en-GB"/>
        </w:rPr>
        <w:t>at this time</w:t>
      </w:r>
      <w:proofErr w:type="gramEnd"/>
      <w:r w:rsidR="003F5168" w:rsidRPr="0060174F">
        <w:rPr>
          <w:lang w:val="en-GB"/>
        </w:rPr>
        <w:t>.</w:t>
      </w:r>
    </w:p>
    <w:p w14:paraId="7232053B" w14:textId="62BA3159" w:rsidR="00AB4390" w:rsidRPr="0060174F" w:rsidRDefault="00495A3C" w:rsidP="00495A3C">
      <w:pPr>
        <w:pStyle w:val="H1G"/>
        <w:rPr>
          <w:lang w:val="en-GB"/>
        </w:rPr>
      </w:pPr>
      <w:r w:rsidRPr="0060174F">
        <w:rPr>
          <w:lang w:val="en-GB"/>
        </w:rPr>
        <w:tab/>
        <w:t>F.</w:t>
      </w:r>
      <w:r w:rsidRPr="0060174F">
        <w:rPr>
          <w:lang w:val="en-GB"/>
        </w:rPr>
        <w:tab/>
      </w:r>
      <w:r w:rsidR="00AB4390" w:rsidRPr="0060174F">
        <w:rPr>
          <w:lang w:val="en-GB"/>
        </w:rPr>
        <w:t>Priorities</w:t>
      </w:r>
    </w:p>
    <w:p w14:paraId="1043255A" w14:textId="4D087934" w:rsidR="00AB4390" w:rsidRPr="0060174F" w:rsidRDefault="00336600" w:rsidP="00AB4390">
      <w:pPr>
        <w:pStyle w:val="SingleTxtG"/>
        <w:rPr>
          <w:lang w:val="en-GB"/>
        </w:rPr>
      </w:pPr>
      <w:r w:rsidRPr="0060174F">
        <w:rPr>
          <w:lang w:val="en-GB"/>
        </w:rPr>
        <w:t>18.</w:t>
      </w:r>
      <w:r w:rsidRPr="0060174F">
        <w:rPr>
          <w:lang w:val="en-GB"/>
        </w:rPr>
        <w:tab/>
      </w:r>
      <w:r w:rsidR="00AB4390" w:rsidRPr="0060174F">
        <w:rPr>
          <w:lang w:val="en-GB"/>
        </w:rPr>
        <w:t xml:space="preserve">Most of the interventions focused </w:t>
      </w:r>
      <w:r w:rsidR="00C80551" w:rsidRPr="0060174F">
        <w:rPr>
          <w:lang w:val="en-GB"/>
        </w:rPr>
        <w:t>on priorities</w:t>
      </w:r>
      <w:r w:rsidR="00AB4390" w:rsidRPr="0060174F">
        <w:rPr>
          <w:lang w:val="en-GB"/>
        </w:rPr>
        <w:t xml:space="preserve">. Most </w:t>
      </w:r>
      <w:r w:rsidR="00AE2042" w:rsidRPr="0060174F">
        <w:rPr>
          <w:lang w:val="en-GB"/>
        </w:rPr>
        <w:t xml:space="preserve">member States and Chairs </w:t>
      </w:r>
      <w:r w:rsidR="00AB4390" w:rsidRPr="0060174F">
        <w:rPr>
          <w:lang w:val="en-GB"/>
        </w:rPr>
        <w:t xml:space="preserve">supported existing priorities </w:t>
      </w:r>
      <w:r w:rsidR="0076701F" w:rsidRPr="0060174F">
        <w:rPr>
          <w:lang w:val="en-GB"/>
        </w:rPr>
        <w:t>(</w:t>
      </w:r>
      <w:r w:rsidR="00AB4390" w:rsidRPr="0060174F">
        <w:rPr>
          <w:lang w:val="en-GB"/>
        </w:rPr>
        <w:t xml:space="preserve">Informal </w:t>
      </w:r>
      <w:r w:rsidR="00C80551" w:rsidRPr="0060174F">
        <w:rPr>
          <w:lang w:val="en-GB"/>
        </w:rPr>
        <w:t>docu</w:t>
      </w:r>
      <w:r w:rsidR="00AB4390" w:rsidRPr="0060174F">
        <w:rPr>
          <w:lang w:val="en-GB"/>
        </w:rPr>
        <w:t>ment No. 1</w:t>
      </w:r>
      <w:r w:rsidR="0076701F" w:rsidRPr="0060174F">
        <w:rPr>
          <w:lang w:val="en-GB"/>
        </w:rPr>
        <w:t>)</w:t>
      </w:r>
      <w:r w:rsidR="00AB4390" w:rsidRPr="0060174F">
        <w:rPr>
          <w:lang w:val="en-GB"/>
        </w:rPr>
        <w:t xml:space="preserve"> and some introduced new priorities</w:t>
      </w:r>
      <w:r w:rsidR="0076701F" w:rsidRPr="0060174F">
        <w:rPr>
          <w:lang w:val="en-GB"/>
        </w:rPr>
        <w:t>:</w:t>
      </w:r>
    </w:p>
    <w:p w14:paraId="6864D747" w14:textId="627F2FDF" w:rsidR="00AB4390" w:rsidRPr="0060174F" w:rsidRDefault="00495A3C" w:rsidP="00495A3C">
      <w:pPr>
        <w:pStyle w:val="SingleTxtG"/>
        <w:ind w:firstLine="567"/>
        <w:rPr>
          <w:lang w:val="en-GB"/>
        </w:rPr>
      </w:pPr>
      <w:r w:rsidRPr="0060174F">
        <w:rPr>
          <w:lang w:val="en-GB"/>
        </w:rPr>
        <w:t>(a)</w:t>
      </w:r>
      <w:r w:rsidRPr="0060174F">
        <w:rPr>
          <w:lang w:val="en-GB"/>
        </w:rPr>
        <w:tab/>
      </w:r>
      <w:r w:rsidR="00AB4390" w:rsidRPr="0060174F">
        <w:rPr>
          <w:lang w:val="en-GB"/>
        </w:rPr>
        <w:t xml:space="preserve">Servicing of legally binding instruments </w:t>
      </w:r>
      <w:r w:rsidR="0076701F" w:rsidRPr="0060174F">
        <w:rPr>
          <w:lang w:val="en-GB"/>
        </w:rPr>
        <w:t>and</w:t>
      </w:r>
      <w:r w:rsidR="00AB4390" w:rsidRPr="0060174F">
        <w:rPr>
          <w:lang w:val="en-GB"/>
        </w:rPr>
        <w:t xml:space="preserve"> increasing accessions, especially by non-</w:t>
      </w:r>
      <w:r w:rsidR="002525A9" w:rsidRPr="0060174F">
        <w:rPr>
          <w:lang w:val="en-GB"/>
        </w:rPr>
        <w:t>ECE</w:t>
      </w:r>
      <w:r w:rsidR="00AB4390" w:rsidRPr="0060174F">
        <w:rPr>
          <w:lang w:val="en-GB"/>
        </w:rPr>
        <w:t xml:space="preserve"> </w:t>
      </w:r>
      <w:r w:rsidR="00C80551" w:rsidRPr="0060174F">
        <w:rPr>
          <w:lang w:val="en-GB"/>
        </w:rPr>
        <w:t>m</w:t>
      </w:r>
      <w:r w:rsidR="00AB4390" w:rsidRPr="0060174F">
        <w:rPr>
          <w:lang w:val="en-GB"/>
        </w:rPr>
        <w:t xml:space="preserve">ember States: The </w:t>
      </w:r>
      <w:r w:rsidR="0076701F" w:rsidRPr="0060174F">
        <w:rPr>
          <w:lang w:val="en-GB"/>
        </w:rPr>
        <w:t>main</w:t>
      </w:r>
      <w:r w:rsidR="00AB4390" w:rsidRPr="0060174F">
        <w:rPr>
          <w:lang w:val="en-GB"/>
        </w:rPr>
        <w:t xml:space="preserve"> aspects were: </w:t>
      </w:r>
    </w:p>
    <w:p w14:paraId="1055D566" w14:textId="445C7286" w:rsidR="00555CAB" w:rsidRPr="0060174F" w:rsidRDefault="00495A3C" w:rsidP="00A82A4A">
      <w:pPr>
        <w:pStyle w:val="SingleTxtG"/>
        <w:ind w:left="1701" w:firstLine="567"/>
        <w:rPr>
          <w:lang w:val="en-GB"/>
        </w:rPr>
      </w:pPr>
      <w:r w:rsidRPr="0060174F">
        <w:rPr>
          <w:lang w:val="en-GB"/>
        </w:rPr>
        <w:t>(</w:t>
      </w:r>
      <w:proofErr w:type="spellStart"/>
      <w:r w:rsidRPr="0060174F">
        <w:rPr>
          <w:lang w:val="en-GB"/>
        </w:rPr>
        <w:t>i</w:t>
      </w:r>
      <w:proofErr w:type="spellEnd"/>
      <w:r w:rsidRPr="0060174F">
        <w:rPr>
          <w:lang w:val="en-GB"/>
        </w:rPr>
        <w:t>)</w:t>
      </w:r>
      <w:r w:rsidRPr="0060174F">
        <w:rPr>
          <w:lang w:val="en-GB"/>
        </w:rPr>
        <w:tab/>
      </w:r>
      <w:r w:rsidR="00AB4390" w:rsidRPr="0060174F">
        <w:rPr>
          <w:lang w:val="en-GB"/>
        </w:rPr>
        <w:t>Management of Conventions: “keeping pace”</w:t>
      </w:r>
      <w:r w:rsidR="00336600" w:rsidRPr="0060174F">
        <w:rPr>
          <w:lang w:val="en-GB"/>
        </w:rPr>
        <w:t>;</w:t>
      </w:r>
    </w:p>
    <w:p w14:paraId="438AA05C" w14:textId="56C2BA1D" w:rsidR="00AB4390" w:rsidRPr="0060174F" w:rsidRDefault="00495A3C" w:rsidP="00A82A4A">
      <w:pPr>
        <w:pStyle w:val="SingleTxtG"/>
        <w:ind w:left="1701" w:firstLine="567"/>
        <w:rPr>
          <w:lang w:val="en-GB"/>
        </w:rPr>
      </w:pPr>
      <w:r w:rsidRPr="0060174F">
        <w:rPr>
          <w:lang w:val="en-GB"/>
        </w:rPr>
        <w:t>(ii)</w:t>
      </w:r>
      <w:r w:rsidRPr="0060174F">
        <w:rPr>
          <w:lang w:val="en-GB"/>
        </w:rPr>
        <w:tab/>
      </w:r>
      <w:r w:rsidR="0076701F" w:rsidRPr="0060174F">
        <w:rPr>
          <w:lang w:val="en-GB"/>
        </w:rPr>
        <w:t>“</w:t>
      </w:r>
      <w:r w:rsidR="00AB4390" w:rsidRPr="0060174F">
        <w:rPr>
          <w:lang w:val="en-GB"/>
        </w:rPr>
        <w:t>Universalization</w:t>
      </w:r>
      <w:r w:rsidR="0076701F" w:rsidRPr="0060174F">
        <w:rPr>
          <w:lang w:val="en-GB"/>
        </w:rPr>
        <w:t>”</w:t>
      </w:r>
      <w:r w:rsidR="00AB4390" w:rsidRPr="0060174F">
        <w:rPr>
          <w:lang w:val="en-GB"/>
        </w:rPr>
        <w:t xml:space="preserve"> of conventions</w:t>
      </w:r>
      <w:r w:rsidR="00336600" w:rsidRPr="0060174F">
        <w:rPr>
          <w:lang w:val="en-GB"/>
        </w:rPr>
        <w:t>;</w:t>
      </w:r>
    </w:p>
    <w:p w14:paraId="3836B27A" w14:textId="632CB7FE" w:rsidR="00AB4390" w:rsidRPr="0060174F" w:rsidRDefault="00495A3C" w:rsidP="00A82A4A">
      <w:pPr>
        <w:pStyle w:val="SingleTxtG"/>
        <w:ind w:left="1701" w:firstLine="567"/>
        <w:rPr>
          <w:lang w:val="en-GB"/>
        </w:rPr>
      </w:pPr>
      <w:r w:rsidRPr="0060174F">
        <w:rPr>
          <w:lang w:val="en-GB"/>
        </w:rPr>
        <w:t>(iii)</w:t>
      </w:r>
      <w:r w:rsidRPr="0060174F">
        <w:rPr>
          <w:lang w:val="en-GB"/>
        </w:rPr>
        <w:tab/>
      </w:r>
      <w:r w:rsidR="00AB4390" w:rsidRPr="0060174F">
        <w:rPr>
          <w:lang w:val="en-GB"/>
        </w:rPr>
        <w:t xml:space="preserve">Expansion of </w:t>
      </w:r>
      <w:r w:rsidR="00C80551" w:rsidRPr="0060174F">
        <w:rPr>
          <w:lang w:val="en-GB"/>
        </w:rPr>
        <w:t>geographic scope</w:t>
      </w:r>
      <w:r w:rsidR="00336600" w:rsidRPr="0060174F">
        <w:rPr>
          <w:lang w:val="en-GB"/>
        </w:rPr>
        <w:t>;</w:t>
      </w:r>
    </w:p>
    <w:p w14:paraId="675CABF8" w14:textId="076ACB0C" w:rsidR="00AB4390" w:rsidRPr="0060174F" w:rsidRDefault="00495A3C" w:rsidP="00A82A4A">
      <w:pPr>
        <w:pStyle w:val="SingleTxtG"/>
        <w:ind w:left="2268"/>
        <w:rPr>
          <w:lang w:val="en-GB"/>
        </w:rPr>
      </w:pPr>
      <w:r w:rsidRPr="0060174F">
        <w:rPr>
          <w:lang w:val="en-GB"/>
        </w:rPr>
        <w:t>(iv)</w:t>
      </w:r>
      <w:r w:rsidRPr="0060174F">
        <w:rPr>
          <w:lang w:val="en-GB"/>
        </w:rPr>
        <w:tab/>
      </w:r>
      <w:r w:rsidR="00AB4390" w:rsidRPr="0060174F">
        <w:rPr>
          <w:lang w:val="en-GB"/>
        </w:rPr>
        <w:t xml:space="preserve">Road safety, including </w:t>
      </w:r>
      <w:r w:rsidR="00C80551" w:rsidRPr="0060174F">
        <w:rPr>
          <w:lang w:val="en-GB"/>
        </w:rPr>
        <w:t xml:space="preserve">the ending of the </w:t>
      </w:r>
      <w:r w:rsidR="00AB4390" w:rsidRPr="0060174F">
        <w:rPr>
          <w:lang w:val="en-GB"/>
        </w:rPr>
        <w:t>U</w:t>
      </w:r>
      <w:r w:rsidR="00C80551" w:rsidRPr="0060174F">
        <w:rPr>
          <w:lang w:val="en-GB"/>
        </w:rPr>
        <w:t xml:space="preserve">nited </w:t>
      </w:r>
      <w:r w:rsidR="00AB4390" w:rsidRPr="0060174F">
        <w:rPr>
          <w:lang w:val="en-GB"/>
        </w:rPr>
        <w:t>N</w:t>
      </w:r>
      <w:r w:rsidR="00C80551" w:rsidRPr="0060174F">
        <w:rPr>
          <w:lang w:val="en-GB"/>
        </w:rPr>
        <w:t>ations</w:t>
      </w:r>
      <w:r w:rsidR="00AB4390" w:rsidRPr="0060174F">
        <w:rPr>
          <w:lang w:val="en-GB"/>
        </w:rPr>
        <w:t xml:space="preserve"> Decade of Action, call for response to gaps and the need for a new set of goals for the next decade</w:t>
      </w:r>
      <w:r w:rsidR="00336600" w:rsidRPr="0060174F">
        <w:rPr>
          <w:lang w:val="en-GB"/>
        </w:rPr>
        <w:t>;</w:t>
      </w:r>
    </w:p>
    <w:p w14:paraId="265105E4" w14:textId="112F9E5A" w:rsidR="00F6423F" w:rsidRPr="0060174F" w:rsidRDefault="00495A3C" w:rsidP="00A82A4A">
      <w:pPr>
        <w:pStyle w:val="SingleTxtG"/>
        <w:ind w:left="1701" w:firstLine="567"/>
        <w:rPr>
          <w:lang w:val="en-GB"/>
        </w:rPr>
      </w:pPr>
      <w:r w:rsidRPr="0060174F">
        <w:rPr>
          <w:lang w:val="en-GB"/>
        </w:rPr>
        <w:t>(v)</w:t>
      </w:r>
      <w:r w:rsidRPr="0060174F">
        <w:rPr>
          <w:lang w:val="en-GB"/>
        </w:rPr>
        <w:tab/>
      </w:r>
      <w:r w:rsidR="00F6423F" w:rsidRPr="0060174F">
        <w:rPr>
          <w:lang w:val="en-GB"/>
        </w:rPr>
        <w:t>Vehicle regulations;</w:t>
      </w:r>
    </w:p>
    <w:p w14:paraId="693E367D" w14:textId="6E4E3ADD" w:rsidR="00AB4390" w:rsidRPr="0060174F" w:rsidRDefault="00F6423F" w:rsidP="00A82A4A">
      <w:pPr>
        <w:pStyle w:val="SingleTxtG"/>
        <w:ind w:left="1701" w:firstLine="567"/>
        <w:rPr>
          <w:lang w:val="en-GB"/>
        </w:rPr>
      </w:pPr>
      <w:r w:rsidRPr="0060174F">
        <w:rPr>
          <w:lang w:val="en-GB"/>
        </w:rPr>
        <w:t>(vi)</w:t>
      </w:r>
      <w:r w:rsidRPr="0060174F">
        <w:rPr>
          <w:lang w:val="en-GB"/>
        </w:rPr>
        <w:tab/>
      </w:r>
      <w:r w:rsidR="00AB4390" w:rsidRPr="0060174F">
        <w:rPr>
          <w:lang w:val="en-GB"/>
        </w:rPr>
        <w:t>Border crossing facilitation</w:t>
      </w:r>
      <w:r w:rsidR="00336600" w:rsidRPr="0060174F">
        <w:rPr>
          <w:lang w:val="en-GB"/>
        </w:rPr>
        <w:t>;</w:t>
      </w:r>
    </w:p>
    <w:p w14:paraId="12BD3ABF" w14:textId="02118182" w:rsidR="00AB4390" w:rsidRPr="0060174F" w:rsidRDefault="00495A3C" w:rsidP="00A82A4A">
      <w:pPr>
        <w:pStyle w:val="SingleTxtG"/>
        <w:ind w:left="1701" w:firstLine="567"/>
        <w:rPr>
          <w:lang w:val="en-GB"/>
        </w:rPr>
      </w:pPr>
      <w:r w:rsidRPr="0060174F">
        <w:rPr>
          <w:lang w:val="en-GB"/>
        </w:rPr>
        <w:t>(vi</w:t>
      </w:r>
      <w:r w:rsidR="00F6423F" w:rsidRPr="0060174F">
        <w:rPr>
          <w:lang w:val="en-GB"/>
        </w:rPr>
        <w:t>i</w:t>
      </w:r>
      <w:r w:rsidRPr="0060174F">
        <w:rPr>
          <w:lang w:val="en-GB"/>
        </w:rPr>
        <w:t>)</w:t>
      </w:r>
      <w:r w:rsidRPr="0060174F">
        <w:rPr>
          <w:lang w:val="en-GB"/>
        </w:rPr>
        <w:tab/>
      </w:r>
      <w:r w:rsidR="00AB4390" w:rsidRPr="0060174F">
        <w:rPr>
          <w:lang w:val="en-GB"/>
        </w:rPr>
        <w:t>Dangerous goods</w:t>
      </w:r>
      <w:r w:rsidR="00336600" w:rsidRPr="0060174F">
        <w:rPr>
          <w:lang w:val="en-GB"/>
        </w:rPr>
        <w:t>;</w:t>
      </w:r>
    </w:p>
    <w:p w14:paraId="75B3D21D" w14:textId="123D4D29" w:rsidR="00AB4390" w:rsidRPr="0060174F" w:rsidRDefault="00495A3C" w:rsidP="00A82A4A">
      <w:pPr>
        <w:pStyle w:val="SingleTxtG"/>
        <w:ind w:left="1701" w:firstLine="567"/>
        <w:rPr>
          <w:lang w:val="en-GB"/>
        </w:rPr>
      </w:pPr>
      <w:r w:rsidRPr="0060174F">
        <w:rPr>
          <w:lang w:val="en-GB"/>
        </w:rPr>
        <w:t>(vii</w:t>
      </w:r>
      <w:r w:rsidR="00F6423F" w:rsidRPr="0060174F">
        <w:rPr>
          <w:lang w:val="en-GB"/>
        </w:rPr>
        <w:t>i</w:t>
      </w:r>
      <w:r w:rsidRPr="0060174F">
        <w:rPr>
          <w:lang w:val="en-GB"/>
        </w:rPr>
        <w:t>)</w:t>
      </w:r>
      <w:r w:rsidRPr="0060174F">
        <w:rPr>
          <w:lang w:val="en-GB"/>
        </w:rPr>
        <w:tab/>
      </w:r>
      <w:r w:rsidR="00AB4390" w:rsidRPr="0060174F">
        <w:rPr>
          <w:lang w:val="en-GB"/>
        </w:rPr>
        <w:t>Perishable foodstuffs</w:t>
      </w:r>
      <w:r w:rsidRPr="0060174F">
        <w:rPr>
          <w:lang w:val="en-GB"/>
        </w:rPr>
        <w:t>;</w:t>
      </w:r>
    </w:p>
    <w:p w14:paraId="5E4B4CA3" w14:textId="26FC3D0A" w:rsidR="00AB4390" w:rsidRPr="0060174F" w:rsidRDefault="00495A3C" w:rsidP="00495A3C">
      <w:pPr>
        <w:pStyle w:val="SingleTxtG"/>
        <w:ind w:firstLine="567"/>
        <w:rPr>
          <w:lang w:val="en-GB"/>
        </w:rPr>
      </w:pPr>
      <w:r w:rsidRPr="0060174F">
        <w:rPr>
          <w:lang w:val="en-GB"/>
        </w:rPr>
        <w:t>(b)</w:t>
      </w:r>
      <w:r w:rsidRPr="0060174F">
        <w:rPr>
          <w:lang w:val="en-GB"/>
        </w:rPr>
        <w:tab/>
      </w:r>
      <w:r w:rsidR="00AB4390" w:rsidRPr="0060174F">
        <w:rPr>
          <w:lang w:val="en-GB"/>
        </w:rPr>
        <w:t xml:space="preserve">Digitalization: </w:t>
      </w:r>
      <w:r w:rsidR="0063083E" w:rsidRPr="0060174F">
        <w:rPr>
          <w:lang w:val="en-GB"/>
        </w:rPr>
        <w:t>Database for the Exchange of Type Approval documentation</w:t>
      </w:r>
      <w:r w:rsidR="00AB4390" w:rsidRPr="0060174F">
        <w:rPr>
          <w:lang w:val="en-GB"/>
        </w:rPr>
        <w:t>, e-CMR, e-TIR</w:t>
      </w:r>
      <w:r w:rsidRPr="0060174F">
        <w:rPr>
          <w:lang w:val="en-GB"/>
        </w:rPr>
        <w:t>;</w:t>
      </w:r>
    </w:p>
    <w:p w14:paraId="67297EAA" w14:textId="79AF45CD" w:rsidR="00336600" w:rsidRPr="0060174F" w:rsidRDefault="00495A3C" w:rsidP="00495A3C">
      <w:pPr>
        <w:pStyle w:val="SingleTxtG"/>
        <w:ind w:firstLine="567"/>
        <w:rPr>
          <w:lang w:val="en-GB"/>
        </w:rPr>
      </w:pPr>
      <w:r w:rsidRPr="0060174F">
        <w:rPr>
          <w:lang w:val="en-GB"/>
        </w:rPr>
        <w:t>(c)</w:t>
      </w:r>
      <w:r w:rsidRPr="0060174F">
        <w:rPr>
          <w:lang w:val="en-GB"/>
        </w:rPr>
        <w:tab/>
      </w:r>
      <w:r w:rsidR="00336600" w:rsidRPr="0060174F">
        <w:rPr>
          <w:lang w:val="en-GB"/>
        </w:rPr>
        <w:t>E-mobility</w:t>
      </w:r>
      <w:r w:rsidRPr="0060174F">
        <w:rPr>
          <w:lang w:val="en-GB"/>
        </w:rPr>
        <w:t>;</w:t>
      </w:r>
    </w:p>
    <w:p w14:paraId="7BC00D07" w14:textId="6BC6C994" w:rsidR="00AB4390" w:rsidRPr="0060174F" w:rsidRDefault="00495A3C" w:rsidP="00495A3C">
      <w:pPr>
        <w:pStyle w:val="SingleTxtG"/>
        <w:ind w:firstLine="567"/>
        <w:rPr>
          <w:lang w:val="en-GB"/>
        </w:rPr>
      </w:pPr>
      <w:r w:rsidRPr="0060174F">
        <w:rPr>
          <w:lang w:val="en-GB"/>
        </w:rPr>
        <w:t>(d)</w:t>
      </w:r>
      <w:r w:rsidRPr="0060174F">
        <w:rPr>
          <w:lang w:val="en-GB"/>
        </w:rPr>
        <w:tab/>
      </w:r>
      <w:r w:rsidR="00336600" w:rsidRPr="0060174F">
        <w:rPr>
          <w:lang w:val="en-GB"/>
        </w:rPr>
        <w:t xml:space="preserve">Regulation of autonomous vehicles: Most interventions supported </w:t>
      </w:r>
      <w:r w:rsidR="009A2A0F" w:rsidRPr="0060174F">
        <w:rPr>
          <w:lang w:val="en-GB"/>
        </w:rPr>
        <w:t xml:space="preserve">a </w:t>
      </w:r>
      <w:r w:rsidR="00336600" w:rsidRPr="0060174F">
        <w:rPr>
          <w:lang w:val="en-GB"/>
        </w:rPr>
        <w:t>bolder approach</w:t>
      </w:r>
      <w:r w:rsidRPr="0060174F">
        <w:rPr>
          <w:lang w:val="en-GB"/>
        </w:rPr>
        <w:t>;</w:t>
      </w:r>
    </w:p>
    <w:p w14:paraId="2DE1FBD9" w14:textId="07D261D5" w:rsidR="00336600" w:rsidRPr="0060174F" w:rsidRDefault="00495A3C" w:rsidP="00495A3C">
      <w:pPr>
        <w:pStyle w:val="SingleTxtG"/>
        <w:ind w:firstLine="567"/>
        <w:rPr>
          <w:lang w:val="en-GB"/>
        </w:rPr>
      </w:pPr>
      <w:r w:rsidRPr="0060174F">
        <w:rPr>
          <w:lang w:val="en-GB"/>
        </w:rPr>
        <w:t>(e)</w:t>
      </w:r>
      <w:r w:rsidRPr="0060174F">
        <w:rPr>
          <w:lang w:val="en-GB"/>
        </w:rPr>
        <w:tab/>
      </w:r>
      <w:r w:rsidR="00336600" w:rsidRPr="0060174F">
        <w:rPr>
          <w:lang w:val="en-GB"/>
        </w:rPr>
        <w:t xml:space="preserve">New legal instruments, keeping in mind </w:t>
      </w:r>
      <w:r w:rsidR="009A2A0F" w:rsidRPr="0060174F">
        <w:rPr>
          <w:lang w:val="en-GB"/>
        </w:rPr>
        <w:t xml:space="preserve">the </w:t>
      </w:r>
      <w:r w:rsidR="00336600" w:rsidRPr="0060174F">
        <w:rPr>
          <w:lang w:val="en-GB"/>
        </w:rPr>
        <w:t>future needs of membe</w:t>
      </w:r>
      <w:r w:rsidR="0063083E" w:rsidRPr="0060174F">
        <w:rPr>
          <w:lang w:val="en-GB"/>
        </w:rPr>
        <w:t>r States, not just present ones;</w:t>
      </w:r>
    </w:p>
    <w:p w14:paraId="7A60A2AB" w14:textId="6C959DF7" w:rsidR="00336600" w:rsidRPr="0060174F" w:rsidRDefault="0063083E" w:rsidP="0063083E">
      <w:pPr>
        <w:pStyle w:val="SingleTxtG"/>
        <w:ind w:firstLine="567"/>
        <w:rPr>
          <w:lang w:val="en-GB"/>
        </w:rPr>
      </w:pPr>
      <w:r w:rsidRPr="0060174F">
        <w:rPr>
          <w:lang w:val="en-GB"/>
        </w:rPr>
        <w:t>(f)</w:t>
      </w:r>
      <w:r w:rsidRPr="0060174F">
        <w:rPr>
          <w:lang w:val="en-GB"/>
        </w:rPr>
        <w:tab/>
      </w:r>
      <w:r w:rsidR="00336600" w:rsidRPr="0060174F">
        <w:rPr>
          <w:lang w:val="en-GB"/>
        </w:rPr>
        <w:t>Centre for infrastructure agreements (AGC, AGN, AGR, AGTC).</w:t>
      </w:r>
    </w:p>
    <w:p w14:paraId="4678ABDD" w14:textId="084F101D" w:rsidR="00AB4390" w:rsidRPr="0060174F" w:rsidRDefault="00336600" w:rsidP="00336600">
      <w:pPr>
        <w:pStyle w:val="SingleTxtG"/>
        <w:rPr>
          <w:lang w:val="en-GB"/>
        </w:rPr>
      </w:pPr>
      <w:r w:rsidRPr="0060174F">
        <w:rPr>
          <w:lang w:val="en-GB"/>
        </w:rPr>
        <w:t>19.</w:t>
      </w:r>
      <w:r w:rsidRPr="0060174F">
        <w:rPr>
          <w:lang w:val="en-GB"/>
        </w:rPr>
        <w:tab/>
        <w:t>The following new proposed priorities</w:t>
      </w:r>
      <w:r w:rsidR="0076701F" w:rsidRPr="0060174F">
        <w:rPr>
          <w:lang w:val="en-GB"/>
        </w:rPr>
        <w:t xml:space="preserve"> (</w:t>
      </w:r>
      <w:r w:rsidRPr="0060174F">
        <w:rPr>
          <w:lang w:val="en-GB"/>
        </w:rPr>
        <w:t xml:space="preserve">not in Informal </w:t>
      </w:r>
      <w:r w:rsidR="00C80551" w:rsidRPr="0060174F">
        <w:rPr>
          <w:lang w:val="en-GB"/>
        </w:rPr>
        <w:t>doc</w:t>
      </w:r>
      <w:r w:rsidRPr="0060174F">
        <w:rPr>
          <w:lang w:val="en-GB"/>
        </w:rPr>
        <w:t>ument No. 1</w:t>
      </w:r>
      <w:r w:rsidR="0076701F" w:rsidRPr="0060174F">
        <w:rPr>
          <w:lang w:val="en-GB"/>
        </w:rPr>
        <w:t>)</w:t>
      </w:r>
      <w:r w:rsidRPr="0060174F">
        <w:rPr>
          <w:lang w:val="en-GB"/>
        </w:rPr>
        <w:t xml:space="preserve"> were suggested </w:t>
      </w:r>
      <w:r w:rsidR="00AE2042" w:rsidRPr="0060174F">
        <w:rPr>
          <w:lang w:val="en-GB"/>
        </w:rPr>
        <w:t xml:space="preserve">by member States and Chairs </w:t>
      </w:r>
      <w:r w:rsidRPr="0060174F">
        <w:rPr>
          <w:lang w:val="en-GB"/>
        </w:rPr>
        <w:t>during the discussion:</w:t>
      </w:r>
    </w:p>
    <w:p w14:paraId="7FB8780E" w14:textId="5D53A209" w:rsidR="00336600" w:rsidRPr="0060174F" w:rsidRDefault="00495A3C" w:rsidP="00495A3C">
      <w:pPr>
        <w:pStyle w:val="SingleTxtG"/>
        <w:ind w:firstLine="567"/>
        <w:rPr>
          <w:lang w:val="en-GB"/>
        </w:rPr>
      </w:pPr>
      <w:r w:rsidRPr="0060174F">
        <w:rPr>
          <w:lang w:val="en-GB"/>
        </w:rPr>
        <w:t>(a)</w:t>
      </w:r>
      <w:r w:rsidRPr="0060174F">
        <w:rPr>
          <w:lang w:val="en-GB"/>
        </w:rPr>
        <w:tab/>
      </w:r>
      <w:r w:rsidR="00FE7ED2" w:rsidRPr="0060174F">
        <w:rPr>
          <w:lang w:val="en-GB"/>
        </w:rPr>
        <w:t>Sustainable Development Goal</w:t>
      </w:r>
      <w:r w:rsidR="00336600" w:rsidRPr="0060174F">
        <w:rPr>
          <w:lang w:val="en-GB"/>
        </w:rPr>
        <w:t>s</w:t>
      </w:r>
      <w:r w:rsidR="00C80551" w:rsidRPr="0060174F">
        <w:rPr>
          <w:lang w:val="en-GB"/>
        </w:rPr>
        <w:t xml:space="preserve"> on the </w:t>
      </w:r>
      <w:r w:rsidR="00336600" w:rsidRPr="0060174F">
        <w:rPr>
          <w:lang w:val="en-GB"/>
        </w:rPr>
        <w:t xml:space="preserve">environment: Links of ITC to most </w:t>
      </w:r>
      <w:r w:rsidR="00FE7ED2" w:rsidRPr="0060174F">
        <w:rPr>
          <w:lang w:val="en-GB"/>
        </w:rPr>
        <w:t>Sustainable Development Goals</w:t>
      </w:r>
      <w:r w:rsidR="00336600" w:rsidRPr="0060174F">
        <w:rPr>
          <w:lang w:val="en-GB"/>
        </w:rPr>
        <w:t xml:space="preserve"> are distributed to various</w:t>
      </w:r>
      <w:r w:rsidR="0076701F" w:rsidRPr="0060174F">
        <w:rPr>
          <w:lang w:val="en-GB"/>
        </w:rPr>
        <w:t xml:space="preserve"> </w:t>
      </w:r>
      <w:r w:rsidR="00205D0A" w:rsidRPr="0060174F">
        <w:rPr>
          <w:lang w:val="en-GB"/>
        </w:rPr>
        <w:t>working parties</w:t>
      </w:r>
      <w:r w:rsidR="00336600" w:rsidRPr="0060174F">
        <w:rPr>
          <w:lang w:val="en-GB"/>
        </w:rPr>
        <w:t>. The missing areas</w:t>
      </w:r>
      <w:r w:rsidR="005802FE" w:rsidRPr="0060174F">
        <w:rPr>
          <w:lang w:val="en-GB"/>
        </w:rPr>
        <w:t xml:space="preserve">, in need for further strengthening, </w:t>
      </w:r>
      <w:r w:rsidR="00336600" w:rsidRPr="0060174F">
        <w:rPr>
          <w:lang w:val="en-GB"/>
        </w:rPr>
        <w:t>include sustainable transport policy, urban and rural transport, security and social issues except road safety;</w:t>
      </w:r>
    </w:p>
    <w:p w14:paraId="04CC8A4E" w14:textId="0DF1F14B" w:rsidR="00336600" w:rsidRPr="0060174F" w:rsidRDefault="00495A3C" w:rsidP="00495A3C">
      <w:pPr>
        <w:pStyle w:val="SingleTxtG"/>
        <w:ind w:firstLine="567"/>
        <w:rPr>
          <w:lang w:val="en-GB"/>
        </w:rPr>
      </w:pPr>
      <w:r w:rsidRPr="0060174F">
        <w:rPr>
          <w:lang w:val="en-GB"/>
        </w:rPr>
        <w:t>(b)</w:t>
      </w:r>
      <w:r w:rsidRPr="0060174F">
        <w:rPr>
          <w:lang w:val="en-GB"/>
        </w:rPr>
        <w:tab/>
      </w:r>
      <w:r w:rsidR="00336600" w:rsidRPr="0060174F">
        <w:rPr>
          <w:lang w:val="en-GB"/>
        </w:rPr>
        <w:t>Statistics;</w:t>
      </w:r>
    </w:p>
    <w:p w14:paraId="60AC59A7" w14:textId="27DA8B43" w:rsidR="00336600" w:rsidRPr="0060174F" w:rsidRDefault="00495A3C" w:rsidP="00495A3C">
      <w:pPr>
        <w:pStyle w:val="SingleTxtG"/>
        <w:ind w:firstLine="567"/>
        <w:rPr>
          <w:lang w:val="en-GB"/>
        </w:rPr>
      </w:pPr>
      <w:r w:rsidRPr="0060174F">
        <w:rPr>
          <w:lang w:val="en-GB"/>
        </w:rPr>
        <w:lastRenderedPageBreak/>
        <w:t>(c)</w:t>
      </w:r>
      <w:r w:rsidRPr="0060174F">
        <w:rPr>
          <w:lang w:val="en-GB"/>
        </w:rPr>
        <w:tab/>
      </w:r>
      <w:r w:rsidR="00336600" w:rsidRPr="0060174F">
        <w:rPr>
          <w:lang w:val="en-GB"/>
        </w:rPr>
        <w:t xml:space="preserve">Networks and corridors: Via </w:t>
      </w:r>
      <w:proofErr w:type="spellStart"/>
      <w:r w:rsidR="00336600" w:rsidRPr="0060174F">
        <w:rPr>
          <w:lang w:val="en-GB"/>
        </w:rPr>
        <w:t>Carpatia</w:t>
      </w:r>
      <w:proofErr w:type="spellEnd"/>
      <w:r w:rsidR="00336600" w:rsidRPr="0060174F">
        <w:rPr>
          <w:lang w:val="en-GB"/>
        </w:rPr>
        <w:t xml:space="preserve"> and the corridors between Europe and Asia were mentioned;</w:t>
      </w:r>
    </w:p>
    <w:p w14:paraId="7067A84E" w14:textId="6DB6A0DA" w:rsidR="00336600" w:rsidRPr="0060174F" w:rsidRDefault="00495A3C" w:rsidP="00495A3C">
      <w:pPr>
        <w:pStyle w:val="SingleTxtG"/>
        <w:ind w:firstLine="567"/>
        <w:rPr>
          <w:lang w:val="en-GB"/>
        </w:rPr>
      </w:pPr>
      <w:r w:rsidRPr="0060174F">
        <w:rPr>
          <w:lang w:val="en-GB"/>
        </w:rPr>
        <w:t>(d)</w:t>
      </w:r>
      <w:r w:rsidRPr="0060174F">
        <w:rPr>
          <w:lang w:val="en-GB"/>
        </w:rPr>
        <w:tab/>
      </w:r>
      <w:r w:rsidR="00336600" w:rsidRPr="0060174F">
        <w:rPr>
          <w:lang w:val="en-GB"/>
        </w:rPr>
        <w:t>Call for mode-specific focus</w:t>
      </w:r>
      <w:r w:rsidR="00B8066B" w:rsidRPr="0060174F">
        <w:rPr>
          <w:lang w:val="en-GB"/>
        </w:rPr>
        <w:t>es</w:t>
      </w:r>
      <w:r w:rsidR="00336600" w:rsidRPr="0060174F">
        <w:rPr>
          <w:lang w:val="en-GB"/>
        </w:rPr>
        <w:t xml:space="preserve">: Different modes face different challenges – </w:t>
      </w:r>
      <w:r w:rsidR="00B8066B" w:rsidRPr="0060174F">
        <w:rPr>
          <w:lang w:val="en-GB"/>
        </w:rPr>
        <w:t xml:space="preserve">for consideration in </w:t>
      </w:r>
      <w:r w:rsidR="00336600" w:rsidRPr="0060174F">
        <w:rPr>
          <w:lang w:val="en-GB"/>
        </w:rPr>
        <w:t>the ITC strategy.</w:t>
      </w:r>
    </w:p>
    <w:p w14:paraId="5EC1E861" w14:textId="4A4A0E5D" w:rsidR="008138F2" w:rsidRPr="0060174F" w:rsidRDefault="008138F2" w:rsidP="008138F2">
      <w:pPr>
        <w:pStyle w:val="HChG"/>
        <w:rPr>
          <w:lang w:val="en-GB"/>
        </w:rPr>
      </w:pPr>
      <w:r w:rsidRPr="0060174F">
        <w:rPr>
          <w:lang w:val="en-GB"/>
        </w:rPr>
        <w:tab/>
        <w:t>III.</w:t>
      </w:r>
      <w:r w:rsidRPr="0060174F">
        <w:rPr>
          <w:lang w:val="en-GB"/>
        </w:rPr>
        <w:tab/>
        <w:t xml:space="preserve">Follow-up to the </w:t>
      </w:r>
      <w:r w:rsidR="00336600" w:rsidRPr="0060174F">
        <w:rPr>
          <w:lang w:val="en-GB"/>
        </w:rPr>
        <w:t>eight</w:t>
      </w:r>
      <w:r w:rsidR="00FE5A42" w:rsidRPr="0060174F">
        <w:rPr>
          <w:lang w:val="en-GB"/>
        </w:rPr>
        <w:t>h meeting</w:t>
      </w:r>
    </w:p>
    <w:p w14:paraId="1A096C0B" w14:textId="071381B7" w:rsidR="00336600" w:rsidRPr="0060174F" w:rsidRDefault="008C29AE" w:rsidP="00336600">
      <w:pPr>
        <w:pStyle w:val="SingleTxtG"/>
        <w:rPr>
          <w:lang w:val="en-GB"/>
        </w:rPr>
      </w:pPr>
      <w:r w:rsidRPr="0060174F">
        <w:rPr>
          <w:lang w:val="en-GB"/>
        </w:rPr>
        <w:t>20</w:t>
      </w:r>
      <w:r w:rsidR="008138F2" w:rsidRPr="0060174F">
        <w:rPr>
          <w:lang w:val="en-GB"/>
        </w:rPr>
        <w:t>.</w:t>
      </w:r>
      <w:r w:rsidR="008138F2" w:rsidRPr="0060174F">
        <w:rPr>
          <w:lang w:val="en-GB"/>
        </w:rPr>
        <w:tab/>
      </w:r>
      <w:proofErr w:type="gramStart"/>
      <w:r w:rsidR="008138F2" w:rsidRPr="0060174F">
        <w:rPr>
          <w:lang w:val="en-GB"/>
        </w:rPr>
        <w:t>On the basis of</w:t>
      </w:r>
      <w:proofErr w:type="gramEnd"/>
      <w:r w:rsidR="008138F2" w:rsidRPr="0060174F">
        <w:rPr>
          <w:lang w:val="en-GB"/>
        </w:rPr>
        <w:t xml:space="preserve"> these deliberations, </w:t>
      </w:r>
      <w:r w:rsidR="00336600" w:rsidRPr="0060174F">
        <w:rPr>
          <w:bCs/>
          <w:lang w:val="en-GB"/>
        </w:rPr>
        <w:t xml:space="preserve">the </w:t>
      </w:r>
      <w:r w:rsidR="004F228D" w:rsidRPr="0060174F">
        <w:rPr>
          <w:rFonts w:eastAsia="SimSun"/>
          <w:bCs/>
          <w:lang w:val="en-GB"/>
        </w:rPr>
        <w:t>Committee</w:t>
      </w:r>
      <w:r w:rsidR="004F228D" w:rsidRPr="0060174F">
        <w:rPr>
          <w:rFonts w:eastAsia="SimSun"/>
          <w:b/>
          <w:lang w:val="en-GB"/>
        </w:rPr>
        <w:t xml:space="preserve"> welcomed </w:t>
      </w:r>
      <w:r w:rsidR="004F228D" w:rsidRPr="0060174F">
        <w:rPr>
          <w:rFonts w:eastAsia="SimSun"/>
          <w:lang w:val="en-GB"/>
        </w:rPr>
        <w:t xml:space="preserve">the organization of the eighth meeting of the Chairs of the Committee’s subsidiary bodies, i.e. the meeting restricted to governmental participation, on developing the Committee’s strategy until 2030, and </w:t>
      </w:r>
      <w:r w:rsidR="004F228D" w:rsidRPr="0060174F">
        <w:rPr>
          <w:rFonts w:eastAsia="SimSun"/>
          <w:b/>
          <w:lang w:val="en-GB"/>
        </w:rPr>
        <w:t xml:space="preserve">agreed </w:t>
      </w:r>
      <w:r w:rsidR="004F228D" w:rsidRPr="0060174F">
        <w:rPr>
          <w:rFonts w:eastAsia="SimSun"/>
          <w:lang w:val="en-GB"/>
        </w:rPr>
        <w:t>that the summary of the discussions, in the form of the Chair’s notes, would be annexed to the Committee’s report after approval by the participating delegates in the restricted session</w:t>
      </w:r>
      <w:r w:rsidR="00495A3C" w:rsidRPr="0060174F">
        <w:rPr>
          <w:lang w:val="en-GB"/>
        </w:rPr>
        <w:t>.</w:t>
      </w:r>
      <w:r w:rsidR="00336600" w:rsidRPr="0060174F">
        <w:rPr>
          <w:lang w:val="en-GB"/>
        </w:rPr>
        <w:t xml:space="preserve"> </w:t>
      </w:r>
    </w:p>
    <w:p w14:paraId="7682B41D" w14:textId="30D5A66F" w:rsidR="00336600" w:rsidRPr="0060174F" w:rsidRDefault="008C29AE" w:rsidP="00336600">
      <w:pPr>
        <w:pStyle w:val="SingleTxtG"/>
        <w:rPr>
          <w:b/>
          <w:lang w:val="en-GB"/>
        </w:rPr>
      </w:pPr>
      <w:r w:rsidRPr="0060174F">
        <w:rPr>
          <w:lang w:val="en-GB"/>
        </w:rPr>
        <w:t>21</w:t>
      </w:r>
      <w:r w:rsidR="00336600" w:rsidRPr="0060174F">
        <w:rPr>
          <w:lang w:val="en-GB"/>
        </w:rPr>
        <w:t>.</w:t>
      </w:r>
      <w:r w:rsidR="00336600" w:rsidRPr="0060174F">
        <w:rPr>
          <w:lang w:val="en-GB"/>
        </w:rPr>
        <w:tab/>
      </w:r>
      <w:r w:rsidR="004F228D" w:rsidRPr="0060174F">
        <w:rPr>
          <w:rFonts w:eastAsia="SimSun"/>
          <w:lang w:val="en-GB"/>
        </w:rPr>
        <w:t>In considering</w:t>
      </w:r>
      <w:r w:rsidR="004F228D" w:rsidRPr="0060174F">
        <w:rPr>
          <w:rFonts w:eastAsia="SimSun"/>
          <w:b/>
          <w:lang w:val="en-GB"/>
        </w:rPr>
        <w:t xml:space="preserve"> </w:t>
      </w:r>
      <w:r w:rsidR="004F228D" w:rsidRPr="0060174F">
        <w:rPr>
          <w:rFonts w:eastAsia="SimSun"/>
          <w:lang w:val="en-GB"/>
        </w:rPr>
        <w:t>the</w:t>
      </w:r>
      <w:r w:rsidR="004F228D" w:rsidRPr="0060174F">
        <w:rPr>
          <w:rFonts w:eastAsia="SimSun"/>
          <w:b/>
          <w:lang w:val="en-GB"/>
        </w:rPr>
        <w:t xml:space="preserve"> </w:t>
      </w:r>
      <w:r w:rsidR="004F228D" w:rsidRPr="0060174F">
        <w:rPr>
          <w:rFonts w:eastAsia="SimSun"/>
          <w:lang w:val="en-GB"/>
        </w:rPr>
        <w:t>ITC strategy up to 2030</w:t>
      </w:r>
      <w:bookmarkStart w:id="4" w:name="_Hlk508616557"/>
      <w:r w:rsidR="004F228D" w:rsidRPr="0060174F">
        <w:rPr>
          <w:rFonts w:eastAsia="SimSun"/>
          <w:lang w:val="en-GB"/>
        </w:rPr>
        <w:t xml:space="preserve">, the Committee </w:t>
      </w:r>
      <w:r w:rsidR="004F228D" w:rsidRPr="0060174F">
        <w:rPr>
          <w:rFonts w:eastAsia="SimSun"/>
          <w:b/>
          <w:lang w:val="en-GB"/>
        </w:rPr>
        <w:t xml:space="preserve">expressed its support for continuing discussion </w:t>
      </w:r>
      <w:r w:rsidR="004F228D" w:rsidRPr="0060174F">
        <w:rPr>
          <w:rFonts w:eastAsia="SimSun"/>
          <w:lang w:val="en-GB"/>
        </w:rPr>
        <w:t>on</w:t>
      </w:r>
      <w:bookmarkEnd w:id="4"/>
      <w:r w:rsidR="004F228D" w:rsidRPr="0060174F">
        <w:rPr>
          <w:rFonts w:eastAsia="SimSun"/>
          <w:lang w:val="en-GB"/>
        </w:rPr>
        <w:t xml:space="preserve"> Informal </w:t>
      </w:r>
      <w:proofErr w:type="gramStart"/>
      <w:r w:rsidR="004F228D" w:rsidRPr="0060174F">
        <w:rPr>
          <w:rFonts w:eastAsia="SimSun"/>
          <w:lang w:val="en-GB"/>
        </w:rPr>
        <w:t>document</w:t>
      </w:r>
      <w:proofErr w:type="gramEnd"/>
      <w:r w:rsidR="004F228D" w:rsidRPr="0060174F">
        <w:rPr>
          <w:rFonts w:eastAsia="SimSun"/>
          <w:lang w:val="en-GB"/>
        </w:rPr>
        <w:t xml:space="preserve"> No</w:t>
      </w:r>
      <w:r w:rsidR="00111B8E">
        <w:rPr>
          <w:rFonts w:eastAsia="SimSun"/>
          <w:lang w:val="en-GB"/>
        </w:rPr>
        <w:t>.</w:t>
      </w:r>
      <w:r w:rsidR="004F228D" w:rsidRPr="0060174F">
        <w:rPr>
          <w:rFonts w:eastAsia="SimSun"/>
          <w:lang w:val="en-GB"/>
        </w:rPr>
        <w:t xml:space="preserve"> 1. To this end, it </w:t>
      </w:r>
      <w:r w:rsidR="004F228D" w:rsidRPr="0060174F">
        <w:rPr>
          <w:rFonts w:eastAsia="SimSun"/>
          <w:b/>
          <w:lang w:val="en-GB"/>
        </w:rPr>
        <w:t>welcomed</w:t>
      </w:r>
      <w:r w:rsidR="004F228D" w:rsidRPr="0060174F">
        <w:rPr>
          <w:rFonts w:eastAsia="SimSun"/>
          <w:lang w:val="en-GB"/>
        </w:rPr>
        <w:t xml:space="preserve"> the discussions of the restricted session involving ECE and non-ECE contracting parties.</w:t>
      </w:r>
      <w:r w:rsidR="00336600" w:rsidRPr="0060174F">
        <w:rPr>
          <w:lang w:val="en-GB"/>
        </w:rPr>
        <w:t xml:space="preserve"> </w:t>
      </w:r>
    </w:p>
    <w:p w14:paraId="40DDDFAA" w14:textId="4B1EAF0C" w:rsidR="008138F2" w:rsidRPr="005F08FE" w:rsidRDefault="008C29AE" w:rsidP="00336600">
      <w:pPr>
        <w:pStyle w:val="SingleTxtG"/>
        <w:rPr>
          <w:lang w:val="en-GB"/>
        </w:rPr>
      </w:pPr>
      <w:r w:rsidRPr="0060174F">
        <w:rPr>
          <w:lang w:val="en-GB"/>
        </w:rPr>
        <w:t>22</w:t>
      </w:r>
      <w:r w:rsidR="00336600" w:rsidRPr="0060174F">
        <w:rPr>
          <w:lang w:val="en-GB"/>
        </w:rPr>
        <w:t>.</w:t>
      </w:r>
      <w:r w:rsidR="00336600" w:rsidRPr="0060174F">
        <w:rPr>
          <w:lang w:val="en-GB"/>
        </w:rPr>
        <w:tab/>
      </w:r>
      <w:r w:rsidR="004F228D" w:rsidRPr="0060174F">
        <w:rPr>
          <w:rFonts w:eastAsia="SimSun"/>
          <w:lang w:val="en-GB"/>
        </w:rPr>
        <w:t xml:space="preserve">The Committee </w:t>
      </w:r>
      <w:r w:rsidR="004F228D" w:rsidRPr="0060174F">
        <w:rPr>
          <w:rFonts w:eastAsia="SimSun"/>
          <w:b/>
          <w:lang w:val="en-GB"/>
        </w:rPr>
        <w:t>provided guidance</w:t>
      </w:r>
      <w:r w:rsidR="004F228D" w:rsidRPr="0060174F">
        <w:rPr>
          <w:rFonts w:eastAsia="SimSun"/>
          <w:lang w:val="en-GB"/>
        </w:rPr>
        <w:t xml:space="preserve"> to the ITC Bureau, to be assisted by the secretariat, on further developing the ITC strategy in an inclusive way and </w:t>
      </w:r>
      <w:bookmarkStart w:id="5" w:name="_Hlk508616486"/>
      <w:r w:rsidR="004F228D" w:rsidRPr="0060174F">
        <w:rPr>
          <w:rFonts w:eastAsia="SimSun"/>
          <w:b/>
          <w:lang w:val="en-GB"/>
        </w:rPr>
        <w:t>requested:</w:t>
      </w:r>
      <w:r w:rsidR="004F228D" w:rsidRPr="0060174F">
        <w:rPr>
          <w:rFonts w:eastAsia="SimSun"/>
          <w:lang w:val="en-GB"/>
        </w:rPr>
        <w:t xml:space="preserve"> (a) that an action plan and road map for implementation be presented for adoption at the Committee’s eighty-first session in 2019, and (b) that necessary changes in the Terms of Reference and Rules of Procedure of the Committee are fully considered and presented to the Committee for adoption at the eighty-first annual session. The Committee </w:t>
      </w:r>
      <w:r w:rsidR="004F228D" w:rsidRPr="0060174F">
        <w:rPr>
          <w:rFonts w:eastAsia="SimSun"/>
          <w:b/>
          <w:lang w:val="en-GB"/>
        </w:rPr>
        <w:t xml:space="preserve">invited </w:t>
      </w:r>
      <w:r w:rsidR="004F228D" w:rsidRPr="0060174F">
        <w:rPr>
          <w:rFonts w:eastAsia="SimSun"/>
          <w:lang w:val="en-GB"/>
        </w:rPr>
        <w:t>the Working Parties to send their inputs after their annual sessions, as contributions for the development of the strategy and road map with a view to its final adoption at the restricted session of the eighty-first annual session of the Committee</w:t>
      </w:r>
      <w:bookmarkEnd w:id="5"/>
      <w:r w:rsidR="00336600" w:rsidRPr="0060174F">
        <w:rPr>
          <w:lang w:val="en-GB"/>
        </w:rPr>
        <w:t>.</w:t>
      </w:r>
    </w:p>
    <w:p w14:paraId="398441C5" w14:textId="77777777" w:rsidR="00042700" w:rsidRPr="005F08FE" w:rsidRDefault="00B42D1B" w:rsidP="00317AD2">
      <w:pPr>
        <w:keepNext/>
        <w:keepLines/>
        <w:spacing w:before="240"/>
        <w:ind w:left="1134" w:right="1134"/>
        <w:jc w:val="center"/>
        <w:rPr>
          <w:lang w:val="en-GB"/>
        </w:rPr>
      </w:pPr>
      <w:r w:rsidRPr="005F08FE">
        <w:rPr>
          <w:u w:val="single"/>
          <w:lang w:val="en-GB"/>
        </w:rPr>
        <w:tab/>
      </w:r>
      <w:r w:rsidRPr="005F08FE">
        <w:rPr>
          <w:u w:val="single"/>
          <w:lang w:val="en-GB"/>
        </w:rPr>
        <w:tab/>
      </w:r>
      <w:r w:rsidRPr="005F08FE">
        <w:rPr>
          <w:u w:val="single"/>
          <w:lang w:val="en-GB"/>
        </w:rPr>
        <w:tab/>
      </w:r>
    </w:p>
    <w:sectPr w:rsidR="00042700" w:rsidRPr="005F08FE" w:rsidSect="00AD4CA6">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CAF9C" w14:textId="77777777" w:rsidR="0049359C" w:rsidRDefault="0049359C"/>
  </w:endnote>
  <w:endnote w:type="continuationSeparator" w:id="0">
    <w:p w14:paraId="11371EF6" w14:textId="77777777" w:rsidR="0049359C" w:rsidRDefault="0049359C">
      <w:pPr>
        <w:pStyle w:val="Footer"/>
      </w:pPr>
    </w:p>
  </w:endnote>
  <w:endnote w:type="continuationNotice" w:id="1">
    <w:p w14:paraId="6F8AC7AC" w14:textId="77777777" w:rsidR="0049359C" w:rsidRDefault="00493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9D0DF" w14:textId="7D4767BC" w:rsidR="00F464B4" w:rsidRPr="00AD4CA6" w:rsidRDefault="00F464B4" w:rsidP="00AD4CA6">
    <w:pPr>
      <w:pStyle w:val="Footer"/>
      <w:tabs>
        <w:tab w:val="right" w:pos="9638"/>
      </w:tabs>
      <w:rPr>
        <w:sz w:val="18"/>
      </w:rPr>
    </w:pPr>
    <w:r w:rsidRPr="00AD4CA6">
      <w:rPr>
        <w:b/>
        <w:sz w:val="18"/>
      </w:rPr>
      <w:fldChar w:fldCharType="begin"/>
    </w:r>
    <w:r w:rsidRPr="00AD4CA6">
      <w:rPr>
        <w:b/>
        <w:sz w:val="18"/>
      </w:rPr>
      <w:instrText xml:space="preserve"> PAGE  \* MERGEFORMAT </w:instrText>
    </w:r>
    <w:r w:rsidRPr="00AD4CA6">
      <w:rPr>
        <w:b/>
        <w:sz w:val="18"/>
      </w:rPr>
      <w:fldChar w:fldCharType="separate"/>
    </w:r>
    <w:r w:rsidR="00015E74">
      <w:rPr>
        <w:b/>
        <w:noProof/>
        <w:sz w:val="18"/>
      </w:rPr>
      <w:t>4</w:t>
    </w:r>
    <w:r w:rsidRPr="00AD4CA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3203" w14:textId="2D6159C1" w:rsidR="00F464B4" w:rsidRPr="00AD4CA6" w:rsidRDefault="00F464B4" w:rsidP="00AD4CA6">
    <w:pPr>
      <w:pStyle w:val="Footer"/>
      <w:tabs>
        <w:tab w:val="right" w:pos="9638"/>
      </w:tabs>
      <w:rPr>
        <w:b/>
        <w:sz w:val="18"/>
      </w:rPr>
    </w:pPr>
    <w:r>
      <w:tab/>
    </w:r>
    <w:r w:rsidRPr="00AD4CA6">
      <w:rPr>
        <w:b/>
        <w:sz w:val="18"/>
      </w:rPr>
      <w:fldChar w:fldCharType="begin"/>
    </w:r>
    <w:r w:rsidRPr="00AD4CA6">
      <w:rPr>
        <w:b/>
        <w:sz w:val="18"/>
      </w:rPr>
      <w:instrText xml:space="preserve"> PAGE  \* MERGEFORMAT </w:instrText>
    </w:r>
    <w:r w:rsidRPr="00AD4CA6">
      <w:rPr>
        <w:b/>
        <w:sz w:val="18"/>
      </w:rPr>
      <w:fldChar w:fldCharType="separate"/>
    </w:r>
    <w:r w:rsidR="00015E74">
      <w:rPr>
        <w:b/>
        <w:noProof/>
        <w:sz w:val="18"/>
      </w:rPr>
      <w:t>3</w:t>
    </w:r>
    <w:r w:rsidRPr="00AD4CA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4928E" w14:textId="77777777" w:rsidR="0049359C" w:rsidRPr="00D27D5E" w:rsidRDefault="0049359C" w:rsidP="00D27D5E">
      <w:pPr>
        <w:tabs>
          <w:tab w:val="right" w:pos="2155"/>
        </w:tabs>
        <w:spacing w:after="80"/>
        <w:ind w:left="680"/>
        <w:rPr>
          <w:u w:val="single"/>
        </w:rPr>
      </w:pPr>
      <w:r>
        <w:rPr>
          <w:u w:val="single"/>
        </w:rPr>
        <w:tab/>
      </w:r>
    </w:p>
  </w:footnote>
  <w:footnote w:type="continuationSeparator" w:id="0">
    <w:p w14:paraId="5CD66E45" w14:textId="77777777" w:rsidR="0049359C" w:rsidRPr="00E35D8F" w:rsidRDefault="0049359C" w:rsidP="00E35D8F">
      <w:pPr>
        <w:tabs>
          <w:tab w:val="right" w:pos="2155"/>
        </w:tabs>
        <w:spacing w:after="80"/>
        <w:ind w:left="680"/>
        <w:rPr>
          <w:u w:val="single"/>
        </w:rPr>
      </w:pPr>
      <w:r w:rsidRPr="00E35D8F">
        <w:rPr>
          <w:u w:val="single"/>
        </w:rPr>
        <w:tab/>
      </w:r>
    </w:p>
  </w:footnote>
  <w:footnote w:type="continuationNotice" w:id="1">
    <w:p w14:paraId="2C0BC466" w14:textId="77777777" w:rsidR="0049359C" w:rsidRDefault="004935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A380" w14:textId="662EF8EA" w:rsidR="00F464B4" w:rsidRPr="00AD59C1" w:rsidRDefault="00F464B4" w:rsidP="00AD59C1">
    <w:pPr>
      <w:pStyle w:val="Header"/>
    </w:pPr>
    <w:r w:rsidRPr="002E3F94">
      <w:t>ECE/TRANS/</w:t>
    </w:r>
    <w:r>
      <w:t>274/Add.1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6F406" w14:textId="1862BEEA" w:rsidR="00F464B4" w:rsidRPr="00AD59C1" w:rsidRDefault="00F464B4" w:rsidP="00AD59C1">
    <w:pPr>
      <w:pStyle w:val="Header"/>
      <w:jc w:val="right"/>
    </w:pPr>
    <w:r w:rsidRPr="002E3F94">
      <w:t>ECE/TRANS/</w:t>
    </w:r>
    <w:r>
      <w:t>274/Add.1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0C69" w14:textId="03E7EA39" w:rsidR="00F84ED2" w:rsidRDefault="00F84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B5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74D7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0D6E1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345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E4C88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016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81E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CF9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B8D1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1C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250B18"/>
    <w:multiLevelType w:val="hybridMultilevel"/>
    <w:tmpl w:val="7AF69274"/>
    <w:lvl w:ilvl="0" w:tplc="0809001B">
      <w:start w:val="1"/>
      <w:numFmt w:val="lowerRoman"/>
      <w:lvlText w:val="%1."/>
      <w:lvlJc w:val="righ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5CF1761"/>
    <w:multiLevelType w:val="hybridMultilevel"/>
    <w:tmpl w:val="3A06433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 w15:restartNumberingAfterBreak="0">
    <w:nsid w:val="21C36986"/>
    <w:multiLevelType w:val="multilevel"/>
    <w:tmpl w:val="0034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194168"/>
    <w:multiLevelType w:val="multilevel"/>
    <w:tmpl w:val="D5FE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5" w15:restartNumberingAfterBreak="0">
    <w:nsid w:val="2D375400"/>
    <w:multiLevelType w:val="hybridMultilevel"/>
    <w:tmpl w:val="3E2A4310"/>
    <w:lvl w:ilvl="0" w:tplc="D4A422C4">
      <w:start w:val="1"/>
      <w:numFmt w:val="decimal"/>
      <w:pStyle w:val="Agendaitem1"/>
      <w:lvlText w:val="%1."/>
      <w:lvlJc w:val="left"/>
      <w:pPr>
        <w:tabs>
          <w:tab w:val="num" w:pos="567"/>
        </w:tabs>
        <w:ind w:left="567" w:hanging="567"/>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167AACE0">
      <w:start w:val="1"/>
      <w:numFmt w:val="lowerLetter"/>
      <w:lvlText w:val="(%2)"/>
      <w:lvlJc w:val="left"/>
      <w:pPr>
        <w:tabs>
          <w:tab w:val="num" w:pos="1134"/>
        </w:tabs>
        <w:ind w:left="1134" w:hanging="567"/>
      </w:pPr>
      <w:rPr>
        <w:b w:val="0"/>
        <w:bCs/>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99FA7394">
      <w:start w:val="2"/>
      <w:numFmt w:val="lowerRoman"/>
      <w:lvlText w:val="(%3)"/>
      <w:lvlJc w:val="left"/>
      <w:pPr>
        <w:tabs>
          <w:tab w:val="num" w:pos="2520"/>
        </w:tabs>
        <w:ind w:left="2520" w:hanging="72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ACF4EB2"/>
    <w:multiLevelType w:val="hybridMultilevel"/>
    <w:tmpl w:val="E68AE2B2"/>
    <w:lvl w:ilvl="0" w:tplc="4424A01A">
      <w:start w:val="1"/>
      <w:numFmt w:val="lowerLetter"/>
      <w:pStyle w:val="Bullet2G"/>
      <w:lvlText w:val="(%1)"/>
      <w:lvlJc w:val="left"/>
      <w:pPr>
        <w:tabs>
          <w:tab w:val="num" w:pos="2268"/>
        </w:tabs>
        <w:ind w:left="2268" w:hanging="170"/>
      </w:pPr>
      <w:rPr>
        <w:rFonts w:ascii="Times New Roman" w:eastAsia="Times New Roman" w:hAnsi="Times New Roman" w:cs="Times New Roman"/>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C1F2858"/>
    <w:multiLevelType w:val="hybridMultilevel"/>
    <w:tmpl w:val="CA328DB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28B113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B73102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D7F2163"/>
    <w:multiLevelType w:val="hybridMultilevel"/>
    <w:tmpl w:val="093E09F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640977A9"/>
    <w:multiLevelType w:val="hybridMultilevel"/>
    <w:tmpl w:val="9F3C291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5735C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26"/>
  </w:num>
  <w:num w:numId="2">
    <w:abstractNumId w:val="14"/>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8"/>
  </w:num>
  <w:num w:numId="14">
    <w:abstractNumId w:val="23"/>
  </w:num>
  <w:num w:numId="15">
    <w:abstractNumId w:val="19"/>
  </w:num>
  <w:num w:numId="16">
    <w:abstractNumId w:val="24"/>
  </w:num>
  <w:num w:numId="17">
    <w:abstractNumId w:val="16"/>
  </w:num>
  <w:num w:numId="18">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1"/>
  </w:num>
  <w:num w:numId="22">
    <w:abstractNumId w:val="21"/>
  </w:num>
  <w:num w:numId="23">
    <w:abstractNumId w:val="17"/>
  </w:num>
  <w:num w:numId="24">
    <w:abstractNumId w:val="10"/>
  </w:num>
  <w:num w:numId="25">
    <w:abstractNumId w:val="20"/>
  </w:num>
  <w:num w:numId="26">
    <w:abstractNumId w:val="13"/>
  </w:num>
  <w:num w:numId="27">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ctiveWritingStyle w:appName="MSWord" w:lang="en-US" w:vendorID="64" w:dllVersion="0" w:nlCheck="1" w:checkStyle="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A6"/>
    <w:rsid w:val="0000080D"/>
    <w:rsid w:val="00002CBC"/>
    <w:rsid w:val="00002EC0"/>
    <w:rsid w:val="00004F2B"/>
    <w:rsid w:val="00010E32"/>
    <w:rsid w:val="00012893"/>
    <w:rsid w:val="000133CA"/>
    <w:rsid w:val="00013F00"/>
    <w:rsid w:val="00015E74"/>
    <w:rsid w:val="00015FCB"/>
    <w:rsid w:val="00016502"/>
    <w:rsid w:val="00016AC5"/>
    <w:rsid w:val="00017548"/>
    <w:rsid w:val="00022C05"/>
    <w:rsid w:val="00022C9B"/>
    <w:rsid w:val="000272F9"/>
    <w:rsid w:val="000276B8"/>
    <w:rsid w:val="00031725"/>
    <w:rsid w:val="000332C5"/>
    <w:rsid w:val="00034D2A"/>
    <w:rsid w:val="00035B74"/>
    <w:rsid w:val="00042700"/>
    <w:rsid w:val="00043792"/>
    <w:rsid w:val="00044828"/>
    <w:rsid w:val="000502A1"/>
    <w:rsid w:val="00050E04"/>
    <w:rsid w:val="00053762"/>
    <w:rsid w:val="00057F55"/>
    <w:rsid w:val="00061518"/>
    <w:rsid w:val="00061AA2"/>
    <w:rsid w:val="000631B0"/>
    <w:rsid w:val="000660F8"/>
    <w:rsid w:val="00066DF8"/>
    <w:rsid w:val="00067C83"/>
    <w:rsid w:val="00071489"/>
    <w:rsid w:val="000742FF"/>
    <w:rsid w:val="00076EBC"/>
    <w:rsid w:val="00080BCE"/>
    <w:rsid w:val="00082256"/>
    <w:rsid w:val="00090484"/>
    <w:rsid w:val="0009145D"/>
    <w:rsid w:val="000958FF"/>
    <w:rsid w:val="00097342"/>
    <w:rsid w:val="000974E4"/>
    <w:rsid w:val="000A147A"/>
    <w:rsid w:val="000A1866"/>
    <w:rsid w:val="000A4250"/>
    <w:rsid w:val="000A49B3"/>
    <w:rsid w:val="000B1E30"/>
    <w:rsid w:val="000B3E99"/>
    <w:rsid w:val="000B3F60"/>
    <w:rsid w:val="000B62CB"/>
    <w:rsid w:val="000B6A2F"/>
    <w:rsid w:val="000B6D3A"/>
    <w:rsid w:val="000C2B91"/>
    <w:rsid w:val="000C3BC8"/>
    <w:rsid w:val="000C4134"/>
    <w:rsid w:val="000C58F8"/>
    <w:rsid w:val="000D02D6"/>
    <w:rsid w:val="000D3BF0"/>
    <w:rsid w:val="000D50F3"/>
    <w:rsid w:val="000D6105"/>
    <w:rsid w:val="000D71CC"/>
    <w:rsid w:val="000D7685"/>
    <w:rsid w:val="000E14C8"/>
    <w:rsid w:val="000E3722"/>
    <w:rsid w:val="000E4DD0"/>
    <w:rsid w:val="000E7462"/>
    <w:rsid w:val="000F0C1E"/>
    <w:rsid w:val="000F31D8"/>
    <w:rsid w:val="000F41F2"/>
    <w:rsid w:val="000F5C15"/>
    <w:rsid w:val="00100FA3"/>
    <w:rsid w:val="00101EF0"/>
    <w:rsid w:val="00103317"/>
    <w:rsid w:val="001119F2"/>
    <w:rsid w:val="00111B8E"/>
    <w:rsid w:val="00112877"/>
    <w:rsid w:val="001134EB"/>
    <w:rsid w:val="00113B48"/>
    <w:rsid w:val="00114CFA"/>
    <w:rsid w:val="0011750B"/>
    <w:rsid w:val="00117A81"/>
    <w:rsid w:val="00121D6E"/>
    <w:rsid w:val="00123C6A"/>
    <w:rsid w:val="00124C31"/>
    <w:rsid w:val="00125193"/>
    <w:rsid w:val="001257B9"/>
    <w:rsid w:val="00127501"/>
    <w:rsid w:val="001307AD"/>
    <w:rsid w:val="00135E7D"/>
    <w:rsid w:val="001416D5"/>
    <w:rsid w:val="0015322F"/>
    <w:rsid w:val="00153BC5"/>
    <w:rsid w:val="00155A06"/>
    <w:rsid w:val="00155E18"/>
    <w:rsid w:val="0015730B"/>
    <w:rsid w:val="00157352"/>
    <w:rsid w:val="0015766A"/>
    <w:rsid w:val="00160339"/>
    <w:rsid w:val="00160540"/>
    <w:rsid w:val="00165234"/>
    <w:rsid w:val="001652FA"/>
    <w:rsid w:val="00171CA3"/>
    <w:rsid w:val="00172A1D"/>
    <w:rsid w:val="00181694"/>
    <w:rsid w:val="001818F1"/>
    <w:rsid w:val="00187559"/>
    <w:rsid w:val="00187D5A"/>
    <w:rsid w:val="00187DEA"/>
    <w:rsid w:val="00192EEB"/>
    <w:rsid w:val="00193159"/>
    <w:rsid w:val="00195ED4"/>
    <w:rsid w:val="0019640B"/>
    <w:rsid w:val="001A20FB"/>
    <w:rsid w:val="001A6491"/>
    <w:rsid w:val="001B2798"/>
    <w:rsid w:val="001B4B65"/>
    <w:rsid w:val="001B4F72"/>
    <w:rsid w:val="001C0CEE"/>
    <w:rsid w:val="001C1733"/>
    <w:rsid w:val="001C2FB2"/>
    <w:rsid w:val="001C3C49"/>
    <w:rsid w:val="001C77C8"/>
    <w:rsid w:val="001D0136"/>
    <w:rsid w:val="001D135C"/>
    <w:rsid w:val="001D5853"/>
    <w:rsid w:val="001D7BEA"/>
    <w:rsid w:val="001D7F8A"/>
    <w:rsid w:val="001E2BF0"/>
    <w:rsid w:val="001E3FEB"/>
    <w:rsid w:val="001E4A02"/>
    <w:rsid w:val="001E596E"/>
    <w:rsid w:val="001E7FB2"/>
    <w:rsid w:val="001F073E"/>
    <w:rsid w:val="001F1606"/>
    <w:rsid w:val="001F1AC1"/>
    <w:rsid w:val="001F33D0"/>
    <w:rsid w:val="001F5392"/>
    <w:rsid w:val="001F579C"/>
    <w:rsid w:val="002024FF"/>
    <w:rsid w:val="0020317C"/>
    <w:rsid w:val="00204215"/>
    <w:rsid w:val="00205D0A"/>
    <w:rsid w:val="00210490"/>
    <w:rsid w:val="002137CB"/>
    <w:rsid w:val="0021591D"/>
    <w:rsid w:val="00215A6F"/>
    <w:rsid w:val="002177A0"/>
    <w:rsid w:val="00221A4A"/>
    <w:rsid w:val="00221F0B"/>
    <w:rsid w:val="002227A1"/>
    <w:rsid w:val="00225A8C"/>
    <w:rsid w:val="00225BBA"/>
    <w:rsid w:val="00225F69"/>
    <w:rsid w:val="00227BEB"/>
    <w:rsid w:val="00227FEB"/>
    <w:rsid w:val="00230397"/>
    <w:rsid w:val="002303AC"/>
    <w:rsid w:val="00233994"/>
    <w:rsid w:val="00234994"/>
    <w:rsid w:val="00235A9D"/>
    <w:rsid w:val="00237EE2"/>
    <w:rsid w:val="00244C1E"/>
    <w:rsid w:val="00244CD9"/>
    <w:rsid w:val="002525A9"/>
    <w:rsid w:val="00256F74"/>
    <w:rsid w:val="00257662"/>
    <w:rsid w:val="00257B13"/>
    <w:rsid w:val="00260411"/>
    <w:rsid w:val="002613F2"/>
    <w:rsid w:val="00263F1A"/>
    <w:rsid w:val="00264F79"/>
    <w:rsid w:val="002659F1"/>
    <w:rsid w:val="002666B0"/>
    <w:rsid w:val="00266F82"/>
    <w:rsid w:val="002706EE"/>
    <w:rsid w:val="00270A56"/>
    <w:rsid w:val="00273DB8"/>
    <w:rsid w:val="002748B9"/>
    <w:rsid w:val="0027724F"/>
    <w:rsid w:val="0028089B"/>
    <w:rsid w:val="002836B6"/>
    <w:rsid w:val="0028527E"/>
    <w:rsid w:val="00287E79"/>
    <w:rsid w:val="002903FE"/>
    <w:rsid w:val="002928F9"/>
    <w:rsid w:val="00293552"/>
    <w:rsid w:val="00293670"/>
    <w:rsid w:val="0029398A"/>
    <w:rsid w:val="00295464"/>
    <w:rsid w:val="00295937"/>
    <w:rsid w:val="002962AA"/>
    <w:rsid w:val="00297BDE"/>
    <w:rsid w:val="002A47EF"/>
    <w:rsid w:val="002A5D07"/>
    <w:rsid w:val="002A640B"/>
    <w:rsid w:val="002A7BCE"/>
    <w:rsid w:val="002B0B60"/>
    <w:rsid w:val="002B1BBB"/>
    <w:rsid w:val="002B1F5F"/>
    <w:rsid w:val="002B7D45"/>
    <w:rsid w:val="002C2610"/>
    <w:rsid w:val="002C4EA9"/>
    <w:rsid w:val="002C769B"/>
    <w:rsid w:val="002C7DD9"/>
    <w:rsid w:val="002D3F91"/>
    <w:rsid w:val="002D79E2"/>
    <w:rsid w:val="002E2F86"/>
    <w:rsid w:val="002E3490"/>
    <w:rsid w:val="002E35BC"/>
    <w:rsid w:val="002E4044"/>
    <w:rsid w:val="002E439C"/>
    <w:rsid w:val="002E5587"/>
    <w:rsid w:val="002E6F12"/>
    <w:rsid w:val="002F0160"/>
    <w:rsid w:val="002F3598"/>
    <w:rsid w:val="002F6F46"/>
    <w:rsid w:val="003016B7"/>
    <w:rsid w:val="00312203"/>
    <w:rsid w:val="00312703"/>
    <w:rsid w:val="00312BF2"/>
    <w:rsid w:val="00316754"/>
    <w:rsid w:val="00317AD2"/>
    <w:rsid w:val="00321E27"/>
    <w:rsid w:val="00322AC7"/>
    <w:rsid w:val="00330B61"/>
    <w:rsid w:val="003310CA"/>
    <w:rsid w:val="00336600"/>
    <w:rsid w:val="00336AB9"/>
    <w:rsid w:val="0033748B"/>
    <w:rsid w:val="003377B7"/>
    <w:rsid w:val="00340D37"/>
    <w:rsid w:val="00343106"/>
    <w:rsid w:val="00344CC4"/>
    <w:rsid w:val="00344CD6"/>
    <w:rsid w:val="00345EA2"/>
    <w:rsid w:val="003512A3"/>
    <w:rsid w:val="003515AA"/>
    <w:rsid w:val="00354A17"/>
    <w:rsid w:val="00354A48"/>
    <w:rsid w:val="00355D88"/>
    <w:rsid w:val="003577FB"/>
    <w:rsid w:val="00360113"/>
    <w:rsid w:val="0036318D"/>
    <w:rsid w:val="00363DF3"/>
    <w:rsid w:val="00363E7D"/>
    <w:rsid w:val="00365191"/>
    <w:rsid w:val="00367428"/>
    <w:rsid w:val="00370145"/>
    <w:rsid w:val="003717F6"/>
    <w:rsid w:val="003732FF"/>
    <w:rsid w:val="00374106"/>
    <w:rsid w:val="0037595E"/>
    <w:rsid w:val="00376BDB"/>
    <w:rsid w:val="00377E18"/>
    <w:rsid w:val="003805F3"/>
    <w:rsid w:val="00382806"/>
    <w:rsid w:val="00384187"/>
    <w:rsid w:val="00385276"/>
    <w:rsid w:val="003869DD"/>
    <w:rsid w:val="0039095C"/>
    <w:rsid w:val="00391198"/>
    <w:rsid w:val="00393BD5"/>
    <w:rsid w:val="003976D5"/>
    <w:rsid w:val="003A039D"/>
    <w:rsid w:val="003A0B14"/>
    <w:rsid w:val="003B0F4C"/>
    <w:rsid w:val="003B4514"/>
    <w:rsid w:val="003B48C2"/>
    <w:rsid w:val="003B4B9C"/>
    <w:rsid w:val="003B4EC5"/>
    <w:rsid w:val="003B59F0"/>
    <w:rsid w:val="003B5D87"/>
    <w:rsid w:val="003B7274"/>
    <w:rsid w:val="003B7F4C"/>
    <w:rsid w:val="003C12C8"/>
    <w:rsid w:val="003C3E5C"/>
    <w:rsid w:val="003C3F09"/>
    <w:rsid w:val="003C51A6"/>
    <w:rsid w:val="003C63DF"/>
    <w:rsid w:val="003C6C23"/>
    <w:rsid w:val="003D0B3C"/>
    <w:rsid w:val="003D2935"/>
    <w:rsid w:val="003D41C2"/>
    <w:rsid w:val="003D4B5F"/>
    <w:rsid w:val="003D5989"/>
    <w:rsid w:val="003D6C68"/>
    <w:rsid w:val="003D785D"/>
    <w:rsid w:val="003E0614"/>
    <w:rsid w:val="003E0E28"/>
    <w:rsid w:val="003E35A3"/>
    <w:rsid w:val="003E5877"/>
    <w:rsid w:val="003F04DD"/>
    <w:rsid w:val="003F0BF4"/>
    <w:rsid w:val="003F440C"/>
    <w:rsid w:val="003F5168"/>
    <w:rsid w:val="003F73D5"/>
    <w:rsid w:val="00401B61"/>
    <w:rsid w:val="0040454D"/>
    <w:rsid w:val="00404A8E"/>
    <w:rsid w:val="004056DD"/>
    <w:rsid w:val="00406497"/>
    <w:rsid w:val="004124EC"/>
    <w:rsid w:val="004125B5"/>
    <w:rsid w:val="00413447"/>
    <w:rsid w:val="00413DC8"/>
    <w:rsid w:val="004149DB"/>
    <w:rsid w:val="004159D0"/>
    <w:rsid w:val="00417112"/>
    <w:rsid w:val="004178DB"/>
    <w:rsid w:val="0042156C"/>
    <w:rsid w:val="004219B9"/>
    <w:rsid w:val="00424977"/>
    <w:rsid w:val="00424CAC"/>
    <w:rsid w:val="00425FD2"/>
    <w:rsid w:val="00430C31"/>
    <w:rsid w:val="00433D4E"/>
    <w:rsid w:val="004341E4"/>
    <w:rsid w:val="004362B8"/>
    <w:rsid w:val="00436A79"/>
    <w:rsid w:val="00437DF9"/>
    <w:rsid w:val="00443548"/>
    <w:rsid w:val="004445EB"/>
    <w:rsid w:val="0045032D"/>
    <w:rsid w:val="00450C13"/>
    <w:rsid w:val="00451AFD"/>
    <w:rsid w:val="00456CF2"/>
    <w:rsid w:val="00460995"/>
    <w:rsid w:val="00462DF2"/>
    <w:rsid w:val="00464EEE"/>
    <w:rsid w:val="00472F6C"/>
    <w:rsid w:val="004736E2"/>
    <w:rsid w:val="004765A6"/>
    <w:rsid w:val="00480607"/>
    <w:rsid w:val="004835CF"/>
    <w:rsid w:val="0048402B"/>
    <w:rsid w:val="004852EA"/>
    <w:rsid w:val="00485FBF"/>
    <w:rsid w:val="00492E13"/>
    <w:rsid w:val="004934A4"/>
    <w:rsid w:val="0049359C"/>
    <w:rsid w:val="00495A3C"/>
    <w:rsid w:val="004A1770"/>
    <w:rsid w:val="004B0235"/>
    <w:rsid w:val="004B2B8B"/>
    <w:rsid w:val="004B39C6"/>
    <w:rsid w:val="004B65D9"/>
    <w:rsid w:val="004D0D9B"/>
    <w:rsid w:val="004D16C4"/>
    <w:rsid w:val="004D29B3"/>
    <w:rsid w:val="004D3F04"/>
    <w:rsid w:val="004D4CBA"/>
    <w:rsid w:val="004D6217"/>
    <w:rsid w:val="004E1979"/>
    <w:rsid w:val="004E3EDC"/>
    <w:rsid w:val="004E5488"/>
    <w:rsid w:val="004F1A58"/>
    <w:rsid w:val="004F228D"/>
    <w:rsid w:val="004F3C20"/>
    <w:rsid w:val="004F4051"/>
    <w:rsid w:val="00500DEE"/>
    <w:rsid w:val="005047A6"/>
    <w:rsid w:val="00505716"/>
    <w:rsid w:val="00507151"/>
    <w:rsid w:val="00507161"/>
    <w:rsid w:val="0050724A"/>
    <w:rsid w:val="00523BD9"/>
    <w:rsid w:val="00525A11"/>
    <w:rsid w:val="0053355F"/>
    <w:rsid w:val="00536040"/>
    <w:rsid w:val="00537A3A"/>
    <w:rsid w:val="00540799"/>
    <w:rsid w:val="005431FF"/>
    <w:rsid w:val="00543D5E"/>
    <w:rsid w:val="00555CAB"/>
    <w:rsid w:val="00556BAC"/>
    <w:rsid w:val="0056111D"/>
    <w:rsid w:val="00561519"/>
    <w:rsid w:val="00565941"/>
    <w:rsid w:val="00566562"/>
    <w:rsid w:val="00570924"/>
    <w:rsid w:val="00571DB8"/>
    <w:rsid w:val="00571F41"/>
    <w:rsid w:val="005724B0"/>
    <w:rsid w:val="005756EC"/>
    <w:rsid w:val="005802FE"/>
    <w:rsid w:val="00582629"/>
    <w:rsid w:val="00582724"/>
    <w:rsid w:val="0058293E"/>
    <w:rsid w:val="00586759"/>
    <w:rsid w:val="00590207"/>
    <w:rsid w:val="00596178"/>
    <w:rsid w:val="005973D2"/>
    <w:rsid w:val="00597514"/>
    <w:rsid w:val="005A144C"/>
    <w:rsid w:val="005A3BEE"/>
    <w:rsid w:val="005A4AAD"/>
    <w:rsid w:val="005A5211"/>
    <w:rsid w:val="005A66B7"/>
    <w:rsid w:val="005A7DE1"/>
    <w:rsid w:val="005B0820"/>
    <w:rsid w:val="005B3B2A"/>
    <w:rsid w:val="005B6344"/>
    <w:rsid w:val="005B69A4"/>
    <w:rsid w:val="005B6EED"/>
    <w:rsid w:val="005C1C3F"/>
    <w:rsid w:val="005C5B14"/>
    <w:rsid w:val="005C5E4C"/>
    <w:rsid w:val="005C6986"/>
    <w:rsid w:val="005C7398"/>
    <w:rsid w:val="005C7D3B"/>
    <w:rsid w:val="005D0A0C"/>
    <w:rsid w:val="005D240E"/>
    <w:rsid w:val="005D7610"/>
    <w:rsid w:val="005E0E3D"/>
    <w:rsid w:val="005E4480"/>
    <w:rsid w:val="005E5D1F"/>
    <w:rsid w:val="005E5DF4"/>
    <w:rsid w:val="005F08FE"/>
    <w:rsid w:val="005F299F"/>
    <w:rsid w:val="005F49A5"/>
    <w:rsid w:val="005F7302"/>
    <w:rsid w:val="0060174F"/>
    <w:rsid w:val="00604A93"/>
    <w:rsid w:val="0061034D"/>
    <w:rsid w:val="0061097A"/>
    <w:rsid w:val="00611D43"/>
    <w:rsid w:val="00612D48"/>
    <w:rsid w:val="006165A4"/>
    <w:rsid w:val="00616B45"/>
    <w:rsid w:val="00616D72"/>
    <w:rsid w:val="00624284"/>
    <w:rsid w:val="006258FF"/>
    <w:rsid w:val="0062713F"/>
    <w:rsid w:val="0063083E"/>
    <w:rsid w:val="00630AEE"/>
    <w:rsid w:val="00630D9B"/>
    <w:rsid w:val="00631953"/>
    <w:rsid w:val="00631EB0"/>
    <w:rsid w:val="0063240A"/>
    <w:rsid w:val="006326D6"/>
    <w:rsid w:val="006328F3"/>
    <w:rsid w:val="00635207"/>
    <w:rsid w:val="006356B7"/>
    <w:rsid w:val="006378FC"/>
    <w:rsid w:val="00640C16"/>
    <w:rsid w:val="00641240"/>
    <w:rsid w:val="006431D4"/>
    <w:rsid w:val="006439EC"/>
    <w:rsid w:val="00644499"/>
    <w:rsid w:val="006529FB"/>
    <w:rsid w:val="0065778B"/>
    <w:rsid w:val="00661905"/>
    <w:rsid w:val="006619E0"/>
    <w:rsid w:val="00661ABD"/>
    <w:rsid w:val="00661AD1"/>
    <w:rsid w:val="00663CF0"/>
    <w:rsid w:val="0066761D"/>
    <w:rsid w:val="00672254"/>
    <w:rsid w:val="006744F7"/>
    <w:rsid w:val="0067463C"/>
    <w:rsid w:val="00677B7E"/>
    <w:rsid w:val="00677EE3"/>
    <w:rsid w:val="00681845"/>
    <w:rsid w:val="00686B49"/>
    <w:rsid w:val="00686ED0"/>
    <w:rsid w:val="0068746F"/>
    <w:rsid w:val="00693768"/>
    <w:rsid w:val="006965FF"/>
    <w:rsid w:val="00696CF4"/>
    <w:rsid w:val="0069746C"/>
    <w:rsid w:val="006A2D57"/>
    <w:rsid w:val="006A4200"/>
    <w:rsid w:val="006A526C"/>
    <w:rsid w:val="006A5FA3"/>
    <w:rsid w:val="006A695E"/>
    <w:rsid w:val="006B210F"/>
    <w:rsid w:val="006B2764"/>
    <w:rsid w:val="006B3BD0"/>
    <w:rsid w:val="006B4590"/>
    <w:rsid w:val="006B5D49"/>
    <w:rsid w:val="006C1AFA"/>
    <w:rsid w:val="006C340C"/>
    <w:rsid w:val="006C54DE"/>
    <w:rsid w:val="006C5A00"/>
    <w:rsid w:val="006C6341"/>
    <w:rsid w:val="006C6FBB"/>
    <w:rsid w:val="006D1CAF"/>
    <w:rsid w:val="006D4BA8"/>
    <w:rsid w:val="006D66B8"/>
    <w:rsid w:val="006E49AE"/>
    <w:rsid w:val="006F13F4"/>
    <w:rsid w:val="006F59B7"/>
    <w:rsid w:val="006F5D89"/>
    <w:rsid w:val="006F6BD7"/>
    <w:rsid w:val="0070029F"/>
    <w:rsid w:val="00700725"/>
    <w:rsid w:val="00700800"/>
    <w:rsid w:val="007023B7"/>
    <w:rsid w:val="007027E2"/>
    <w:rsid w:val="0070347C"/>
    <w:rsid w:val="00704E7E"/>
    <w:rsid w:val="00706517"/>
    <w:rsid w:val="00713BE7"/>
    <w:rsid w:val="00716051"/>
    <w:rsid w:val="007176C1"/>
    <w:rsid w:val="007215AA"/>
    <w:rsid w:val="00722823"/>
    <w:rsid w:val="007235D7"/>
    <w:rsid w:val="0072568E"/>
    <w:rsid w:val="00726D2B"/>
    <w:rsid w:val="00730620"/>
    <w:rsid w:val="0073079A"/>
    <w:rsid w:val="00737A35"/>
    <w:rsid w:val="00741586"/>
    <w:rsid w:val="007429D6"/>
    <w:rsid w:val="00743735"/>
    <w:rsid w:val="0075156A"/>
    <w:rsid w:val="00752407"/>
    <w:rsid w:val="00752860"/>
    <w:rsid w:val="00755C6B"/>
    <w:rsid w:val="00757132"/>
    <w:rsid w:val="00763DEC"/>
    <w:rsid w:val="00763EBE"/>
    <w:rsid w:val="0076701F"/>
    <w:rsid w:val="007675AA"/>
    <w:rsid w:val="00772949"/>
    <w:rsid w:val="007741CB"/>
    <w:rsid w:val="00775494"/>
    <w:rsid w:val="007756CB"/>
    <w:rsid w:val="007757AD"/>
    <w:rsid w:val="00775B22"/>
    <w:rsid w:val="0077663D"/>
    <w:rsid w:val="00777291"/>
    <w:rsid w:val="007824C2"/>
    <w:rsid w:val="007853D7"/>
    <w:rsid w:val="00790D7C"/>
    <w:rsid w:val="0079209F"/>
    <w:rsid w:val="007923D2"/>
    <w:rsid w:val="007978D3"/>
    <w:rsid w:val="007A761A"/>
    <w:rsid w:val="007B07A4"/>
    <w:rsid w:val="007B41D2"/>
    <w:rsid w:val="007B4241"/>
    <w:rsid w:val="007B4677"/>
    <w:rsid w:val="007B6C13"/>
    <w:rsid w:val="007C14AF"/>
    <w:rsid w:val="007C1D92"/>
    <w:rsid w:val="007C4E49"/>
    <w:rsid w:val="007D002E"/>
    <w:rsid w:val="007E213F"/>
    <w:rsid w:val="007E26BB"/>
    <w:rsid w:val="007E2CD6"/>
    <w:rsid w:val="007E2EF8"/>
    <w:rsid w:val="007E5C38"/>
    <w:rsid w:val="007F24E6"/>
    <w:rsid w:val="007F55CB"/>
    <w:rsid w:val="007F78C2"/>
    <w:rsid w:val="00800BD3"/>
    <w:rsid w:val="00800DE5"/>
    <w:rsid w:val="00801C49"/>
    <w:rsid w:val="0081030C"/>
    <w:rsid w:val="008121DD"/>
    <w:rsid w:val="00812345"/>
    <w:rsid w:val="00813591"/>
    <w:rsid w:val="008138F2"/>
    <w:rsid w:val="00813C85"/>
    <w:rsid w:val="008250FF"/>
    <w:rsid w:val="008331ED"/>
    <w:rsid w:val="00833FFC"/>
    <w:rsid w:val="00840322"/>
    <w:rsid w:val="00842442"/>
    <w:rsid w:val="008431F8"/>
    <w:rsid w:val="00843CCD"/>
    <w:rsid w:val="00844195"/>
    <w:rsid w:val="00844750"/>
    <w:rsid w:val="00847067"/>
    <w:rsid w:val="00851F55"/>
    <w:rsid w:val="00854470"/>
    <w:rsid w:val="008550B8"/>
    <w:rsid w:val="0085668A"/>
    <w:rsid w:val="008640B2"/>
    <w:rsid w:val="00866EA2"/>
    <w:rsid w:val="00870E37"/>
    <w:rsid w:val="00873427"/>
    <w:rsid w:val="008735C3"/>
    <w:rsid w:val="00873B3C"/>
    <w:rsid w:val="00875D9D"/>
    <w:rsid w:val="008765E0"/>
    <w:rsid w:val="00876884"/>
    <w:rsid w:val="00876ABA"/>
    <w:rsid w:val="008813A8"/>
    <w:rsid w:val="00881FBF"/>
    <w:rsid w:val="0088659D"/>
    <w:rsid w:val="00890827"/>
    <w:rsid w:val="00890C60"/>
    <w:rsid w:val="0089121B"/>
    <w:rsid w:val="00893066"/>
    <w:rsid w:val="00895171"/>
    <w:rsid w:val="008A2A1B"/>
    <w:rsid w:val="008A41D5"/>
    <w:rsid w:val="008B43CB"/>
    <w:rsid w:val="008B44C4"/>
    <w:rsid w:val="008B7C70"/>
    <w:rsid w:val="008C0B22"/>
    <w:rsid w:val="008C157C"/>
    <w:rsid w:val="008C29AE"/>
    <w:rsid w:val="008C3F84"/>
    <w:rsid w:val="008C42D4"/>
    <w:rsid w:val="008C4605"/>
    <w:rsid w:val="008C5AA9"/>
    <w:rsid w:val="008C78D3"/>
    <w:rsid w:val="008D09C5"/>
    <w:rsid w:val="008D383D"/>
    <w:rsid w:val="008D7148"/>
    <w:rsid w:val="008D744E"/>
    <w:rsid w:val="008D7D63"/>
    <w:rsid w:val="008E33EA"/>
    <w:rsid w:val="008E491C"/>
    <w:rsid w:val="008E629E"/>
    <w:rsid w:val="008E7551"/>
    <w:rsid w:val="008E7FAE"/>
    <w:rsid w:val="008F43F2"/>
    <w:rsid w:val="0090086E"/>
    <w:rsid w:val="00900EA4"/>
    <w:rsid w:val="00903FEE"/>
    <w:rsid w:val="00904063"/>
    <w:rsid w:val="00904E74"/>
    <w:rsid w:val="00906A39"/>
    <w:rsid w:val="00910930"/>
    <w:rsid w:val="00910B3B"/>
    <w:rsid w:val="00910E2E"/>
    <w:rsid w:val="00911BF7"/>
    <w:rsid w:val="00913CEB"/>
    <w:rsid w:val="009159E1"/>
    <w:rsid w:val="0092452B"/>
    <w:rsid w:val="009305DA"/>
    <w:rsid w:val="009329A6"/>
    <w:rsid w:val="009331F0"/>
    <w:rsid w:val="009338AA"/>
    <w:rsid w:val="00934EB7"/>
    <w:rsid w:val="009405AC"/>
    <w:rsid w:val="00941E82"/>
    <w:rsid w:val="009444BB"/>
    <w:rsid w:val="00946436"/>
    <w:rsid w:val="00947617"/>
    <w:rsid w:val="00947683"/>
    <w:rsid w:val="00947FAF"/>
    <w:rsid w:val="0095014C"/>
    <w:rsid w:val="0095285F"/>
    <w:rsid w:val="00954B47"/>
    <w:rsid w:val="00957CC1"/>
    <w:rsid w:val="00964A1D"/>
    <w:rsid w:val="00966C05"/>
    <w:rsid w:val="009702AD"/>
    <w:rsid w:val="00974BDE"/>
    <w:rsid w:val="00976A8D"/>
    <w:rsid w:val="009770C6"/>
    <w:rsid w:val="00977EC8"/>
    <w:rsid w:val="00980858"/>
    <w:rsid w:val="00980C9B"/>
    <w:rsid w:val="00983552"/>
    <w:rsid w:val="00984ABA"/>
    <w:rsid w:val="00992070"/>
    <w:rsid w:val="0099250E"/>
    <w:rsid w:val="009940D4"/>
    <w:rsid w:val="009A1DA8"/>
    <w:rsid w:val="009A2A0F"/>
    <w:rsid w:val="009B0618"/>
    <w:rsid w:val="009B3BA1"/>
    <w:rsid w:val="009C4E45"/>
    <w:rsid w:val="009C6159"/>
    <w:rsid w:val="009D1021"/>
    <w:rsid w:val="009D1785"/>
    <w:rsid w:val="009D3A8C"/>
    <w:rsid w:val="009D41FF"/>
    <w:rsid w:val="009D63A6"/>
    <w:rsid w:val="009D6455"/>
    <w:rsid w:val="009D6A21"/>
    <w:rsid w:val="009D733E"/>
    <w:rsid w:val="009D7E88"/>
    <w:rsid w:val="009E1245"/>
    <w:rsid w:val="009E1DBB"/>
    <w:rsid w:val="009E2278"/>
    <w:rsid w:val="009E7956"/>
    <w:rsid w:val="009F28A6"/>
    <w:rsid w:val="009F4173"/>
    <w:rsid w:val="009F5F3C"/>
    <w:rsid w:val="009F782E"/>
    <w:rsid w:val="00A016C5"/>
    <w:rsid w:val="00A115F1"/>
    <w:rsid w:val="00A13E8A"/>
    <w:rsid w:val="00A14410"/>
    <w:rsid w:val="00A1749C"/>
    <w:rsid w:val="00A246DC"/>
    <w:rsid w:val="00A2492E"/>
    <w:rsid w:val="00A25F03"/>
    <w:rsid w:val="00A26652"/>
    <w:rsid w:val="00A267C6"/>
    <w:rsid w:val="00A307B7"/>
    <w:rsid w:val="00A31EE1"/>
    <w:rsid w:val="00A337B1"/>
    <w:rsid w:val="00A35CF4"/>
    <w:rsid w:val="00A37980"/>
    <w:rsid w:val="00A402A4"/>
    <w:rsid w:val="00A419BE"/>
    <w:rsid w:val="00A459E6"/>
    <w:rsid w:val="00A52239"/>
    <w:rsid w:val="00A52F4A"/>
    <w:rsid w:val="00A5617D"/>
    <w:rsid w:val="00A574B7"/>
    <w:rsid w:val="00A607DC"/>
    <w:rsid w:val="00A63DB2"/>
    <w:rsid w:val="00A6604B"/>
    <w:rsid w:val="00A70805"/>
    <w:rsid w:val="00A720C2"/>
    <w:rsid w:val="00A771F5"/>
    <w:rsid w:val="00A81EFB"/>
    <w:rsid w:val="00A82A4A"/>
    <w:rsid w:val="00A85BF5"/>
    <w:rsid w:val="00AA3876"/>
    <w:rsid w:val="00AA7964"/>
    <w:rsid w:val="00AB07F8"/>
    <w:rsid w:val="00AB3B53"/>
    <w:rsid w:val="00AB4390"/>
    <w:rsid w:val="00AB4977"/>
    <w:rsid w:val="00AB4C10"/>
    <w:rsid w:val="00AB51C8"/>
    <w:rsid w:val="00AC6468"/>
    <w:rsid w:val="00AC66E2"/>
    <w:rsid w:val="00AC67A1"/>
    <w:rsid w:val="00AC7977"/>
    <w:rsid w:val="00AD0CCC"/>
    <w:rsid w:val="00AD4222"/>
    <w:rsid w:val="00AD4CA6"/>
    <w:rsid w:val="00AD59C1"/>
    <w:rsid w:val="00AE02B9"/>
    <w:rsid w:val="00AE1F41"/>
    <w:rsid w:val="00AE2042"/>
    <w:rsid w:val="00AE2819"/>
    <w:rsid w:val="00AE352C"/>
    <w:rsid w:val="00AE41D4"/>
    <w:rsid w:val="00AE6214"/>
    <w:rsid w:val="00AE6FD1"/>
    <w:rsid w:val="00AF1CE8"/>
    <w:rsid w:val="00AF3F5A"/>
    <w:rsid w:val="00AF5834"/>
    <w:rsid w:val="00AF6036"/>
    <w:rsid w:val="00B0076E"/>
    <w:rsid w:val="00B027D8"/>
    <w:rsid w:val="00B0589A"/>
    <w:rsid w:val="00B0725B"/>
    <w:rsid w:val="00B07F85"/>
    <w:rsid w:val="00B11F3E"/>
    <w:rsid w:val="00B15DFE"/>
    <w:rsid w:val="00B15FFE"/>
    <w:rsid w:val="00B1775D"/>
    <w:rsid w:val="00B20C0B"/>
    <w:rsid w:val="00B21E9A"/>
    <w:rsid w:val="00B21F9B"/>
    <w:rsid w:val="00B260FF"/>
    <w:rsid w:val="00B32E2D"/>
    <w:rsid w:val="00B3323D"/>
    <w:rsid w:val="00B355AE"/>
    <w:rsid w:val="00B40FC1"/>
    <w:rsid w:val="00B42D1B"/>
    <w:rsid w:val="00B4413B"/>
    <w:rsid w:val="00B45314"/>
    <w:rsid w:val="00B45F55"/>
    <w:rsid w:val="00B51B7E"/>
    <w:rsid w:val="00B56D99"/>
    <w:rsid w:val="00B57890"/>
    <w:rsid w:val="00B57E5A"/>
    <w:rsid w:val="00B61990"/>
    <w:rsid w:val="00B65276"/>
    <w:rsid w:val="00B658A6"/>
    <w:rsid w:val="00B666D1"/>
    <w:rsid w:val="00B72B9B"/>
    <w:rsid w:val="00B74F3D"/>
    <w:rsid w:val="00B7593B"/>
    <w:rsid w:val="00B8066B"/>
    <w:rsid w:val="00B82076"/>
    <w:rsid w:val="00B83F2F"/>
    <w:rsid w:val="00B848CE"/>
    <w:rsid w:val="00B84FA7"/>
    <w:rsid w:val="00B859F6"/>
    <w:rsid w:val="00B92807"/>
    <w:rsid w:val="00BA15D8"/>
    <w:rsid w:val="00BA595C"/>
    <w:rsid w:val="00BB1A00"/>
    <w:rsid w:val="00BB3C47"/>
    <w:rsid w:val="00BB54BC"/>
    <w:rsid w:val="00BB5D2F"/>
    <w:rsid w:val="00BB6941"/>
    <w:rsid w:val="00BC203A"/>
    <w:rsid w:val="00BC221F"/>
    <w:rsid w:val="00BD0BF0"/>
    <w:rsid w:val="00BD19D9"/>
    <w:rsid w:val="00BD2521"/>
    <w:rsid w:val="00BD29DF"/>
    <w:rsid w:val="00BD30D0"/>
    <w:rsid w:val="00BD5CB2"/>
    <w:rsid w:val="00BE062D"/>
    <w:rsid w:val="00BE136D"/>
    <w:rsid w:val="00BE1E1F"/>
    <w:rsid w:val="00BE3FBA"/>
    <w:rsid w:val="00BF0556"/>
    <w:rsid w:val="00BF60DC"/>
    <w:rsid w:val="00C00B8E"/>
    <w:rsid w:val="00C00DFE"/>
    <w:rsid w:val="00C00E02"/>
    <w:rsid w:val="00C04E3C"/>
    <w:rsid w:val="00C06943"/>
    <w:rsid w:val="00C10B75"/>
    <w:rsid w:val="00C12192"/>
    <w:rsid w:val="00C12EDA"/>
    <w:rsid w:val="00C161E4"/>
    <w:rsid w:val="00C20E8A"/>
    <w:rsid w:val="00C21D6C"/>
    <w:rsid w:val="00C232DF"/>
    <w:rsid w:val="00C236C4"/>
    <w:rsid w:val="00C24B04"/>
    <w:rsid w:val="00C24E9D"/>
    <w:rsid w:val="00C25994"/>
    <w:rsid w:val="00C261F8"/>
    <w:rsid w:val="00C31089"/>
    <w:rsid w:val="00C31CBA"/>
    <w:rsid w:val="00C33100"/>
    <w:rsid w:val="00C343E1"/>
    <w:rsid w:val="00C34CBD"/>
    <w:rsid w:val="00C3576C"/>
    <w:rsid w:val="00C42141"/>
    <w:rsid w:val="00C42AE8"/>
    <w:rsid w:val="00C44EC8"/>
    <w:rsid w:val="00C45FBD"/>
    <w:rsid w:val="00C4713B"/>
    <w:rsid w:val="00C53334"/>
    <w:rsid w:val="00C5334A"/>
    <w:rsid w:val="00C546C3"/>
    <w:rsid w:val="00C54C3E"/>
    <w:rsid w:val="00C63208"/>
    <w:rsid w:val="00C67AE3"/>
    <w:rsid w:val="00C732DB"/>
    <w:rsid w:val="00C80551"/>
    <w:rsid w:val="00C806C1"/>
    <w:rsid w:val="00C82299"/>
    <w:rsid w:val="00C83259"/>
    <w:rsid w:val="00C83FE0"/>
    <w:rsid w:val="00C87AA2"/>
    <w:rsid w:val="00C92204"/>
    <w:rsid w:val="00C92221"/>
    <w:rsid w:val="00C964CE"/>
    <w:rsid w:val="00CA265A"/>
    <w:rsid w:val="00CA4D98"/>
    <w:rsid w:val="00CA6A02"/>
    <w:rsid w:val="00CB000D"/>
    <w:rsid w:val="00CB14BB"/>
    <w:rsid w:val="00CB529A"/>
    <w:rsid w:val="00CB6CD2"/>
    <w:rsid w:val="00CB7D2F"/>
    <w:rsid w:val="00CC1441"/>
    <w:rsid w:val="00CC1450"/>
    <w:rsid w:val="00CC1F5D"/>
    <w:rsid w:val="00CC3568"/>
    <w:rsid w:val="00CC3CAA"/>
    <w:rsid w:val="00CC6E56"/>
    <w:rsid w:val="00CD1A71"/>
    <w:rsid w:val="00CD1FBB"/>
    <w:rsid w:val="00CD621D"/>
    <w:rsid w:val="00CE08E0"/>
    <w:rsid w:val="00CE380E"/>
    <w:rsid w:val="00CE42E9"/>
    <w:rsid w:val="00CE479C"/>
    <w:rsid w:val="00CE4D53"/>
    <w:rsid w:val="00CE58AF"/>
    <w:rsid w:val="00CF06C5"/>
    <w:rsid w:val="00CF6AF8"/>
    <w:rsid w:val="00CF7065"/>
    <w:rsid w:val="00D016B5"/>
    <w:rsid w:val="00D034F1"/>
    <w:rsid w:val="00D07982"/>
    <w:rsid w:val="00D10BC2"/>
    <w:rsid w:val="00D11B94"/>
    <w:rsid w:val="00D12427"/>
    <w:rsid w:val="00D134FE"/>
    <w:rsid w:val="00D22F3A"/>
    <w:rsid w:val="00D25771"/>
    <w:rsid w:val="00D27D5E"/>
    <w:rsid w:val="00D330A1"/>
    <w:rsid w:val="00D35539"/>
    <w:rsid w:val="00D35B2D"/>
    <w:rsid w:val="00D4307B"/>
    <w:rsid w:val="00D479B4"/>
    <w:rsid w:val="00D57534"/>
    <w:rsid w:val="00D60275"/>
    <w:rsid w:val="00D62C71"/>
    <w:rsid w:val="00D6496F"/>
    <w:rsid w:val="00D64EB8"/>
    <w:rsid w:val="00D7048E"/>
    <w:rsid w:val="00D723FE"/>
    <w:rsid w:val="00D758CD"/>
    <w:rsid w:val="00D7726D"/>
    <w:rsid w:val="00D8037B"/>
    <w:rsid w:val="00D821D6"/>
    <w:rsid w:val="00D82D93"/>
    <w:rsid w:val="00D86B74"/>
    <w:rsid w:val="00D8769A"/>
    <w:rsid w:val="00D87B6C"/>
    <w:rsid w:val="00D94C4C"/>
    <w:rsid w:val="00D96F91"/>
    <w:rsid w:val="00D97C8D"/>
    <w:rsid w:val="00DA0899"/>
    <w:rsid w:val="00DA0A10"/>
    <w:rsid w:val="00DA4476"/>
    <w:rsid w:val="00DA4FB1"/>
    <w:rsid w:val="00DA526F"/>
    <w:rsid w:val="00DA73FE"/>
    <w:rsid w:val="00DB31A0"/>
    <w:rsid w:val="00DB4750"/>
    <w:rsid w:val="00DB552F"/>
    <w:rsid w:val="00DC109C"/>
    <w:rsid w:val="00DC22E0"/>
    <w:rsid w:val="00DC4238"/>
    <w:rsid w:val="00DC4641"/>
    <w:rsid w:val="00DD3A03"/>
    <w:rsid w:val="00DD6C0A"/>
    <w:rsid w:val="00DD77A4"/>
    <w:rsid w:val="00DE2AF4"/>
    <w:rsid w:val="00DE6D90"/>
    <w:rsid w:val="00DF002F"/>
    <w:rsid w:val="00DF0CF1"/>
    <w:rsid w:val="00DF2F20"/>
    <w:rsid w:val="00E003BF"/>
    <w:rsid w:val="00E00849"/>
    <w:rsid w:val="00E014AD"/>
    <w:rsid w:val="00E0237B"/>
    <w:rsid w:val="00E0244D"/>
    <w:rsid w:val="00E026F3"/>
    <w:rsid w:val="00E05FD8"/>
    <w:rsid w:val="00E12A66"/>
    <w:rsid w:val="00E12ABD"/>
    <w:rsid w:val="00E14E4D"/>
    <w:rsid w:val="00E165C7"/>
    <w:rsid w:val="00E16DC5"/>
    <w:rsid w:val="00E205E7"/>
    <w:rsid w:val="00E2123C"/>
    <w:rsid w:val="00E21C21"/>
    <w:rsid w:val="00E27274"/>
    <w:rsid w:val="00E30F53"/>
    <w:rsid w:val="00E31CF2"/>
    <w:rsid w:val="00E34540"/>
    <w:rsid w:val="00E35D8F"/>
    <w:rsid w:val="00E37883"/>
    <w:rsid w:val="00E4240F"/>
    <w:rsid w:val="00E430E2"/>
    <w:rsid w:val="00E433DF"/>
    <w:rsid w:val="00E44F8A"/>
    <w:rsid w:val="00E45F01"/>
    <w:rsid w:val="00E52A69"/>
    <w:rsid w:val="00E5690A"/>
    <w:rsid w:val="00E62D46"/>
    <w:rsid w:val="00E63E2C"/>
    <w:rsid w:val="00E63ECB"/>
    <w:rsid w:val="00E67F07"/>
    <w:rsid w:val="00E7117B"/>
    <w:rsid w:val="00E72F9B"/>
    <w:rsid w:val="00E7325B"/>
    <w:rsid w:val="00E804F1"/>
    <w:rsid w:val="00E81E94"/>
    <w:rsid w:val="00E8242A"/>
    <w:rsid w:val="00E82607"/>
    <w:rsid w:val="00E8742D"/>
    <w:rsid w:val="00E939B5"/>
    <w:rsid w:val="00E93CCA"/>
    <w:rsid w:val="00EA11A6"/>
    <w:rsid w:val="00EA1204"/>
    <w:rsid w:val="00EA7364"/>
    <w:rsid w:val="00EB0D87"/>
    <w:rsid w:val="00EB1D98"/>
    <w:rsid w:val="00EB2942"/>
    <w:rsid w:val="00EB2FAB"/>
    <w:rsid w:val="00EB56BD"/>
    <w:rsid w:val="00EC1265"/>
    <w:rsid w:val="00EC6216"/>
    <w:rsid w:val="00ED1976"/>
    <w:rsid w:val="00ED252A"/>
    <w:rsid w:val="00ED2FEA"/>
    <w:rsid w:val="00ED394B"/>
    <w:rsid w:val="00ED4BFA"/>
    <w:rsid w:val="00ED5D4F"/>
    <w:rsid w:val="00ED6FC5"/>
    <w:rsid w:val="00EE17AF"/>
    <w:rsid w:val="00EE69E8"/>
    <w:rsid w:val="00EE6F2A"/>
    <w:rsid w:val="00EF14CC"/>
    <w:rsid w:val="00EF25D8"/>
    <w:rsid w:val="00EF2B47"/>
    <w:rsid w:val="00EF3EF5"/>
    <w:rsid w:val="00EF47B8"/>
    <w:rsid w:val="00EF53EA"/>
    <w:rsid w:val="00EF5431"/>
    <w:rsid w:val="00F00502"/>
    <w:rsid w:val="00F00C9B"/>
    <w:rsid w:val="00F021F7"/>
    <w:rsid w:val="00F038AE"/>
    <w:rsid w:val="00F04364"/>
    <w:rsid w:val="00F10B1D"/>
    <w:rsid w:val="00F1173C"/>
    <w:rsid w:val="00F12AAB"/>
    <w:rsid w:val="00F14A23"/>
    <w:rsid w:val="00F229FE"/>
    <w:rsid w:val="00F26E14"/>
    <w:rsid w:val="00F37CF7"/>
    <w:rsid w:val="00F401A5"/>
    <w:rsid w:val="00F41764"/>
    <w:rsid w:val="00F435F9"/>
    <w:rsid w:val="00F43DAA"/>
    <w:rsid w:val="00F45C5D"/>
    <w:rsid w:val="00F464B4"/>
    <w:rsid w:val="00F51082"/>
    <w:rsid w:val="00F51331"/>
    <w:rsid w:val="00F51AA4"/>
    <w:rsid w:val="00F5275C"/>
    <w:rsid w:val="00F543F3"/>
    <w:rsid w:val="00F54738"/>
    <w:rsid w:val="00F55D74"/>
    <w:rsid w:val="00F56980"/>
    <w:rsid w:val="00F63E9F"/>
    <w:rsid w:val="00F6423F"/>
    <w:rsid w:val="00F71B6D"/>
    <w:rsid w:val="00F74A9E"/>
    <w:rsid w:val="00F754ED"/>
    <w:rsid w:val="00F756AB"/>
    <w:rsid w:val="00F80031"/>
    <w:rsid w:val="00F807EF"/>
    <w:rsid w:val="00F81152"/>
    <w:rsid w:val="00F84ED2"/>
    <w:rsid w:val="00F867B1"/>
    <w:rsid w:val="00F87129"/>
    <w:rsid w:val="00F90856"/>
    <w:rsid w:val="00F93133"/>
    <w:rsid w:val="00F953B4"/>
    <w:rsid w:val="00F967FE"/>
    <w:rsid w:val="00FA00F7"/>
    <w:rsid w:val="00FA199B"/>
    <w:rsid w:val="00FA2934"/>
    <w:rsid w:val="00FA5A79"/>
    <w:rsid w:val="00FA7AB7"/>
    <w:rsid w:val="00FB0BFE"/>
    <w:rsid w:val="00FB0C1B"/>
    <w:rsid w:val="00FB1F1F"/>
    <w:rsid w:val="00FB2990"/>
    <w:rsid w:val="00FB411A"/>
    <w:rsid w:val="00FB4C51"/>
    <w:rsid w:val="00FB5076"/>
    <w:rsid w:val="00FB5929"/>
    <w:rsid w:val="00FB6673"/>
    <w:rsid w:val="00FC1527"/>
    <w:rsid w:val="00FC7A32"/>
    <w:rsid w:val="00FC7FC6"/>
    <w:rsid w:val="00FD0619"/>
    <w:rsid w:val="00FD2002"/>
    <w:rsid w:val="00FD64A2"/>
    <w:rsid w:val="00FE06B3"/>
    <w:rsid w:val="00FE1A9B"/>
    <w:rsid w:val="00FE5A42"/>
    <w:rsid w:val="00FE7ED2"/>
    <w:rsid w:val="00FF11A6"/>
    <w:rsid w:val="00FF1DBD"/>
    <w:rsid w:val="00FF20F5"/>
    <w:rsid w:val="00FF22B1"/>
    <w:rsid w:val="00FF3239"/>
    <w:rsid w:val="00FF3BC7"/>
    <w:rsid w:val="00FF4C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14:docId w14:val="3562DCE7"/>
  <w15:docId w15:val="{2C1D6DE8-9D2D-42E9-9226-D76E832B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17F6"/>
    <w:pPr>
      <w:suppressAutoHyphens/>
      <w:spacing w:line="240" w:lineRule="atLeast"/>
    </w:pPr>
    <w:rPr>
      <w:lang w:val="fr-CH"/>
    </w:rPr>
  </w:style>
  <w:style w:type="paragraph" w:styleId="Heading1">
    <w:name w:val="heading 1"/>
    <w:aliases w:val="Table_G"/>
    <w:basedOn w:val="SingleTxtG"/>
    <w:next w:val="SingleTxtG"/>
    <w:qFormat/>
    <w:rsid w:val="00EB0D87"/>
    <w:pPr>
      <w:keepNext/>
      <w:keepLines/>
      <w:spacing w:after="0" w:line="240" w:lineRule="auto"/>
      <w:ind w:right="0"/>
      <w:jc w:val="left"/>
      <w:outlineLvl w:val="0"/>
    </w:pPr>
  </w:style>
  <w:style w:type="paragraph" w:styleId="Heading2">
    <w:name w:val="heading 2"/>
    <w:basedOn w:val="Normal"/>
    <w:next w:val="Normal"/>
    <w:qFormat/>
    <w:rsid w:val="00EB0D87"/>
    <w:pPr>
      <w:outlineLvl w:val="1"/>
    </w:pPr>
  </w:style>
  <w:style w:type="paragraph" w:styleId="Heading3">
    <w:name w:val="heading 3"/>
    <w:basedOn w:val="Normal"/>
    <w:next w:val="Normal"/>
    <w:qFormat/>
    <w:rsid w:val="00EB0D87"/>
    <w:pPr>
      <w:outlineLvl w:val="2"/>
    </w:pPr>
  </w:style>
  <w:style w:type="paragraph" w:styleId="Heading4">
    <w:name w:val="heading 4"/>
    <w:basedOn w:val="Normal"/>
    <w:next w:val="Normal"/>
    <w:qFormat/>
    <w:rsid w:val="00EB0D87"/>
    <w:pPr>
      <w:outlineLvl w:val="3"/>
    </w:pPr>
  </w:style>
  <w:style w:type="paragraph" w:styleId="Heading5">
    <w:name w:val="heading 5"/>
    <w:basedOn w:val="Normal"/>
    <w:next w:val="Normal"/>
    <w:qFormat/>
    <w:rsid w:val="00EB0D87"/>
    <w:pPr>
      <w:outlineLvl w:val="4"/>
    </w:pPr>
  </w:style>
  <w:style w:type="paragraph" w:styleId="Heading6">
    <w:name w:val="heading 6"/>
    <w:basedOn w:val="Normal"/>
    <w:next w:val="Normal"/>
    <w:qFormat/>
    <w:rsid w:val="00EB0D87"/>
    <w:pPr>
      <w:outlineLvl w:val="5"/>
    </w:pPr>
  </w:style>
  <w:style w:type="paragraph" w:styleId="Heading7">
    <w:name w:val="heading 7"/>
    <w:basedOn w:val="Normal"/>
    <w:next w:val="Normal"/>
    <w:qFormat/>
    <w:rsid w:val="00EB0D87"/>
    <w:pPr>
      <w:outlineLvl w:val="6"/>
    </w:pPr>
  </w:style>
  <w:style w:type="paragraph" w:styleId="Heading8">
    <w:name w:val="heading 8"/>
    <w:basedOn w:val="Normal"/>
    <w:next w:val="Normal"/>
    <w:qFormat/>
    <w:rsid w:val="00EB0D87"/>
    <w:pPr>
      <w:outlineLvl w:val="7"/>
    </w:pPr>
  </w:style>
  <w:style w:type="paragraph" w:styleId="Heading9">
    <w:name w:val="heading 9"/>
    <w:basedOn w:val="Normal"/>
    <w:next w:val="Normal"/>
    <w:qFormat/>
    <w:rsid w:val="00EB0D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2_G"/>
    <w:basedOn w:val="FootnoteText"/>
    <w:rsid w:val="00EB0D87"/>
  </w:style>
  <w:style w:type="paragraph" w:styleId="Footer">
    <w:name w:val="footer"/>
    <w:aliases w:val="3_G"/>
    <w:basedOn w:val="Normal"/>
    <w:next w:val="Normal"/>
    <w:rsid w:val="00EB0D87"/>
    <w:pPr>
      <w:spacing w:line="240" w:lineRule="auto"/>
    </w:pPr>
    <w:rPr>
      <w:sz w:val="16"/>
    </w:rPr>
  </w:style>
  <w:style w:type="paragraph" w:customStyle="1" w:styleId="Rom1">
    <w:name w:val="Rom1"/>
    <w:basedOn w:val="SingleTxtG"/>
    <w:semiHidden/>
    <w:pPr>
      <w:numPr>
        <w:numId w:val="1"/>
      </w:numPr>
      <w:tabs>
        <w:tab w:val="clear" w:pos="1440"/>
      </w:tabs>
      <w:ind w:left="2268" w:hanging="397"/>
    </w:pPr>
  </w:style>
  <w:style w:type="paragraph" w:customStyle="1" w:styleId="Rom2">
    <w:name w:val="Rom2"/>
    <w:basedOn w:val="SingleTxtG"/>
    <w:semiHidden/>
    <w:pPr>
      <w:numPr>
        <w:numId w:val="2"/>
      </w:numPr>
      <w:tabs>
        <w:tab w:val="clear" w:pos="2160"/>
      </w:tabs>
      <w:ind w:left="2835" w:hanging="397"/>
    </w:pPr>
  </w:style>
  <w:style w:type="paragraph" w:customStyle="1" w:styleId="Agendaitem1">
    <w:name w:val="Agenda item 1"/>
    <w:basedOn w:val="Normal"/>
    <w:rsid w:val="00693768"/>
    <w:pPr>
      <w:numPr>
        <w:numId w:val="18"/>
      </w:numPr>
      <w:suppressAutoHyphens w:val="0"/>
      <w:snapToGrid w:val="0"/>
      <w:spacing w:after="240" w:line="240" w:lineRule="auto"/>
      <w:jc w:val="both"/>
    </w:pPr>
    <w:rPr>
      <w:snapToGrid w:val="0"/>
      <w:sz w:val="24"/>
      <w:lang w:val="en-GB"/>
    </w:rPr>
  </w:style>
  <w:style w:type="character" w:styleId="EndnoteReference">
    <w:name w:val="endnote reference"/>
    <w:aliases w:val="1_G"/>
    <w:basedOn w:val="FootnoteReference"/>
    <w:rsid w:val="00EB0D87"/>
    <w:rPr>
      <w:rFonts w:ascii="Times New Roman" w:hAnsi="Times New Roman"/>
      <w:sz w:val="18"/>
      <w:vertAlign w:val="superscript"/>
      <w:lang w:val="fr-CH"/>
    </w:rPr>
  </w:style>
  <w:style w:type="character" w:styleId="FootnoteReference">
    <w:name w:val="footnote reference"/>
    <w:aliases w:val="4_G"/>
    <w:rsid w:val="00EB0D87"/>
    <w:rPr>
      <w:rFonts w:ascii="Times New Roman" w:hAnsi="Times New Roman"/>
      <w:sz w:val="18"/>
      <w:vertAlign w:val="superscript"/>
      <w:lang w:val="fr-CH"/>
    </w:rPr>
  </w:style>
  <w:style w:type="character" w:styleId="PageNumber">
    <w:name w:val="page number"/>
    <w:aliases w:val="7_G"/>
    <w:rsid w:val="00EB0D87"/>
    <w:rPr>
      <w:rFonts w:ascii="Times New Roman" w:hAnsi="Times New Roman"/>
      <w:b/>
      <w:sz w:val="18"/>
      <w:lang w:val="fr-CH"/>
    </w:rPr>
  </w:style>
  <w:style w:type="paragraph" w:styleId="FootnoteText">
    <w:name w:val="footnote text"/>
    <w:aliases w:val="5_G"/>
    <w:basedOn w:val="Normal"/>
    <w:link w:val="FootnoteTextChar"/>
    <w:rsid w:val="00EB0D87"/>
    <w:pPr>
      <w:tabs>
        <w:tab w:val="right" w:pos="1021"/>
      </w:tabs>
      <w:spacing w:line="220" w:lineRule="exact"/>
      <w:ind w:left="1134" w:right="1134" w:hanging="1134"/>
    </w:pPr>
    <w:rPr>
      <w:sz w:val="18"/>
    </w:rPr>
  </w:style>
  <w:style w:type="paragraph" w:styleId="Header">
    <w:name w:val="header"/>
    <w:aliases w:val="6_G"/>
    <w:basedOn w:val="Normal"/>
    <w:next w:val="Normal"/>
    <w:link w:val="HeaderChar"/>
    <w:rsid w:val="00EB0D87"/>
    <w:pPr>
      <w:pBdr>
        <w:bottom w:val="single" w:sz="4" w:space="4" w:color="auto"/>
      </w:pBdr>
      <w:spacing w:line="240" w:lineRule="auto"/>
    </w:pPr>
    <w:rPr>
      <w:b/>
      <w:sz w:val="18"/>
    </w:rPr>
  </w:style>
  <w:style w:type="paragraph" w:customStyle="1" w:styleId="H1G">
    <w:name w:val="_ H_1_G"/>
    <w:basedOn w:val="Normal"/>
    <w:next w:val="Normal"/>
    <w:rsid w:val="00EB0D87"/>
    <w:pPr>
      <w:keepNext/>
      <w:keepLines/>
      <w:tabs>
        <w:tab w:val="right" w:pos="851"/>
      </w:tabs>
      <w:spacing w:before="360" w:after="240" w:line="270" w:lineRule="exact"/>
      <w:ind w:left="1134" w:right="1134" w:hanging="1134"/>
    </w:pPr>
    <w:rPr>
      <w:b/>
      <w:sz w:val="24"/>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HChG">
    <w:name w:val="_ H _Ch_G"/>
    <w:basedOn w:val="Normal"/>
    <w:next w:val="Normal"/>
    <w:link w:val="HChGChar"/>
    <w:qFormat/>
    <w:rsid w:val="00EB0D87"/>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EB0D87"/>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EB0D8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B0D8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B0D87"/>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EB0D87"/>
    <w:pPr>
      <w:keepNext/>
      <w:keepLines/>
      <w:spacing w:before="240" w:after="240" w:line="420" w:lineRule="exact"/>
      <w:ind w:left="1134" w:right="1134"/>
    </w:pPr>
    <w:rPr>
      <w:b/>
      <w:sz w:val="40"/>
    </w:rPr>
  </w:style>
  <w:style w:type="paragraph" w:customStyle="1" w:styleId="SLG">
    <w:name w:val="__S_L_G"/>
    <w:basedOn w:val="Normal"/>
    <w:next w:val="Normal"/>
    <w:rsid w:val="00EB0D87"/>
    <w:pPr>
      <w:keepNext/>
      <w:keepLines/>
      <w:spacing w:before="240" w:after="240" w:line="580" w:lineRule="exact"/>
      <w:ind w:left="1134" w:right="1134"/>
    </w:pPr>
    <w:rPr>
      <w:b/>
      <w:sz w:val="56"/>
    </w:rPr>
  </w:style>
  <w:style w:type="paragraph" w:customStyle="1" w:styleId="SSG">
    <w:name w:val="__S_S_G"/>
    <w:basedOn w:val="Normal"/>
    <w:next w:val="Normal"/>
    <w:rsid w:val="00EB0D87"/>
    <w:pPr>
      <w:keepNext/>
      <w:keepLines/>
      <w:spacing w:before="240" w:after="240" w:line="300" w:lineRule="exact"/>
      <w:ind w:left="1134" w:right="1134"/>
    </w:pPr>
    <w:rPr>
      <w:b/>
      <w:sz w:val="28"/>
    </w:rPr>
  </w:style>
  <w:style w:type="paragraph" w:customStyle="1" w:styleId="SingleTxtG">
    <w:name w:val="_ Single Txt_G"/>
    <w:basedOn w:val="Normal"/>
    <w:link w:val="SingleTxtGChar"/>
    <w:rsid w:val="00EB0D87"/>
    <w:pPr>
      <w:spacing w:after="120"/>
      <w:ind w:left="1134" w:right="1134"/>
      <w:jc w:val="both"/>
    </w:pPr>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character" w:customStyle="1" w:styleId="SingleTxtGChar">
    <w:name w:val="_ Single Txt_G Char"/>
    <w:link w:val="SingleTxtG"/>
    <w:rsid w:val="00693768"/>
    <w:rPr>
      <w:lang w:val="fr-CH" w:eastAsia="en-US" w:bidi="ar-SA"/>
    </w:rPr>
  </w:style>
  <w:style w:type="paragraph" w:customStyle="1" w:styleId="Itemno">
    <w:name w:val="Item no"/>
    <w:basedOn w:val="Agendaitem1"/>
    <w:link w:val="ItemnoChar"/>
    <w:rsid w:val="00840322"/>
    <w:pPr>
      <w:numPr>
        <w:numId w:val="0"/>
      </w:numPr>
      <w:ind w:left="1134" w:hanging="1134"/>
    </w:pPr>
    <w:rPr>
      <w:rFonts w:ascii="Times New Roman Bold" w:hAnsi="Times New Roman Bold"/>
      <w:b/>
    </w:rPr>
  </w:style>
  <w:style w:type="paragraph" w:customStyle="1" w:styleId="XLargeG">
    <w:name w:val="__XLarge_G"/>
    <w:basedOn w:val="Normal"/>
    <w:next w:val="Normal"/>
    <w:rsid w:val="00EB0D87"/>
    <w:pPr>
      <w:keepNext/>
      <w:keepLines/>
      <w:spacing w:before="240" w:after="240" w:line="420" w:lineRule="exact"/>
      <w:ind w:left="1134" w:right="1134"/>
    </w:pPr>
    <w:rPr>
      <w:b/>
      <w:sz w:val="40"/>
    </w:rPr>
  </w:style>
  <w:style w:type="paragraph" w:customStyle="1" w:styleId="Bullet1G">
    <w:name w:val="_Bullet 1_G"/>
    <w:basedOn w:val="Normal"/>
    <w:rsid w:val="00EB0D87"/>
    <w:pPr>
      <w:numPr>
        <w:numId w:val="16"/>
      </w:numPr>
      <w:spacing w:after="120"/>
      <w:ind w:right="1134"/>
      <w:jc w:val="both"/>
    </w:pPr>
  </w:style>
  <w:style w:type="numbering" w:styleId="111111">
    <w:name w:val="Outline List 2"/>
    <w:basedOn w:val="NoList"/>
    <w:semiHidden/>
    <w:rsid w:val="00160540"/>
    <w:pPr>
      <w:numPr>
        <w:numId w:val="13"/>
      </w:numPr>
    </w:pPr>
  </w:style>
  <w:style w:type="numbering" w:styleId="1ai">
    <w:name w:val="Outline List 1"/>
    <w:basedOn w:val="NoList"/>
    <w:semiHidden/>
    <w:rsid w:val="00160540"/>
    <w:pPr>
      <w:numPr>
        <w:numId w:val="14"/>
      </w:numPr>
    </w:pPr>
  </w:style>
  <w:style w:type="character" w:styleId="Emphasis">
    <w:name w:val="Emphasis"/>
    <w:uiPriority w:val="20"/>
    <w:qFormat/>
    <w:rsid w:val="00160540"/>
    <w:rPr>
      <w:i/>
      <w:iCs/>
    </w:rPr>
  </w:style>
  <w:style w:type="character" w:styleId="HTMLAcronym">
    <w:name w:val="HTML Acronym"/>
    <w:basedOn w:val="DefaultParagraphFont"/>
    <w:semiHidden/>
    <w:rsid w:val="00160540"/>
  </w:style>
  <w:style w:type="paragraph" w:styleId="EnvelopeAddress">
    <w:name w:val="envelope address"/>
    <w:basedOn w:val="Normal"/>
    <w:semiHidden/>
    <w:rsid w:val="0016054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160540"/>
    <w:rPr>
      <w:rFonts w:ascii="Arial" w:hAnsi="Arial" w:cs="Arial"/>
    </w:rPr>
  </w:style>
  <w:style w:type="paragraph" w:customStyle="1" w:styleId="Bullet2G">
    <w:name w:val="_Bullet 2_G"/>
    <w:basedOn w:val="Normal"/>
    <w:rsid w:val="00EB0D87"/>
    <w:pPr>
      <w:numPr>
        <w:numId w:val="17"/>
      </w:numPr>
      <w:spacing w:after="120"/>
      <w:ind w:right="1134"/>
      <w:jc w:val="both"/>
    </w:pPr>
  </w:style>
  <w:style w:type="paragraph" w:styleId="HTMLAddress">
    <w:name w:val="HTML Address"/>
    <w:basedOn w:val="Normal"/>
    <w:semiHidden/>
    <w:rsid w:val="00160540"/>
    <w:rPr>
      <w:i/>
      <w:iCs/>
    </w:rPr>
  </w:style>
  <w:style w:type="numbering" w:styleId="ArticleSection">
    <w:name w:val="Outline List 3"/>
    <w:basedOn w:val="NoList"/>
    <w:semiHidden/>
    <w:rsid w:val="00160540"/>
    <w:pPr>
      <w:numPr>
        <w:numId w:val="15"/>
      </w:numPr>
    </w:pPr>
  </w:style>
  <w:style w:type="character" w:styleId="HTMLCite">
    <w:name w:val="HTML Cite"/>
    <w:semiHidden/>
    <w:rsid w:val="00160540"/>
    <w:rPr>
      <w:i/>
      <w:iCs/>
    </w:rPr>
  </w:style>
  <w:style w:type="table" w:styleId="TableClassic1">
    <w:name w:val="Table Classic 1"/>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60540"/>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60540"/>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semiHidden/>
    <w:rsid w:val="00160540"/>
    <w:rPr>
      <w:rFonts w:ascii="Courier New" w:hAnsi="Courier New" w:cs="Courier New"/>
      <w:sz w:val="20"/>
      <w:szCs w:val="20"/>
    </w:rPr>
  </w:style>
  <w:style w:type="character" w:styleId="HTMLCode">
    <w:name w:val="HTML Code"/>
    <w:semiHidden/>
    <w:rsid w:val="00160540"/>
    <w:rPr>
      <w:rFonts w:ascii="Courier New" w:hAnsi="Courier New" w:cs="Courier New"/>
      <w:sz w:val="20"/>
      <w:szCs w:val="20"/>
    </w:rPr>
  </w:style>
  <w:style w:type="table" w:styleId="TableColumns1">
    <w:name w:val="Table Columns 1"/>
    <w:basedOn w:val="TableNormal"/>
    <w:semiHidden/>
    <w:rsid w:val="00160540"/>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semiHidden/>
    <w:rsid w:val="00160540"/>
    <w:pPr>
      <w:spacing w:after="120" w:line="480" w:lineRule="auto"/>
    </w:pPr>
  </w:style>
  <w:style w:type="paragraph" w:styleId="BodyText3">
    <w:name w:val="Body Text 3"/>
    <w:basedOn w:val="Normal"/>
    <w:semiHidden/>
    <w:rsid w:val="00160540"/>
    <w:pPr>
      <w:spacing w:after="120"/>
    </w:pPr>
    <w:rPr>
      <w:sz w:val="16"/>
      <w:szCs w:val="16"/>
    </w:rPr>
  </w:style>
  <w:style w:type="paragraph" w:styleId="Date">
    <w:name w:val="Date"/>
    <w:basedOn w:val="Normal"/>
    <w:next w:val="Normal"/>
    <w:semiHidden/>
    <w:rsid w:val="00160540"/>
  </w:style>
  <w:style w:type="character" w:styleId="HTMLDefinition">
    <w:name w:val="HTML Definition"/>
    <w:semiHidden/>
    <w:rsid w:val="00160540"/>
    <w:rPr>
      <w:i/>
      <w:iCs/>
    </w:rPr>
  </w:style>
  <w:style w:type="table" w:styleId="Table3Deffects2">
    <w:name w:val="Table 3D effects 2"/>
    <w:basedOn w:val="TableNormal"/>
    <w:semiHidden/>
    <w:rsid w:val="00160540"/>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160540"/>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160540"/>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160540"/>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uiPriority w:val="22"/>
    <w:qFormat/>
    <w:rsid w:val="00160540"/>
    <w:rPr>
      <w:b/>
      <w:bCs/>
    </w:rPr>
  </w:style>
  <w:style w:type="paragraph" w:styleId="MessageHeader">
    <w:name w:val="Message Header"/>
    <w:basedOn w:val="Normal"/>
    <w:semiHidden/>
    <w:rsid w:val="0016054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HTMLSample">
    <w:name w:val="HTML Sample"/>
    <w:semiHidden/>
    <w:rsid w:val="00160540"/>
    <w:rPr>
      <w:rFonts w:ascii="Courier New" w:hAnsi="Courier New" w:cs="Courier New"/>
    </w:rPr>
  </w:style>
  <w:style w:type="paragraph" w:styleId="Closing">
    <w:name w:val="Closing"/>
    <w:basedOn w:val="Normal"/>
    <w:semiHidden/>
    <w:rsid w:val="00160540"/>
    <w:pPr>
      <w:ind w:left="4252"/>
    </w:pPr>
  </w:style>
  <w:style w:type="table" w:styleId="TableGrid1">
    <w:name w:val="Table Grid 1"/>
    <w:basedOn w:val="TableNormal"/>
    <w:semiHidden/>
    <w:rsid w:val="00EB0D8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60540"/>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60540"/>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60540"/>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60540"/>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60540"/>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semiHidden/>
    <w:rsid w:val="00EB0D8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semiHidden/>
    <w:rsid w:val="00160540"/>
    <w:pPr>
      <w:ind w:left="283" w:hanging="283"/>
    </w:pPr>
  </w:style>
  <w:style w:type="paragraph" w:styleId="List2">
    <w:name w:val="List 2"/>
    <w:basedOn w:val="Normal"/>
    <w:semiHidden/>
    <w:rsid w:val="00160540"/>
    <w:pPr>
      <w:ind w:left="566" w:hanging="283"/>
    </w:pPr>
  </w:style>
  <w:style w:type="paragraph" w:styleId="List3">
    <w:name w:val="List 3"/>
    <w:basedOn w:val="Normal"/>
    <w:semiHidden/>
    <w:rsid w:val="00160540"/>
    <w:pPr>
      <w:ind w:left="849" w:hanging="283"/>
    </w:pPr>
  </w:style>
  <w:style w:type="paragraph" w:styleId="List4">
    <w:name w:val="List 4"/>
    <w:basedOn w:val="Normal"/>
    <w:semiHidden/>
    <w:rsid w:val="00160540"/>
    <w:pPr>
      <w:ind w:left="1132" w:hanging="283"/>
    </w:pPr>
  </w:style>
  <w:style w:type="paragraph" w:styleId="List5">
    <w:name w:val="List 5"/>
    <w:basedOn w:val="Normal"/>
    <w:semiHidden/>
    <w:rsid w:val="00160540"/>
    <w:pPr>
      <w:ind w:left="1415" w:hanging="283"/>
    </w:pPr>
  </w:style>
  <w:style w:type="paragraph" w:styleId="ListNumber">
    <w:name w:val="List Number"/>
    <w:basedOn w:val="Normal"/>
    <w:semiHidden/>
    <w:rsid w:val="00160540"/>
    <w:pPr>
      <w:numPr>
        <w:numId w:val="7"/>
      </w:numPr>
    </w:pPr>
  </w:style>
  <w:style w:type="paragraph" w:styleId="ListNumber2">
    <w:name w:val="List Number 2"/>
    <w:basedOn w:val="Normal"/>
    <w:semiHidden/>
    <w:rsid w:val="00160540"/>
    <w:pPr>
      <w:numPr>
        <w:numId w:val="6"/>
      </w:numPr>
    </w:pPr>
  </w:style>
  <w:style w:type="paragraph" w:styleId="ListNumber3">
    <w:name w:val="List Number 3"/>
    <w:basedOn w:val="Normal"/>
    <w:semiHidden/>
    <w:rsid w:val="00160540"/>
    <w:pPr>
      <w:numPr>
        <w:numId w:val="5"/>
      </w:numPr>
    </w:pPr>
  </w:style>
  <w:style w:type="paragraph" w:styleId="ListNumber4">
    <w:name w:val="List Number 4"/>
    <w:basedOn w:val="Normal"/>
    <w:semiHidden/>
    <w:rsid w:val="00160540"/>
    <w:pPr>
      <w:numPr>
        <w:numId w:val="3"/>
      </w:numPr>
    </w:pPr>
  </w:style>
  <w:style w:type="paragraph" w:styleId="ListNumber5">
    <w:name w:val="List Number 5"/>
    <w:basedOn w:val="Normal"/>
    <w:semiHidden/>
    <w:rsid w:val="00160540"/>
    <w:pPr>
      <w:numPr>
        <w:numId w:val="4"/>
      </w:numPr>
    </w:pPr>
  </w:style>
  <w:style w:type="paragraph" w:styleId="ListBullet">
    <w:name w:val="List Bullet"/>
    <w:basedOn w:val="Normal"/>
    <w:semiHidden/>
    <w:rsid w:val="00160540"/>
    <w:pPr>
      <w:numPr>
        <w:numId w:val="8"/>
      </w:numPr>
    </w:pPr>
  </w:style>
  <w:style w:type="paragraph" w:styleId="ListBullet2">
    <w:name w:val="List Bullet 2"/>
    <w:basedOn w:val="Normal"/>
    <w:semiHidden/>
    <w:rsid w:val="00160540"/>
    <w:pPr>
      <w:numPr>
        <w:numId w:val="9"/>
      </w:numPr>
    </w:pPr>
  </w:style>
  <w:style w:type="paragraph" w:styleId="ListBullet3">
    <w:name w:val="List Bullet 3"/>
    <w:basedOn w:val="Normal"/>
    <w:semiHidden/>
    <w:rsid w:val="00160540"/>
    <w:pPr>
      <w:numPr>
        <w:numId w:val="10"/>
      </w:numPr>
    </w:pPr>
  </w:style>
  <w:style w:type="paragraph" w:styleId="ListBullet4">
    <w:name w:val="List Bullet 4"/>
    <w:basedOn w:val="Normal"/>
    <w:semiHidden/>
    <w:rsid w:val="00160540"/>
    <w:pPr>
      <w:numPr>
        <w:numId w:val="11"/>
      </w:numPr>
    </w:pPr>
  </w:style>
  <w:style w:type="paragraph" w:styleId="ListBullet5">
    <w:name w:val="List Bullet 5"/>
    <w:basedOn w:val="Normal"/>
    <w:semiHidden/>
    <w:rsid w:val="00160540"/>
    <w:pPr>
      <w:numPr>
        <w:numId w:val="12"/>
      </w:numPr>
    </w:pPr>
  </w:style>
  <w:style w:type="paragraph" w:styleId="ListContinue">
    <w:name w:val="List Continue"/>
    <w:basedOn w:val="Normal"/>
    <w:semiHidden/>
    <w:rsid w:val="00160540"/>
    <w:pPr>
      <w:spacing w:after="120"/>
      <w:ind w:left="283"/>
    </w:pPr>
  </w:style>
  <w:style w:type="paragraph" w:styleId="ListContinue2">
    <w:name w:val="List Continue 2"/>
    <w:basedOn w:val="Normal"/>
    <w:semiHidden/>
    <w:rsid w:val="00160540"/>
    <w:pPr>
      <w:spacing w:after="120"/>
      <w:ind w:left="566"/>
    </w:pPr>
  </w:style>
  <w:style w:type="paragraph" w:styleId="ListContinue3">
    <w:name w:val="List Continue 3"/>
    <w:basedOn w:val="Normal"/>
    <w:semiHidden/>
    <w:rsid w:val="00160540"/>
    <w:pPr>
      <w:spacing w:after="120"/>
      <w:ind w:left="849"/>
    </w:pPr>
  </w:style>
  <w:style w:type="paragraph" w:styleId="ListContinue4">
    <w:name w:val="List Continue 4"/>
    <w:basedOn w:val="Normal"/>
    <w:semiHidden/>
    <w:rsid w:val="00160540"/>
    <w:pPr>
      <w:spacing w:after="120"/>
      <w:ind w:left="1132"/>
    </w:pPr>
  </w:style>
  <w:style w:type="paragraph" w:styleId="ListContinue5">
    <w:name w:val="List Continue 5"/>
    <w:basedOn w:val="Normal"/>
    <w:semiHidden/>
    <w:rsid w:val="00160540"/>
    <w:pPr>
      <w:spacing w:after="120"/>
      <w:ind w:left="1415"/>
    </w:pPr>
  </w:style>
  <w:style w:type="character" w:styleId="HTMLTypewriter">
    <w:name w:val="HTML Typewriter"/>
    <w:semiHidden/>
    <w:rsid w:val="00160540"/>
    <w:rPr>
      <w:rFonts w:ascii="Courier New" w:hAnsi="Courier New" w:cs="Courier New"/>
      <w:sz w:val="20"/>
      <w:szCs w:val="20"/>
    </w:rPr>
  </w:style>
  <w:style w:type="paragraph" w:styleId="NormalWeb">
    <w:name w:val="Normal (Web)"/>
    <w:basedOn w:val="Normal"/>
    <w:uiPriority w:val="99"/>
    <w:semiHidden/>
    <w:rsid w:val="00160540"/>
    <w:rPr>
      <w:sz w:val="24"/>
      <w:szCs w:val="24"/>
    </w:rPr>
  </w:style>
  <w:style w:type="table" w:styleId="TableSubtle1">
    <w:name w:val="Table Subtle 1"/>
    <w:basedOn w:val="TableNormal"/>
    <w:semiHidden/>
    <w:rsid w:val="00160540"/>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60540"/>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semiHidden/>
    <w:rsid w:val="00160540"/>
    <w:rPr>
      <w:rFonts w:ascii="Courier New" w:hAnsi="Courier New" w:cs="Courier New"/>
    </w:rPr>
  </w:style>
  <w:style w:type="table" w:styleId="TableProfessional">
    <w:name w:val="Table Professional"/>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semiHidden/>
    <w:rsid w:val="00160540"/>
    <w:pPr>
      <w:spacing w:after="120"/>
      <w:ind w:firstLine="210"/>
    </w:pPr>
  </w:style>
  <w:style w:type="paragraph" w:styleId="BodyTextIndent2">
    <w:name w:val="Body Text Indent 2"/>
    <w:basedOn w:val="Normal"/>
    <w:semiHidden/>
    <w:rsid w:val="00160540"/>
    <w:pPr>
      <w:spacing w:after="120" w:line="480" w:lineRule="auto"/>
      <w:ind w:left="283"/>
    </w:pPr>
  </w:style>
  <w:style w:type="paragraph" w:styleId="BodyTextIndent3">
    <w:name w:val="Body Text Indent 3"/>
    <w:basedOn w:val="Normal"/>
    <w:semiHidden/>
    <w:rsid w:val="00160540"/>
    <w:pPr>
      <w:spacing w:after="120"/>
      <w:ind w:left="283"/>
    </w:pPr>
    <w:rPr>
      <w:sz w:val="16"/>
      <w:szCs w:val="16"/>
    </w:rPr>
  </w:style>
  <w:style w:type="paragraph" w:styleId="BodyTextFirstIndent2">
    <w:name w:val="Body Text First Indent 2"/>
    <w:basedOn w:val="BodyTextIndent"/>
    <w:semiHidden/>
    <w:rsid w:val="00160540"/>
    <w:pPr>
      <w:ind w:firstLine="210"/>
    </w:pPr>
  </w:style>
  <w:style w:type="paragraph" w:styleId="NormalIndent">
    <w:name w:val="Normal Indent"/>
    <w:basedOn w:val="Normal"/>
    <w:semiHidden/>
    <w:rsid w:val="00160540"/>
    <w:pPr>
      <w:ind w:left="567"/>
    </w:pPr>
  </w:style>
  <w:style w:type="paragraph" w:styleId="Salutation">
    <w:name w:val="Salutation"/>
    <w:basedOn w:val="Normal"/>
    <w:next w:val="Normal"/>
    <w:semiHidden/>
    <w:rsid w:val="00160540"/>
  </w:style>
  <w:style w:type="paragraph" w:styleId="Signature">
    <w:name w:val="Signature"/>
    <w:basedOn w:val="Normal"/>
    <w:semiHidden/>
    <w:rsid w:val="00160540"/>
    <w:pPr>
      <w:ind w:left="4252"/>
    </w:pPr>
  </w:style>
  <w:style w:type="paragraph" w:styleId="E-mailSignature">
    <w:name w:val="E-mail Signature"/>
    <w:basedOn w:val="Normal"/>
    <w:semiHidden/>
    <w:rsid w:val="00160540"/>
  </w:style>
  <w:style w:type="table" w:styleId="TableSimple1">
    <w:name w:val="Table Simple 1"/>
    <w:basedOn w:val="TableNormal"/>
    <w:semiHidden/>
    <w:rsid w:val="00160540"/>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60540"/>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qFormat/>
    <w:rsid w:val="00160540"/>
    <w:pPr>
      <w:spacing w:after="60"/>
      <w:jc w:val="center"/>
      <w:outlineLvl w:val="1"/>
    </w:pPr>
    <w:rPr>
      <w:rFonts w:ascii="Arial" w:hAnsi="Arial" w:cs="Arial"/>
      <w:sz w:val="24"/>
      <w:szCs w:val="24"/>
    </w:rPr>
  </w:style>
  <w:style w:type="table" w:styleId="TableList1">
    <w:name w:val="Table List 1"/>
    <w:basedOn w:val="TableNormal"/>
    <w:semiHidden/>
    <w:rsid w:val="00160540"/>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60540"/>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60540"/>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60540"/>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16054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160540"/>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emiHidden/>
    <w:rsid w:val="00160540"/>
  </w:style>
  <w:style w:type="character" w:styleId="HTMLVariable">
    <w:name w:val="HTML Variable"/>
    <w:semiHidden/>
    <w:rsid w:val="00160540"/>
    <w:rPr>
      <w:i/>
      <w:iCs/>
    </w:rPr>
  </w:style>
  <w:style w:type="table" w:styleId="TableWeb1">
    <w:name w:val="Table Web 1"/>
    <w:basedOn w:val="TableNormal"/>
    <w:semiHidden/>
    <w:rsid w:val="00160540"/>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60540"/>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60540"/>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2">
    <w:name w:val="Table Columns 2"/>
    <w:basedOn w:val="TableNormal"/>
    <w:semiHidden/>
    <w:rsid w:val="00A2492E"/>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2492E"/>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2492E"/>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2492E"/>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A2492E"/>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2492E"/>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2492E"/>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A2492E"/>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uiPriority w:val="99"/>
    <w:rsid w:val="00EB0D87"/>
    <w:rPr>
      <w:color w:val="auto"/>
      <w:u w:val="none"/>
    </w:rPr>
  </w:style>
  <w:style w:type="character" w:styleId="FollowedHyperlink">
    <w:name w:val="FollowedHyperlink"/>
    <w:semiHidden/>
    <w:rsid w:val="00EB0D87"/>
    <w:rPr>
      <w:color w:val="auto"/>
      <w:u w:val="none"/>
    </w:rPr>
  </w:style>
  <w:style w:type="character" w:customStyle="1" w:styleId="ItemnoChar">
    <w:name w:val="Item no Char"/>
    <w:link w:val="Itemno"/>
    <w:rsid w:val="00840322"/>
    <w:rPr>
      <w:rFonts w:ascii="Times New Roman Bold" w:hAnsi="Times New Roman Bold"/>
      <w:b/>
      <w:snapToGrid w:val="0"/>
      <w:sz w:val="24"/>
      <w:lang w:val="en-GB" w:eastAsia="en-US" w:bidi="ar-SA"/>
    </w:rPr>
  </w:style>
  <w:style w:type="paragraph" w:styleId="BalloonText">
    <w:name w:val="Balloon Text"/>
    <w:basedOn w:val="Normal"/>
    <w:link w:val="BalloonTextChar"/>
    <w:rsid w:val="00221F0B"/>
    <w:pPr>
      <w:spacing w:line="240" w:lineRule="auto"/>
    </w:pPr>
    <w:rPr>
      <w:rFonts w:ascii="Tahoma" w:hAnsi="Tahoma"/>
      <w:sz w:val="16"/>
      <w:szCs w:val="16"/>
    </w:rPr>
  </w:style>
  <w:style w:type="character" w:customStyle="1" w:styleId="BalloonTextChar">
    <w:name w:val="Balloon Text Char"/>
    <w:link w:val="BalloonText"/>
    <w:rsid w:val="00221F0B"/>
    <w:rPr>
      <w:rFonts w:ascii="Tahoma" w:hAnsi="Tahoma" w:cs="Tahoma"/>
      <w:sz w:val="16"/>
      <w:szCs w:val="16"/>
      <w:lang w:val="fr-CH" w:eastAsia="en-US"/>
    </w:rPr>
  </w:style>
  <w:style w:type="character" w:customStyle="1" w:styleId="FootnoteTextChar">
    <w:name w:val="Footnote Text Char"/>
    <w:aliases w:val="5_G Char"/>
    <w:link w:val="FootnoteText"/>
    <w:rsid w:val="00042700"/>
    <w:rPr>
      <w:sz w:val="18"/>
      <w:lang w:val="fr-CH" w:eastAsia="en-US"/>
    </w:rPr>
  </w:style>
  <w:style w:type="character" w:customStyle="1" w:styleId="HeaderChar">
    <w:name w:val="Header Char"/>
    <w:aliases w:val="6_G Char"/>
    <w:link w:val="Header"/>
    <w:rsid w:val="00DD6C0A"/>
    <w:rPr>
      <w:b/>
      <w:sz w:val="18"/>
      <w:lang w:val="fr-CH" w:eastAsia="en-US"/>
    </w:rPr>
  </w:style>
  <w:style w:type="paragraph" w:styleId="CommentSubject">
    <w:name w:val="annotation subject"/>
    <w:basedOn w:val="CommentText"/>
    <w:next w:val="CommentText"/>
    <w:link w:val="CommentSubjectChar"/>
    <w:rsid w:val="008E491C"/>
    <w:rPr>
      <w:b/>
      <w:bCs/>
    </w:rPr>
  </w:style>
  <w:style w:type="character" w:customStyle="1" w:styleId="CommentTextChar">
    <w:name w:val="Comment Text Char"/>
    <w:link w:val="CommentText"/>
    <w:semiHidden/>
    <w:rsid w:val="008E491C"/>
    <w:rPr>
      <w:lang w:val="fr-CH" w:eastAsia="en-US"/>
    </w:rPr>
  </w:style>
  <w:style w:type="character" w:customStyle="1" w:styleId="CommentSubjectChar">
    <w:name w:val="Comment Subject Char"/>
    <w:link w:val="CommentSubject"/>
    <w:rsid w:val="008E491C"/>
    <w:rPr>
      <w:b/>
      <w:bCs/>
      <w:lang w:val="fr-CH" w:eastAsia="en-US"/>
    </w:rPr>
  </w:style>
  <w:style w:type="paragraph" w:styleId="Revision">
    <w:name w:val="Revision"/>
    <w:hidden/>
    <w:uiPriority w:val="99"/>
    <w:semiHidden/>
    <w:rsid w:val="008E491C"/>
    <w:rPr>
      <w:lang w:val="fr-CH"/>
    </w:rPr>
  </w:style>
  <w:style w:type="paragraph" w:customStyle="1" w:styleId="Default">
    <w:name w:val="Default"/>
    <w:rsid w:val="002666B0"/>
    <w:pPr>
      <w:autoSpaceDE w:val="0"/>
      <w:autoSpaceDN w:val="0"/>
      <w:adjustRightInd w:val="0"/>
    </w:pPr>
    <w:rPr>
      <w:color w:val="000000"/>
      <w:sz w:val="24"/>
      <w:szCs w:val="24"/>
      <w:lang w:val="en-GB"/>
    </w:rPr>
  </w:style>
  <w:style w:type="character" w:customStyle="1" w:styleId="style19">
    <w:name w:val="style19"/>
    <w:basedOn w:val="DefaultParagraphFont"/>
    <w:rsid w:val="00424CAC"/>
  </w:style>
  <w:style w:type="character" w:customStyle="1" w:styleId="style2">
    <w:name w:val="style2"/>
    <w:basedOn w:val="DefaultParagraphFont"/>
    <w:rsid w:val="00424CAC"/>
  </w:style>
  <w:style w:type="paragraph" w:styleId="ListParagraph">
    <w:name w:val="List Paragraph"/>
    <w:basedOn w:val="Normal"/>
    <w:uiPriority w:val="34"/>
    <w:qFormat/>
    <w:rsid w:val="00B355AE"/>
    <w:pPr>
      <w:ind w:left="720"/>
      <w:contextualSpacing/>
    </w:pPr>
  </w:style>
  <w:style w:type="character" w:customStyle="1" w:styleId="HChGChar">
    <w:name w:val="_ H _Ch_G Char"/>
    <w:link w:val="HChG"/>
    <w:rsid w:val="00752407"/>
    <w:rPr>
      <w:b/>
      <w:sz w:val="28"/>
      <w:lang w:val="fr-CH"/>
    </w:rPr>
  </w:style>
  <w:style w:type="character" w:customStyle="1" w:styleId="preferred">
    <w:name w:val="preferred"/>
    <w:basedOn w:val="DefaultParagraphFont"/>
    <w:rsid w:val="000C4134"/>
  </w:style>
  <w:style w:type="character" w:customStyle="1" w:styleId="UnresolvedMention1">
    <w:name w:val="Unresolved Mention1"/>
    <w:basedOn w:val="DefaultParagraphFont"/>
    <w:uiPriority w:val="99"/>
    <w:semiHidden/>
    <w:unhideWhenUsed/>
    <w:rsid w:val="008765E0"/>
    <w:rPr>
      <w:color w:val="808080"/>
      <w:shd w:val="clear" w:color="auto" w:fill="E6E6E6"/>
    </w:rPr>
  </w:style>
  <w:style w:type="table" w:customStyle="1" w:styleId="TableGrid10">
    <w:name w:val="Table Grid1"/>
    <w:basedOn w:val="TableNormal"/>
    <w:next w:val="TableGrid"/>
    <w:uiPriority w:val="39"/>
    <w:rsid w:val="00AB439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
    <w:name w:val="en"/>
    <w:basedOn w:val="DefaultParagraphFont"/>
    <w:rsid w:val="00FE7ED2"/>
  </w:style>
  <w:style w:type="character" w:customStyle="1" w:styleId="label">
    <w:name w:val="label"/>
    <w:basedOn w:val="DefaultParagraphFont"/>
    <w:rsid w:val="00FE7ED2"/>
  </w:style>
  <w:style w:type="character" w:customStyle="1" w:styleId="termnote">
    <w:name w:val="termnote"/>
    <w:basedOn w:val="DefaultParagraphFont"/>
    <w:rsid w:val="00FE7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55588">
      <w:bodyDiv w:val="1"/>
      <w:marLeft w:val="0"/>
      <w:marRight w:val="0"/>
      <w:marTop w:val="0"/>
      <w:marBottom w:val="0"/>
      <w:divBdr>
        <w:top w:val="none" w:sz="0" w:space="0" w:color="auto"/>
        <w:left w:val="none" w:sz="0" w:space="0" w:color="auto"/>
        <w:bottom w:val="none" w:sz="0" w:space="0" w:color="auto"/>
        <w:right w:val="none" w:sz="0" w:space="0" w:color="auto"/>
      </w:divBdr>
    </w:div>
    <w:div w:id="648900870">
      <w:bodyDiv w:val="1"/>
      <w:marLeft w:val="0"/>
      <w:marRight w:val="0"/>
      <w:marTop w:val="0"/>
      <w:marBottom w:val="0"/>
      <w:divBdr>
        <w:top w:val="none" w:sz="0" w:space="0" w:color="auto"/>
        <w:left w:val="none" w:sz="0" w:space="0" w:color="auto"/>
        <w:bottom w:val="none" w:sz="0" w:space="0" w:color="auto"/>
        <w:right w:val="none" w:sz="0" w:space="0" w:color="auto"/>
      </w:divBdr>
      <w:divsChild>
        <w:div w:id="986594479">
          <w:marLeft w:val="0"/>
          <w:marRight w:val="0"/>
          <w:marTop w:val="0"/>
          <w:marBottom w:val="0"/>
          <w:divBdr>
            <w:top w:val="none" w:sz="0" w:space="0" w:color="auto"/>
            <w:left w:val="none" w:sz="0" w:space="0" w:color="auto"/>
            <w:bottom w:val="none" w:sz="0" w:space="0" w:color="auto"/>
            <w:right w:val="none" w:sz="0" w:space="0" w:color="auto"/>
          </w:divBdr>
          <w:divsChild>
            <w:div w:id="1653947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5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215743">
      <w:bodyDiv w:val="1"/>
      <w:marLeft w:val="0"/>
      <w:marRight w:val="0"/>
      <w:marTop w:val="0"/>
      <w:marBottom w:val="0"/>
      <w:divBdr>
        <w:top w:val="none" w:sz="0" w:space="0" w:color="auto"/>
        <w:left w:val="none" w:sz="0" w:space="0" w:color="auto"/>
        <w:bottom w:val="none" w:sz="0" w:space="0" w:color="auto"/>
        <w:right w:val="none" w:sz="0" w:space="0" w:color="auto"/>
      </w:divBdr>
      <w:divsChild>
        <w:div w:id="2004122751">
          <w:marLeft w:val="0"/>
          <w:marRight w:val="0"/>
          <w:marTop w:val="0"/>
          <w:marBottom w:val="0"/>
          <w:divBdr>
            <w:top w:val="none" w:sz="0" w:space="0" w:color="auto"/>
            <w:left w:val="none" w:sz="0" w:space="0" w:color="auto"/>
            <w:bottom w:val="none" w:sz="0" w:space="0" w:color="auto"/>
            <w:right w:val="none" w:sz="0" w:space="0" w:color="auto"/>
          </w:divBdr>
          <w:divsChild>
            <w:div w:id="123619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8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95905">
      <w:bodyDiv w:val="1"/>
      <w:marLeft w:val="0"/>
      <w:marRight w:val="0"/>
      <w:marTop w:val="0"/>
      <w:marBottom w:val="0"/>
      <w:divBdr>
        <w:top w:val="none" w:sz="0" w:space="0" w:color="auto"/>
        <w:left w:val="none" w:sz="0" w:space="0" w:color="auto"/>
        <w:bottom w:val="none" w:sz="0" w:space="0" w:color="auto"/>
        <w:right w:val="none" w:sz="0" w:space="0" w:color="auto"/>
      </w:divBdr>
    </w:div>
    <w:div w:id="1045520649">
      <w:bodyDiv w:val="1"/>
      <w:marLeft w:val="0"/>
      <w:marRight w:val="0"/>
      <w:marTop w:val="0"/>
      <w:marBottom w:val="0"/>
      <w:divBdr>
        <w:top w:val="none" w:sz="0" w:space="0" w:color="auto"/>
        <w:left w:val="none" w:sz="0" w:space="0" w:color="auto"/>
        <w:bottom w:val="none" w:sz="0" w:space="0" w:color="auto"/>
        <w:right w:val="none" w:sz="0" w:space="0" w:color="auto"/>
      </w:divBdr>
      <w:divsChild>
        <w:div w:id="2097440759">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04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330550">
      <w:bodyDiv w:val="1"/>
      <w:marLeft w:val="0"/>
      <w:marRight w:val="0"/>
      <w:marTop w:val="0"/>
      <w:marBottom w:val="0"/>
      <w:divBdr>
        <w:top w:val="none" w:sz="0" w:space="0" w:color="auto"/>
        <w:left w:val="none" w:sz="0" w:space="0" w:color="auto"/>
        <w:bottom w:val="none" w:sz="0" w:space="0" w:color="auto"/>
        <w:right w:val="none" w:sz="0" w:space="0" w:color="auto"/>
      </w:divBdr>
    </w:div>
    <w:div w:id="1452936290">
      <w:bodyDiv w:val="1"/>
      <w:marLeft w:val="0"/>
      <w:marRight w:val="0"/>
      <w:marTop w:val="0"/>
      <w:marBottom w:val="0"/>
      <w:divBdr>
        <w:top w:val="none" w:sz="0" w:space="0" w:color="auto"/>
        <w:left w:val="none" w:sz="0" w:space="0" w:color="auto"/>
        <w:bottom w:val="none" w:sz="0" w:space="0" w:color="auto"/>
        <w:right w:val="none" w:sz="0" w:space="0" w:color="auto"/>
      </w:divBdr>
    </w:div>
    <w:div w:id="1480490298">
      <w:bodyDiv w:val="1"/>
      <w:marLeft w:val="0"/>
      <w:marRight w:val="0"/>
      <w:marTop w:val="0"/>
      <w:marBottom w:val="0"/>
      <w:divBdr>
        <w:top w:val="none" w:sz="0" w:space="0" w:color="auto"/>
        <w:left w:val="none" w:sz="0" w:space="0" w:color="auto"/>
        <w:bottom w:val="none" w:sz="0" w:space="0" w:color="auto"/>
        <w:right w:val="none" w:sz="0" w:space="0" w:color="auto"/>
      </w:divBdr>
      <w:divsChild>
        <w:div w:id="191254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189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342191">
      <w:bodyDiv w:val="1"/>
      <w:marLeft w:val="0"/>
      <w:marRight w:val="0"/>
      <w:marTop w:val="0"/>
      <w:marBottom w:val="0"/>
      <w:divBdr>
        <w:top w:val="none" w:sz="0" w:space="0" w:color="auto"/>
        <w:left w:val="none" w:sz="0" w:space="0" w:color="auto"/>
        <w:bottom w:val="none" w:sz="0" w:space="0" w:color="auto"/>
        <w:right w:val="none" w:sz="0" w:space="0" w:color="auto"/>
      </w:divBdr>
    </w:div>
    <w:div w:id="1535272036">
      <w:bodyDiv w:val="1"/>
      <w:marLeft w:val="0"/>
      <w:marRight w:val="0"/>
      <w:marTop w:val="0"/>
      <w:marBottom w:val="0"/>
      <w:divBdr>
        <w:top w:val="none" w:sz="0" w:space="0" w:color="auto"/>
        <w:left w:val="none" w:sz="0" w:space="0" w:color="auto"/>
        <w:bottom w:val="none" w:sz="0" w:space="0" w:color="auto"/>
        <w:right w:val="none" w:sz="0" w:space="0" w:color="auto"/>
      </w:divBdr>
      <w:divsChild>
        <w:div w:id="136921387">
          <w:marLeft w:val="0"/>
          <w:marRight w:val="0"/>
          <w:marTop w:val="0"/>
          <w:marBottom w:val="0"/>
          <w:divBdr>
            <w:top w:val="none" w:sz="0" w:space="0" w:color="auto"/>
            <w:left w:val="none" w:sz="0" w:space="0" w:color="auto"/>
            <w:bottom w:val="none" w:sz="0" w:space="0" w:color="auto"/>
            <w:right w:val="none" w:sz="0" w:space="0" w:color="auto"/>
          </w:divBdr>
        </w:div>
        <w:div w:id="697850381">
          <w:marLeft w:val="0"/>
          <w:marRight w:val="0"/>
          <w:marTop w:val="0"/>
          <w:marBottom w:val="0"/>
          <w:divBdr>
            <w:top w:val="none" w:sz="0" w:space="0" w:color="auto"/>
            <w:left w:val="none" w:sz="0" w:space="0" w:color="auto"/>
            <w:bottom w:val="none" w:sz="0" w:space="0" w:color="auto"/>
            <w:right w:val="none" w:sz="0" w:space="0" w:color="auto"/>
          </w:divBdr>
        </w:div>
        <w:div w:id="1094209457">
          <w:marLeft w:val="0"/>
          <w:marRight w:val="0"/>
          <w:marTop w:val="0"/>
          <w:marBottom w:val="0"/>
          <w:divBdr>
            <w:top w:val="none" w:sz="0" w:space="0" w:color="auto"/>
            <w:left w:val="none" w:sz="0" w:space="0" w:color="auto"/>
            <w:bottom w:val="none" w:sz="0" w:space="0" w:color="auto"/>
            <w:right w:val="none" w:sz="0" w:space="0" w:color="auto"/>
          </w:divBdr>
        </w:div>
      </w:divsChild>
    </w:div>
    <w:div w:id="1685939474">
      <w:bodyDiv w:val="1"/>
      <w:marLeft w:val="0"/>
      <w:marRight w:val="0"/>
      <w:marTop w:val="0"/>
      <w:marBottom w:val="0"/>
      <w:divBdr>
        <w:top w:val="none" w:sz="0" w:space="0" w:color="auto"/>
        <w:left w:val="none" w:sz="0" w:space="0" w:color="auto"/>
        <w:bottom w:val="none" w:sz="0" w:space="0" w:color="auto"/>
        <w:right w:val="none" w:sz="0" w:space="0" w:color="auto"/>
      </w:divBdr>
      <w:divsChild>
        <w:div w:id="229006765">
          <w:marLeft w:val="0"/>
          <w:marRight w:val="0"/>
          <w:marTop w:val="0"/>
          <w:marBottom w:val="0"/>
          <w:divBdr>
            <w:top w:val="none" w:sz="0" w:space="0" w:color="auto"/>
            <w:left w:val="none" w:sz="0" w:space="0" w:color="auto"/>
            <w:bottom w:val="none" w:sz="0" w:space="0" w:color="auto"/>
            <w:right w:val="none" w:sz="0" w:space="0" w:color="auto"/>
          </w:divBdr>
          <w:divsChild>
            <w:div w:id="839465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5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78771">
      <w:bodyDiv w:val="1"/>
      <w:marLeft w:val="0"/>
      <w:marRight w:val="0"/>
      <w:marTop w:val="0"/>
      <w:marBottom w:val="0"/>
      <w:divBdr>
        <w:top w:val="none" w:sz="0" w:space="0" w:color="auto"/>
        <w:left w:val="none" w:sz="0" w:space="0" w:color="auto"/>
        <w:bottom w:val="none" w:sz="0" w:space="0" w:color="auto"/>
        <w:right w:val="none" w:sz="0" w:space="0" w:color="auto"/>
      </w:divBdr>
    </w:div>
    <w:div w:id="1805348777">
      <w:bodyDiv w:val="1"/>
      <w:marLeft w:val="0"/>
      <w:marRight w:val="0"/>
      <w:marTop w:val="0"/>
      <w:marBottom w:val="0"/>
      <w:divBdr>
        <w:top w:val="none" w:sz="0" w:space="0" w:color="auto"/>
        <w:left w:val="none" w:sz="0" w:space="0" w:color="auto"/>
        <w:bottom w:val="none" w:sz="0" w:space="0" w:color="auto"/>
        <w:right w:val="none" w:sz="0" w:space="0" w:color="auto"/>
      </w:divBdr>
    </w:div>
    <w:div w:id="190140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stovets\Templates\ECE+PlainPage\PlainPage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78524-F640-4F34-AD72-7BA7D958B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PlainPage_F</Template>
  <TotalTime>9</TotalTime>
  <Pages>12</Pages>
  <Words>5073</Words>
  <Characters>28922</Characters>
  <Application>Microsoft Office Word</Application>
  <DocSecurity>0</DocSecurity>
  <Lines>241</Lines>
  <Paragraphs>67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Nations Unies</vt:lpstr>
      <vt:lpstr>Nations Unies</vt:lpstr>
    </vt:vector>
  </TitlesOfParts>
  <Company>CSD</Company>
  <LinksUpToDate>false</LinksUpToDate>
  <CharactersWithSpaces>33928</CharactersWithSpaces>
  <SharedDoc>false</SharedDoc>
  <HLinks>
    <vt:vector size="30" baseType="variant">
      <vt:variant>
        <vt:i4>5898249</vt:i4>
      </vt:variant>
      <vt:variant>
        <vt:i4>0</vt:i4>
      </vt:variant>
      <vt:variant>
        <vt:i4>0</vt:i4>
      </vt:variant>
      <vt:variant>
        <vt:i4>5</vt:i4>
      </vt:variant>
      <vt:variant>
        <vt:lpwstr>http://www.unece.org/trans/doc/2006/ac10c3/ST-SG-AC10-C3-58e.doc</vt:lpwstr>
      </vt:variant>
      <vt:variant>
        <vt:lpwstr/>
      </vt:variant>
      <vt:variant>
        <vt:i4>1179725</vt:i4>
      </vt:variant>
      <vt:variant>
        <vt:i4>9</vt:i4>
      </vt:variant>
      <vt:variant>
        <vt:i4>0</vt:i4>
      </vt:variant>
      <vt:variant>
        <vt:i4>5</vt:i4>
      </vt:variant>
      <vt:variant>
        <vt:lpwstr>http://www.unece.org/meetings/practical.htm.</vt:lpwstr>
      </vt:variant>
      <vt:variant>
        <vt:lpwstr/>
      </vt:variant>
      <vt:variant>
        <vt:i4>393234</vt:i4>
      </vt:variant>
      <vt:variant>
        <vt:i4>6</vt:i4>
      </vt:variant>
      <vt:variant>
        <vt:i4>0</vt:i4>
      </vt:variant>
      <vt:variant>
        <vt:i4>5</vt:i4>
      </vt:variant>
      <vt:variant>
        <vt:lpwstr>http://www.unece.org/trans/registfr.html</vt:lpwstr>
      </vt:variant>
      <vt:variant>
        <vt:lpwstr/>
      </vt:variant>
      <vt:variant>
        <vt:i4>3407975</vt:i4>
      </vt:variant>
      <vt:variant>
        <vt:i4>3</vt:i4>
      </vt:variant>
      <vt:variant>
        <vt:i4>0</vt:i4>
      </vt:variant>
      <vt:variant>
        <vt:i4>5</vt:i4>
      </vt:variant>
      <vt:variant>
        <vt:lpwstr>http://documents.un.org/welcome.asp?language=E</vt:lpwstr>
      </vt:variant>
      <vt:variant>
        <vt:lpwstr/>
      </vt:variant>
      <vt:variant>
        <vt:i4>131095</vt:i4>
      </vt:variant>
      <vt:variant>
        <vt:i4>0</vt:i4>
      </vt:variant>
      <vt:variant>
        <vt:i4>0</vt:i4>
      </vt:variant>
      <vt:variant>
        <vt:i4>5</vt:i4>
      </vt:variant>
      <vt:variant>
        <vt:lpwstr>http://www.unece.org/trans/main/itc/itc.html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Mostovets</dc:creator>
  <cp:lastModifiedBy>AB</cp:lastModifiedBy>
  <cp:revision>10</cp:revision>
  <cp:lastPrinted>2018-03-26T08:10:00Z</cp:lastPrinted>
  <dcterms:created xsi:type="dcterms:W3CDTF">2018-04-13T12:37:00Z</dcterms:created>
  <dcterms:modified xsi:type="dcterms:W3CDTF">2018-04-13T12:45:00Z</dcterms:modified>
</cp:coreProperties>
</file>