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94892"/>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94892" w:rsidP="00C94892">
            <w:pPr>
              <w:jc w:val="right"/>
            </w:pPr>
            <w:r w:rsidRPr="00C94892">
              <w:rPr>
                <w:sz w:val="40"/>
              </w:rPr>
              <w:t>ECE</w:t>
            </w:r>
            <w:r>
              <w:t>/TRANS/273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w:t>
            </w:r>
            <w:bookmarkStart w:id="0" w:name="_GoBack"/>
            <w:bookmarkEnd w:id="0"/>
            <w:r w:rsidRPr="00FB77FF">
              <w:rPr>
                <w:b/>
                <w:sz w:val="40"/>
                <w:szCs w:val="40"/>
              </w:rPr>
              <w:t>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94892" w:rsidP="00C97039">
            <w:pPr>
              <w:spacing w:before="240"/>
            </w:pPr>
            <w:r>
              <w:t>Distr. générale</w:t>
            </w:r>
          </w:p>
          <w:p w:rsidR="00C94892" w:rsidRDefault="00C94892" w:rsidP="00C94892">
            <w:pPr>
              <w:spacing w:line="240" w:lineRule="exact"/>
            </w:pPr>
            <w:r>
              <w:t>7 décembre 2017</w:t>
            </w:r>
          </w:p>
          <w:p w:rsidR="00C94892" w:rsidRDefault="00C94892" w:rsidP="00C94892">
            <w:pPr>
              <w:spacing w:line="240" w:lineRule="exact"/>
            </w:pPr>
            <w:r>
              <w:t>Français</w:t>
            </w:r>
          </w:p>
          <w:p w:rsidR="00C94892" w:rsidRPr="00DB58B5" w:rsidRDefault="00C94892" w:rsidP="00C94892">
            <w:pPr>
              <w:spacing w:line="240" w:lineRule="exact"/>
            </w:pPr>
            <w:r>
              <w:t>Original</w:t>
            </w:r>
            <w:r w:rsidR="00FE18B8">
              <w:t> :</w:t>
            </w:r>
            <w:r>
              <w:t xml:space="preserve"> anglais</w:t>
            </w:r>
          </w:p>
        </w:tc>
      </w:tr>
    </w:tbl>
    <w:p w:rsidR="007F20FA" w:rsidRPr="000312C0" w:rsidRDefault="007F20FA" w:rsidP="00FE18B8">
      <w:pPr>
        <w:spacing w:before="120"/>
        <w:rPr>
          <w:b/>
          <w:sz w:val="28"/>
          <w:szCs w:val="28"/>
        </w:rPr>
      </w:pPr>
      <w:r w:rsidRPr="000312C0">
        <w:rPr>
          <w:b/>
          <w:sz w:val="28"/>
          <w:szCs w:val="28"/>
        </w:rPr>
        <w:t>Commission économique pour l’Europe</w:t>
      </w:r>
    </w:p>
    <w:p w:rsidR="007F20FA" w:rsidRDefault="007F20FA" w:rsidP="00FE18B8">
      <w:pPr>
        <w:spacing w:before="120" w:after="120"/>
        <w:rPr>
          <w:sz w:val="28"/>
          <w:szCs w:val="28"/>
        </w:rPr>
      </w:pPr>
      <w:r w:rsidRPr="00685843">
        <w:rPr>
          <w:sz w:val="28"/>
          <w:szCs w:val="28"/>
        </w:rPr>
        <w:t>Comité des transports intérieurs</w:t>
      </w:r>
    </w:p>
    <w:p w:rsidR="00FE18B8" w:rsidRPr="00FE18B8" w:rsidRDefault="00FE18B8" w:rsidP="00FE18B8">
      <w:pPr>
        <w:rPr>
          <w:b/>
          <w:bCs/>
        </w:rPr>
      </w:pPr>
      <w:r w:rsidRPr="00FE18B8">
        <w:rPr>
          <w:b/>
          <w:lang w:val="fr-FR"/>
        </w:rPr>
        <w:t>Quatre-vingtième session</w:t>
      </w:r>
    </w:p>
    <w:p w:rsidR="00FE18B8" w:rsidRDefault="00FE18B8" w:rsidP="00FE18B8">
      <w:pPr>
        <w:rPr>
          <w:lang w:val="fr-FR"/>
        </w:rPr>
      </w:pPr>
      <w:r>
        <w:rPr>
          <w:lang w:val="fr-FR"/>
        </w:rPr>
        <w:t>Genève, 20-23 février 2018</w:t>
      </w:r>
    </w:p>
    <w:p w:rsidR="00FE18B8" w:rsidRDefault="00FE18B8" w:rsidP="00FE18B8">
      <w:pPr>
        <w:rPr>
          <w:lang w:val="fr-FR"/>
        </w:rPr>
      </w:pPr>
      <w:r w:rsidRPr="00FE18B8">
        <w:rPr>
          <w:lang w:val="fr-FR"/>
        </w:rPr>
        <w:t>Point 1 de l’</w:t>
      </w:r>
      <w:r>
        <w:rPr>
          <w:lang w:val="fr-FR"/>
        </w:rPr>
        <w:t>ordre du jour provisoire</w:t>
      </w:r>
    </w:p>
    <w:p w:rsidR="00FE18B8" w:rsidRPr="00FE18B8" w:rsidRDefault="00FE18B8" w:rsidP="00FE18B8">
      <w:pPr>
        <w:rPr>
          <w:b/>
          <w:bCs/>
        </w:rPr>
      </w:pPr>
      <w:r w:rsidRPr="00FE18B8">
        <w:rPr>
          <w:b/>
          <w:lang w:val="fr-FR"/>
        </w:rPr>
        <w:t>Adoption de l’ordre du jour</w:t>
      </w:r>
    </w:p>
    <w:p w:rsidR="00FE18B8" w:rsidRPr="00FE18B8" w:rsidRDefault="00FE18B8" w:rsidP="00FE18B8">
      <w:pPr>
        <w:pStyle w:val="HChG"/>
      </w:pPr>
      <w:r w:rsidRPr="00FE18B8">
        <w:rPr>
          <w:lang w:val="fr-FR"/>
        </w:rPr>
        <w:tab/>
      </w:r>
      <w:r w:rsidRPr="00FE18B8">
        <w:rPr>
          <w:lang w:val="fr-FR"/>
        </w:rPr>
        <w:tab/>
        <w:t>Ordre du jour provisoire de la quatre-vingtième session</w:t>
      </w:r>
      <w:r w:rsidRPr="001E47A9">
        <w:rPr>
          <w:b w:val="0"/>
          <w:sz w:val="20"/>
          <w:lang w:val="fr-FR"/>
        </w:rPr>
        <w:footnoteReference w:customMarkFollows="1" w:id="2"/>
        <w:t>*</w:t>
      </w:r>
      <w:r w:rsidRPr="00FE18B8">
        <w:rPr>
          <w:b w:val="0"/>
          <w:sz w:val="20"/>
          <w:vertAlign w:val="superscript"/>
          <w:lang w:val="fr-FR"/>
        </w:rPr>
        <w:t>,</w:t>
      </w:r>
      <w:r w:rsidR="003E3572" w:rsidRPr="001E47A9">
        <w:rPr>
          <w:b w:val="0"/>
          <w:sz w:val="20"/>
          <w:lang w:val="fr-FR"/>
        </w:rPr>
        <w:t xml:space="preserve"> </w:t>
      </w:r>
      <w:r w:rsidRPr="001E47A9">
        <w:rPr>
          <w:b w:val="0"/>
          <w:sz w:val="20"/>
          <w:lang w:val="fr-FR"/>
        </w:rPr>
        <w:footnoteReference w:customMarkFollows="1" w:id="3"/>
        <w:t>**</w:t>
      </w:r>
    </w:p>
    <w:p w:rsidR="00FE18B8" w:rsidRPr="00FE18B8" w:rsidRDefault="00FE18B8" w:rsidP="00FE18B8">
      <w:pPr>
        <w:pStyle w:val="SingleTxtG"/>
      </w:pPr>
      <w:r>
        <w:rPr>
          <w:lang w:val="fr-FR"/>
        </w:rPr>
        <w:t>Q</w:t>
      </w:r>
      <w:r w:rsidRPr="00FE18B8">
        <w:rPr>
          <w:lang w:val="fr-FR"/>
        </w:rPr>
        <w:t>ui s’ouvrira au Palais des Nations, à Genève</w:t>
      </w:r>
      <w:r>
        <w:rPr>
          <w:lang w:val="fr-FR"/>
        </w:rPr>
        <w:t>, le mardi 20 février 2018 à 10 </w:t>
      </w:r>
      <w:r w:rsidRPr="00FE18B8">
        <w:rPr>
          <w:lang w:val="fr-FR"/>
        </w:rPr>
        <w:t>heures</w:t>
      </w:r>
    </w:p>
    <w:p w:rsidR="00FE18B8" w:rsidRPr="00FE18B8" w:rsidRDefault="00FE18B8" w:rsidP="00FE18B8">
      <w:pPr>
        <w:pStyle w:val="SingleTxtG"/>
        <w:ind w:left="1701" w:hanging="567"/>
      </w:pPr>
      <w:r w:rsidRPr="00FE18B8">
        <w:rPr>
          <w:lang w:val="fr-FR"/>
        </w:rPr>
        <w:t>1.</w:t>
      </w:r>
      <w:r w:rsidRPr="00FE18B8">
        <w:rPr>
          <w:lang w:val="fr-FR"/>
        </w:rPr>
        <w:tab/>
        <w:t>Adoption de l’ordre du jour.</w:t>
      </w:r>
    </w:p>
    <w:p w:rsidR="00FE18B8" w:rsidRPr="00FE18B8" w:rsidRDefault="00FE18B8" w:rsidP="00FE18B8">
      <w:pPr>
        <w:pStyle w:val="HChG"/>
      </w:pPr>
      <w:r>
        <w:rPr>
          <w:lang w:val="fr-FR"/>
        </w:rPr>
        <w:tab/>
      </w:r>
      <w:r w:rsidRPr="00FE18B8">
        <w:rPr>
          <w:lang w:val="fr-FR"/>
        </w:rPr>
        <w:t>I.</w:t>
      </w:r>
      <w:r w:rsidRPr="00FE18B8">
        <w:rPr>
          <w:lang w:val="fr-FR"/>
        </w:rPr>
        <w:tab/>
        <w:t>Débat de politique générale</w:t>
      </w:r>
    </w:p>
    <w:p w:rsidR="00FE18B8" w:rsidRPr="00FE18B8" w:rsidRDefault="00FE18B8" w:rsidP="00FE18B8">
      <w:pPr>
        <w:pStyle w:val="SingleTxtG"/>
        <w:ind w:left="1701" w:hanging="567"/>
      </w:pPr>
      <w:r w:rsidRPr="00FE18B8">
        <w:rPr>
          <w:lang w:val="fr-FR"/>
        </w:rPr>
        <w:t>2.</w:t>
      </w:r>
      <w:r w:rsidRPr="00FE18B8">
        <w:rPr>
          <w:lang w:val="fr-FR"/>
        </w:rPr>
        <w:tab/>
        <w:t>L’intermodalité</w:t>
      </w:r>
      <w:r>
        <w:rPr>
          <w:lang w:val="fr-FR"/>
        </w:rPr>
        <w:t> :</w:t>
      </w:r>
      <w:r w:rsidRPr="00FE18B8">
        <w:rPr>
          <w:lang w:val="fr-FR"/>
        </w:rPr>
        <w:t xml:space="preserve"> La clef des transpor</w:t>
      </w:r>
      <w:r w:rsidR="006D626A">
        <w:rPr>
          <w:lang w:val="fr-FR"/>
        </w:rPr>
        <w:t>ts et de la mobilité durables.</w:t>
      </w:r>
    </w:p>
    <w:p w:rsidR="00FE18B8" w:rsidRPr="00FE18B8" w:rsidRDefault="00FE18B8" w:rsidP="00FE18B8">
      <w:pPr>
        <w:pStyle w:val="HChG"/>
      </w:pPr>
      <w:r>
        <w:rPr>
          <w:lang w:val="fr-FR"/>
        </w:rPr>
        <w:tab/>
      </w:r>
      <w:r w:rsidRPr="00FE18B8">
        <w:rPr>
          <w:lang w:val="fr-FR"/>
        </w:rPr>
        <w:t>II.</w:t>
      </w:r>
      <w:r w:rsidRPr="00FE18B8">
        <w:rPr>
          <w:lang w:val="fr-FR"/>
        </w:rPr>
        <w:tab/>
        <w:t xml:space="preserve">Huitième réunion des présidents des organes subsidiaires </w:t>
      </w:r>
      <w:r>
        <w:rPr>
          <w:lang w:val="fr-FR"/>
        </w:rPr>
        <w:br/>
      </w:r>
      <w:r w:rsidRPr="00FE18B8">
        <w:rPr>
          <w:lang w:val="fr-FR"/>
        </w:rPr>
        <w:t>du Comité</w:t>
      </w:r>
    </w:p>
    <w:p w:rsidR="00FE18B8" w:rsidRPr="00FE18B8" w:rsidRDefault="00FE18B8" w:rsidP="00FE18B8">
      <w:pPr>
        <w:pStyle w:val="SingleTxtG"/>
        <w:ind w:left="1701" w:hanging="567"/>
      </w:pPr>
      <w:r w:rsidRPr="00FE18B8">
        <w:rPr>
          <w:lang w:val="fr-FR"/>
        </w:rPr>
        <w:t>3.</w:t>
      </w:r>
      <w:r w:rsidRPr="00FE18B8">
        <w:rPr>
          <w:lang w:val="fr-FR"/>
        </w:rPr>
        <w:tab/>
        <w:t>Réunion réservée aux représentants de gouvernements avec la participation des présidents des organes subsidiaires du Comité</w:t>
      </w:r>
      <w:r w:rsidR="006D626A">
        <w:rPr>
          <w:lang w:val="fr-FR"/>
        </w:rPr>
        <w:t>.</w:t>
      </w:r>
    </w:p>
    <w:p w:rsidR="00FE18B8" w:rsidRPr="00FE18B8" w:rsidRDefault="00FE18B8" w:rsidP="00FE18B8">
      <w:pPr>
        <w:pStyle w:val="HChG"/>
      </w:pPr>
      <w:r>
        <w:rPr>
          <w:lang w:val="fr-FR"/>
        </w:rPr>
        <w:lastRenderedPageBreak/>
        <w:tab/>
      </w:r>
      <w:r w:rsidRPr="00FE18B8">
        <w:rPr>
          <w:lang w:val="fr-FR"/>
        </w:rPr>
        <w:t>III.</w:t>
      </w:r>
      <w:r w:rsidRPr="00FE18B8">
        <w:rPr>
          <w:lang w:val="fr-FR"/>
        </w:rPr>
        <w:tab/>
        <w:t xml:space="preserve">Questions relatives aux politiques et règlements </w:t>
      </w:r>
      <w:r>
        <w:rPr>
          <w:lang w:val="fr-FR"/>
        </w:rPr>
        <w:br/>
      </w:r>
      <w:r w:rsidRPr="00FE18B8">
        <w:rPr>
          <w:lang w:val="fr-FR"/>
        </w:rPr>
        <w:t>des transports appelant des décisions du Comité</w:t>
      </w:r>
    </w:p>
    <w:p w:rsidR="00FE18B8" w:rsidRPr="00FE18B8" w:rsidRDefault="00FE18B8" w:rsidP="00FE18B8">
      <w:pPr>
        <w:pStyle w:val="SingleTxtG"/>
        <w:ind w:left="1701" w:hanging="567"/>
      </w:pPr>
      <w:r w:rsidRPr="00FE18B8">
        <w:rPr>
          <w:lang w:val="fr-FR"/>
        </w:rPr>
        <w:t>4.</w:t>
      </w:r>
      <w:r w:rsidRPr="00FE18B8">
        <w:rPr>
          <w:lang w:val="fr-FR"/>
        </w:rPr>
        <w:tab/>
        <w:t>Questions stratégiques de nature horizontale</w:t>
      </w:r>
      <w:r>
        <w:rPr>
          <w:lang w:val="fr-FR"/>
        </w:rPr>
        <w:t> :</w:t>
      </w:r>
    </w:p>
    <w:p w:rsidR="00FE18B8" w:rsidRPr="00FE18B8" w:rsidRDefault="00FE18B8" w:rsidP="00FE18B8">
      <w:pPr>
        <w:pStyle w:val="SingleTxtG"/>
        <w:ind w:left="2268" w:hanging="567"/>
      </w:pPr>
      <w:r w:rsidRPr="00FE18B8">
        <w:rPr>
          <w:lang w:val="fr-FR"/>
        </w:rPr>
        <w:t>a)</w:t>
      </w:r>
      <w:r w:rsidRPr="00FE18B8">
        <w:rPr>
          <w:lang w:val="fr-FR"/>
        </w:rPr>
        <w:tab/>
        <w:t>État des adhésions aux conventions et accords des Nations Unies sur les transports relevant du Comité des transports intérieurs</w:t>
      </w:r>
      <w:r w:rsidR="005573B2">
        <w:rPr>
          <w:lang w:val="fr-FR"/>
        </w:rPr>
        <w:t> ;</w:t>
      </w:r>
    </w:p>
    <w:p w:rsidR="00FE18B8" w:rsidRPr="00FE18B8" w:rsidRDefault="00FE18B8" w:rsidP="00FE18B8">
      <w:pPr>
        <w:pStyle w:val="SingleTxtG"/>
        <w:ind w:left="2268" w:hanging="567"/>
      </w:pPr>
      <w:r w:rsidRPr="00FE18B8">
        <w:rPr>
          <w:lang w:val="fr-FR"/>
        </w:rPr>
        <w:t>b)</w:t>
      </w:r>
      <w:r w:rsidRPr="00FE18B8">
        <w:rPr>
          <w:lang w:val="fr-FR"/>
        </w:rPr>
        <w:tab/>
        <w:t>Travaux analytiques de la Commission économique pour l’Europe dans le domaine des transports</w:t>
      </w:r>
      <w:r w:rsidR="005573B2">
        <w:rPr>
          <w:lang w:val="fr-FR"/>
        </w:rPr>
        <w:t> ;</w:t>
      </w:r>
    </w:p>
    <w:p w:rsidR="00FE18B8" w:rsidRPr="00FE18B8" w:rsidRDefault="00FE18B8" w:rsidP="00FE18B8">
      <w:pPr>
        <w:pStyle w:val="SingleTxtG"/>
        <w:ind w:left="2268" w:hanging="567"/>
      </w:pPr>
      <w:r w:rsidRPr="00FE18B8">
        <w:rPr>
          <w:lang w:val="fr-FR"/>
        </w:rPr>
        <w:t>c)</w:t>
      </w:r>
      <w:r w:rsidRPr="00FE18B8">
        <w:rPr>
          <w:lang w:val="fr-FR"/>
        </w:rPr>
        <w:tab/>
        <w:t>Débat d’orientation et assistance technique aux pays en transition</w:t>
      </w:r>
      <w:r w:rsidR="005573B2">
        <w:rPr>
          <w:lang w:val="fr-FR"/>
        </w:rPr>
        <w:t> ;</w:t>
      </w:r>
    </w:p>
    <w:p w:rsidR="00FE18B8" w:rsidRPr="00FE18B8" w:rsidRDefault="00FE18B8" w:rsidP="00FE18B8">
      <w:pPr>
        <w:pStyle w:val="SingleTxtG"/>
        <w:ind w:left="2268" w:hanging="567"/>
      </w:pPr>
      <w:r w:rsidRPr="00FE18B8">
        <w:rPr>
          <w:lang w:val="fr-FR"/>
        </w:rPr>
        <w:t>d)</w:t>
      </w:r>
      <w:r w:rsidRPr="00FE18B8">
        <w:rPr>
          <w:lang w:val="fr-FR"/>
        </w:rPr>
        <w:tab/>
        <w:t>Environnement, changements climatiques et transports</w:t>
      </w:r>
      <w:r>
        <w:rPr>
          <w:lang w:val="fr-FR"/>
        </w:rPr>
        <w:t> :</w:t>
      </w:r>
    </w:p>
    <w:p w:rsidR="00FE18B8" w:rsidRPr="00FE18B8" w:rsidRDefault="00FE18B8" w:rsidP="00FE18B8">
      <w:pPr>
        <w:pStyle w:val="SingleTxtG"/>
        <w:ind w:left="2835" w:hanging="567"/>
      </w:pPr>
      <w:r w:rsidRPr="00FE18B8">
        <w:rPr>
          <w:lang w:val="fr-FR"/>
        </w:rPr>
        <w:t>i)</w:t>
      </w:r>
      <w:r w:rsidRPr="00FE18B8">
        <w:rPr>
          <w:lang w:val="fr-FR"/>
        </w:rPr>
        <w:tab/>
        <w:t>Suite donnée par le Comité des transports intérieurs (CTI) au Programme de développement durable à l’horizon 2030</w:t>
      </w:r>
      <w:r w:rsidR="005573B2">
        <w:rPr>
          <w:lang w:val="fr-FR"/>
        </w:rPr>
        <w:t> ;</w:t>
      </w:r>
    </w:p>
    <w:p w:rsidR="00FE18B8" w:rsidRPr="00FE18B8" w:rsidRDefault="00FE18B8" w:rsidP="00FE18B8">
      <w:pPr>
        <w:pStyle w:val="SingleTxtG"/>
        <w:ind w:left="2835" w:hanging="567"/>
      </w:pPr>
      <w:r w:rsidRPr="00FE18B8">
        <w:rPr>
          <w:lang w:val="fr-FR"/>
        </w:rPr>
        <w:t>ii)</w:t>
      </w:r>
      <w:r w:rsidRPr="00FE18B8">
        <w:rPr>
          <w:lang w:val="fr-FR"/>
        </w:rPr>
        <w:tab/>
        <w:t>Décarbonisation et atténuation des effets nocifs des transports intérieurs pour l’environnement</w:t>
      </w:r>
      <w:r w:rsidR="005573B2">
        <w:rPr>
          <w:lang w:val="fr-FR"/>
        </w:rPr>
        <w:t> ;</w:t>
      </w:r>
    </w:p>
    <w:p w:rsidR="00FE18B8" w:rsidRPr="00FE18B8" w:rsidRDefault="00FE18B8" w:rsidP="00FE18B8">
      <w:pPr>
        <w:pStyle w:val="SingleTxtG"/>
        <w:ind w:left="2835" w:hanging="567"/>
      </w:pPr>
      <w:r w:rsidRPr="00FE18B8">
        <w:rPr>
          <w:lang w:val="fr-FR"/>
        </w:rPr>
        <w:t>iii)</w:t>
      </w:r>
      <w:r w:rsidRPr="00FE18B8">
        <w:rPr>
          <w:lang w:val="fr-FR"/>
        </w:rPr>
        <w:tab/>
        <w:t>Effets des changements climatiques sur les réseaux de transport internationaux et mesures d’adaptation nécessaires</w:t>
      </w:r>
      <w:r w:rsidR="005573B2">
        <w:rPr>
          <w:lang w:val="fr-FR"/>
        </w:rPr>
        <w:t> ;</w:t>
      </w:r>
    </w:p>
    <w:p w:rsidR="00FE18B8" w:rsidRPr="00FE18B8" w:rsidRDefault="00FE18B8" w:rsidP="00FE18B8">
      <w:pPr>
        <w:pStyle w:val="SingleTxtG"/>
        <w:ind w:left="2268" w:hanging="567"/>
      </w:pPr>
      <w:r w:rsidRPr="00FE18B8">
        <w:rPr>
          <w:lang w:val="fr-FR"/>
        </w:rPr>
        <w:t>e)</w:t>
      </w:r>
      <w:r w:rsidRPr="00FE18B8">
        <w:rPr>
          <w:lang w:val="fr-FR"/>
        </w:rPr>
        <w:tab/>
        <w:t>Programme paneuropéen sur les transports, la santé et l’environnement</w:t>
      </w:r>
      <w:r w:rsidR="005573B2">
        <w:rPr>
          <w:lang w:val="fr-FR"/>
        </w:rPr>
        <w:t> ;</w:t>
      </w:r>
    </w:p>
    <w:p w:rsidR="00FE18B8" w:rsidRPr="00FE18B8" w:rsidRDefault="00FE18B8" w:rsidP="00FE18B8">
      <w:pPr>
        <w:pStyle w:val="SingleTxtG"/>
        <w:ind w:left="2268" w:hanging="567"/>
      </w:pPr>
      <w:r w:rsidRPr="00FE18B8">
        <w:rPr>
          <w:lang w:val="fr-FR"/>
        </w:rPr>
        <w:t>f)</w:t>
      </w:r>
      <w:r w:rsidRPr="00FE18B8">
        <w:rPr>
          <w:lang w:val="fr-FR"/>
        </w:rPr>
        <w:tab/>
        <w:t>Systèmes de transport intelligents</w:t>
      </w:r>
      <w:r w:rsidR="005573B2">
        <w:rPr>
          <w:lang w:val="fr-FR"/>
        </w:rPr>
        <w:t> ;</w:t>
      </w:r>
    </w:p>
    <w:p w:rsidR="00FE18B8" w:rsidRPr="00FE18B8" w:rsidRDefault="00FE18B8" w:rsidP="00FE18B8">
      <w:pPr>
        <w:pStyle w:val="SingleTxtG"/>
        <w:ind w:left="2268" w:hanging="567"/>
      </w:pPr>
      <w:r w:rsidRPr="00FE18B8">
        <w:rPr>
          <w:lang w:val="fr-FR"/>
        </w:rPr>
        <w:t>g)</w:t>
      </w:r>
      <w:r w:rsidRPr="00FE18B8">
        <w:rPr>
          <w:lang w:val="fr-FR"/>
        </w:rPr>
        <w:tab/>
        <w:t>Appui aux pays sans littoral</w:t>
      </w:r>
      <w:r>
        <w:rPr>
          <w:lang w:val="fr-FR"/>
        </w:rPr>
        <w:t> :</w:t>
      </w:r>
      <w:r w:rsidRPr="00FE18B8">
        <w:rPr>
          <w:lang w:val="fr-FR"/>
        </w:rPr>
        <w:t xml:space="preserve"> Programme d’action de Vienne</w:t>
      </w:r>
      <w:r w:rsidR="005573B2">
        <w:rPr>
          <w:lang w:val="fr-FR"/>
        </w:rPr>
        <w:t> ;</w:t>
      </w:r>
    </w:p>
    <w:p w:rsidR="00FE18B8" w:rsidRPr="00FE18B8" w:rsidRDefault="00FE18B8" w:rsidP="00FE18B8">
      <w:pPr>
        <w:pStyle w:val="SingleTxtG"/>
        <w:ind w:left="2268" w:hanging="567"/>
      </w:pPr>
      <w:r w:rsidRPr="00FE18B8">
        <w:rPr>
          <w:lang w:val="fr-FR"/>
        </w:rPr>
        <w:t>h)</w:t>
      </w:r>
      <w:r w:rsidRPr="00FE18B8">
        <w:rPr>
          <w:lang w:val="fr-FR"/>
        </w:rPr>
        <w:tab/>
        <w:t>Sûreté des transports intérieurs.</w:t>
      </w:r>
    </w:p>
    <w:p w:rsidR="00FE18B8" w:rsidRPr="00FE18B8" w:rsidRDefault="00FE18B8" w:rsidP="00FE18B8">
      <w:pPr>
        <w:pStyle w:val="SingleTxtG"/>
        <w:ind w:left="1701" w:hanging="567"/>
      </w:pPr>
      <w:r w:rsidRPr="00FE18B8">
        <w:rPr>
          <w:lang w:val="fr-FR"/>
        </w:rPr>
        <w:t>5.</w:t>
      </w:r>
      <w:r w:rsidRPr="00FE18B8">
        <w:rPr>
          <w:lang w:val="fr-FR"/>
        </w:rPr>
        <w:tab/>
        <w:t>Questions stratégiques à caractère modal et thématique</w:t>
      </w:r>
      <w:r>
        <w:rPr>
          <w:lang w:val="fr-FR"/>
        </w:rPr>
        <w:t> :</w:t>
      </w:r>
    </w:p>
    <w:p w:rsidR="00FE18B8" w:rsidRPr="00FE18B8" w:rsidRDefault="00FE18B8" w:rsidP="00FE18B8">
      <w:pPr>
        <w:pStyle w:val="SingleTxtG"/>
        <w:ind w:left="2268" w:hanging="567"/>
      </w:pPr>
      <w:r w:rsidRPr="00FE18B8">
        <w:rPr>
          <w:lang w:val="fr-FR"/>
        </w:rPr>
        <w:t>a)</w:t>
      </w:r>
      <w:r w:rsidRPr="00FE18B8">
        <w:rPr>
          <w:lang w:val="fr-FR"/>
        </w:rPr>
        <w:tab/>
        <w:t>Activités se rapportant aux projets</w:t>
      </w:r>
      <w:r>
        <w:rPr>
          <w:lang w:val="fr-FR"/>
        </w:rPr>
        <w:t> :</w:t>
      </w:r>
    </w:p>
    <w:p w:rsidR="00FE18B8" w:rsidRPr="00FE18B8" w:rsidRDefault="00FE18B8" w:rsidP="00FE18B8">
      <w:pPr>
        <w:pStyle w:val="SingleTxtG"/>
        <w:ind w:left="2835" w:hanging="567"/>
      </w:pPr>
      <w:r w:rsidRPr="00FE18B8">
        <w:rPr>
          <w:lang w:val="fr-FR"/>
        </w:rPr>
        <w:t>i)</w:t>
      </w:r>
      <w:r w:rsidRPr="00FE18B8">
        <w:rPr>
          <w:lang w:val="fr-FR"/>
        </w:rPr>
        <w:tab/>
        <w:t>Projet d’autoroute transeuropéenne (TEM) et projet de chemin de fer transeuropéen (TER)</w:t>
      </w:r>
      <w:r w:rsidR="005573B2">
        <w:rPr>
          <w:lang w:val="fr-FR"/>
        </w:rPr>
        <w:t> ;</w:t>
      </w:r>
    </w:p>
    <w:p w:rsidR="00FE18B8" w:rsidRPr="00FE18B8" w:rsidRDefault="00FE18B8" w:rsidP="00FE18B8">
      <w:pPr>
        <w:pStyle w:val="SingleTxtG"/>
        <w:ind w:left="2835" w:hanging="567"/>
      </w:pPr>
      <w:r w:rsidRPr="00FE18B8">
        <w:rPr>
          <w:lang w:val="fr-FR"/>
        </w:rPr>
        <w:t>ii)</w:t>
      </w:r>
      <w:r w:rsidRPr="00FE18B8">
        <w:rPr>
          <w:lang w:val="fr-FR"/>
        </w:rPr>
        <w:tab/>
        <w:t>Projet concernant les liaisons de transport Europe-Asie (LTEA)</w:t>
      </w:r>
      <w:r w:rsidR="005573B2">
        <w:rPr>
          <w:lang w:val="fr-FR"/>
        </w:rPr>
        <w:t> ;</w:t>
      </w:r>
    </w:p>
    <w:p w:rsidR="00FE18B8" w:rsidRPr="00FE18B8" w:rsidRDefault="00FE18B8" w:rsidP="00FE18B8">
      <w:pPr>
        <w:pStyle w:val="SingleTxtG"/>
        <w:ind w:left="2268" w:hanging="567"/>
      </w:pPr>
      <w:r w:rsidRPr="00FE18B8">
        <w:rPr>
          <w:lang w:val="fr-FR"/>
        </w:rPr>
        <w:t>b)</w:t>
      </w:r>
      <w:r w:rsidRPr="00FE18B8">
        <w:rPr>
          <w:lang w:val="fr-FR"/>
        </w:rPr>
        <w:tab/>
        <w:t>Harmonisation des Règlements concernant les véhicules</w:t>
      </w:r>
      <w:r w:rsidR="005573B2">
        <w:rPr>
          <w:lang w:val="fr-FR"/>
        </w:rPr>
        <w:t> ;</w:t>
      </w:r>
    </w:p>
    <w:p w:rsidR="00FE18B8" w:rsidRPr="00FE18B8" w:rsidRDefault="00FE18B8" w:rsidP="00FE18B8">
      <w:pPr>
        <w:pStyle w:val="SingleTxtG"/>
        <w:ind w:left="2268" w:hanging="567"/>
      </w:pPr>
      <w:r w:rsidRPr="00FE18B8">
        <w:rPr>
          <w:lang w:val="fr-FR"/>
        </w:rPr>
        <w:t>c)</w:t>
      </w:r>
      <w:r w:rsidRPr="00FE18B8">
        <w:rPr>
          <w:lang w:val="fr-FR"/>
        </w:rPr>
        <w:tab/>
        <w:t>Sécurité routière</w:t>
      </w:r>
      <w:r w:rsidR="005573B2">
        <w:rPr>
          <w:lang w:val="fr-FR"/>
        </w:rPr>
        <w:t> ;</w:t>
      </w:r>
    </w:p>
    <w:p w:rsidR="00FE18B8" w:rsidRPr="00FE18B8" w:rsidRDefault="00FE18B8" w:rsidP="00FE18B8">
      <w:pPr>
        <w:pStyle w:val="SingleTxtG"/>
        <w:ind w:left="2268" w:hanging="567"/>
      </w:pPr>
      <w:r w:rsidRPr="00FE18B8">
        <w:rPr>
          <w:lang w:val="fr-FR"/>
        </w:rPr>
        <w:t>d)</w:t>
      </w:r>
      <w:r w:rsidRPr="00FE18B8">
        <w:rPr>
          <w:lang w:val="fr-FR"/>
        </w:rPr>
        <w:tab/>
        <w:t>Transport routier</w:t>
      </w:r>
      <w:r w:rsidR="005573B2">
        <w:rPr>
          <w:lang w:val="fr-FR"/>
        </w:rPr>
        <w:t> ;</w:t>
      </w:r>
    </w:p>
    <w:p w:rsidR="00FE18B8" w:rsidRPr="00FE18B8" w:rsidRDefault="00FE18B8" w:rsidP="00FE18B8">
      <w:pPr>
        <w:pStyle w:val="SingleTxtG"/>
        <w:ind w:left="2268" w:hanging="567"/>
      </w:pPr>
      <w:r w:rsidRPr="00FE18B8">
        <w:rPr>
          <w:lang w:val="fr-FR"/>
        </w:rPr>
        <w:t>e)</w:t>
      </w:r>
      <w:r w:rsidRPr="00FE18B8">
        <w:rPr>
          <w:lang w:val="fr-FR"/>
        </w:rPr>
        <w:tab/>
        <w:t>Transport ferroviaire</w:t>
      </w:r>
      <w:r w:rsidR="005573B2">
        <w:rPr>
          <w:lang w:val="fr-FR"/>
        </w:rPr>
        <w:t> ;</w:t>
      </w:r>
    </w:p>
    <w:p w:rsidR="00FE18B8" w:rsidRPr="00FE18B8" w:rsidRDefault="00FE18B8" w:rsidP="00FE18B8">
      <w:pPr>
        <w:pStyle w:val="SingleTxtG"/>
        <w:ind w:left="2268" w:hanging="567"/>
      </w:pPr>
      <w:r w:rsidRPr="00FE18B8">
        <w:rPr>
          <w:lang w:val="fr-FR"/>
        </w:rPr>
        <w:t>f)</w:t>
      </w:r>
      <w:r w:rsidRPr="00FE18B8">
        <w:rPr>
          <w:lang w:val="fr-FR"/>
        </w:rPr>
        <w:tab/>
        <w:t>Transport intermodal et logistique</w:t>
      </w:r>
      <w:r w:rsidR="00840C82">
        <w:rPr>
          <w:lang w:val="fr-FR"/>
        </w:rPr>
        <w:t> ;</w:t>
      </w:r>
    </w:p>
    <w:p w:rsidR="00FE18B8" w:rsidRPr="00FE18B8" w:rsidRDefault="00FE18B8" w:rsidP="00FE18B8">
      <w:pPr>
        <w:pStyle w:val="SingleTxtG"/>
        <w:ind w:left="2268" w:hanging="567"/>
      </w:pPr>
      <w:r w:rsidRPr="00FE18B8">
        <w:rPr>
          <w:lang w:val="fr-FR"/>
        </w:rPr>
        <w:t>g)</w:t>
      </w:r>
      <w:r w:rsidRPr="00FE18B8">
        <w:rPr>
          <w:lang w:val="fr-FR"/>
        </w:rPr>
        <w:tab/>
        <w:t>Transport par voie navigable</w:t>
      </w:r>
      <w:r w:rsidR="005573B2">
        <w:rPr>
          <w:lang w:val="fr-FR"/>
        </w:rPr>
        <w:t> ;</w:t>
      </w:r>
    </w:p>
    <w:p w:rsidR="00FE18B8" w:rsidRPr="00FE18B8" w:rsidRDefault="00FE18B8" w:rsidP="00FE18B8">
      <w:pPr>
        <w:pStyle w:val="SingleTxtG"/>
        <w:ind w:left="2268" w:hanging="567"/>
      </w:pPr>
      <w:r w:rsidRPr="00FE18B8">
        <w:rPr>
          <w:lang w:val="fr-FR"/>
        </w:rPr>
        <w:t>h)</w:t>
      </w:r>
      <w:r w:rsidRPr="00FE18B8">
        <w:rPr>
          <w:lang w:val="fr-FR"/>
        </w:rPr>
        <w:tab/>
        <w:t>Renforcement des mesures de facilitation du franchissement des frontières (Convention sur l’harmonisation, Convention TIR, projet eTIR et autres mesures de facilitation du transit douanier)</w:t>
      </w:r>
      <w:r w:rsidR="005573B2">
        <w:rPr>
          <w:lang w:val="fr-FR"/>
        </w:rPr>
        <w:t> ;</w:t>
      </w:r>
    </w:p>
    <w:p w:rsidR="00FE18B8" w:rsidRPr="00FE18B8" w:rsidRDefault="00FE18B8" w:rsidP="00FE18B8">
      <w:pPr>
        <w:pStyle w:val="SingleTxtG"/>
        <w:ind w:left="2268" w:hanging="567"/>
      </w:pPr>
      <w:r w:rsidRPr="00FE18B8">
        <w:rPr>
          <w:lang w:val="fr-FR"/>
        </w:rPr>
        <w:t>i)</w:t>
      </w:r>
      <w:r w:rsidRPr="00FE18B8">
        <w:rPr>
          <w:lang w:val="fr-FR"/>
        </w:rPr>
        <w:tab/>
        <w:t>Transport des marchandises dangereuses</w:t>
      </w:r>
      <w:r w:rsidR="005573B2">
        <w:rPr>
          <w:lang w:val="fr-FR"/>
        </w:rPr>
        <w:t> ;</w:t>
      </w:r>
    </w:p>
    <w:p w:rsidR="00FE18B8" w:rsidRPr="00FE18B8" w:rsidRDefault="00FE18B8" w:rsidP="00FE18B8">
      <w:pPr>
        <w:pStyle w:val="SingleTxtG"/>
        <w:ind w:left="2268" w:hanging="567"/>
      </w:pPr>
      <w:r w:rsidRPr="00FE18B8">
        <w:rPr>
          <w:lang w:val="fr-FR"/>
        </w:rPr>
        <w:t>j)</w:t>
      </w:r>
      <w:r w:rsidRPr="00FE18B8">
        <w:rPr>
          <w:lang w:val="fr-FR"/>
        </w:rPr>
        <w:tab/>
        <w:t>Transport des denrées périssables</w:t>
      </w:r>
      <w:r w:rsidR="005573B2">
        <w:rPr>
          <w:lang w:val="fr-FR"/>
        </w:rPr>
        <w:t> ;</w:t>
      </w:r>
    </w:p>
    <w:p w:rsidR="00FE18B8" w:rsidRPr="00FE18B8" w:rsidRDefault="00FE18B8" w:rsidP="00FE18B8">
      <w:pPr>
        <w:pStyle w:val="SingleTxtG"/>
        <w:ind w:left="2268" w:hanging="567"/>
      </w:pPr>
      <w:r w:rsidRPr="00FE18B8">
        <w:rPr>
          <w:lang w:val="fr-FR"/>
        </w:rPr>
        <w:t>k)</w:t>
      </w:r>
      <w:r w:rsidRPr="00FE18B8">
        <w:rPr>
          <w:lang w:val="fr-FR"/>
        </w:rPr>
        <w:tab/>
        <w:t>Données et statistiques relatives aux transports.</w:t>
      </w:r>
    </w:p>
    <w:p w:rsidR="00FE18B8" w:rsidRPr="00FE18B8" w:rsidRDefault="00FE18B8" w:rsidP="00FE18B8">
      <w:pPr>
        <w:pStyle w:val="SingleTxtG"/>
        <w:ind w:left="1701" w:hanging="567"/>
      </w:pPr>
      <w:r w:rsidRPr="00FE18B8">
        <w:rPr>
          <w:lang w:val="fr-FR"/>
        </w:rPr>
        <w:t>6.</w:t>
      </w:r>
      <w:r w:rsidRPr="00FE18B8">
        <w:rPr>
          <w:lang w:val="fr-FR"/>
        </w:rPr>
        <w:tab/>
        <w:t>Questions découlant des activités de la Commission économique pour l’Europe (CEE), du Conseil économique et social et d’autres organes et conférences des Nations Unies</w:t>
      </w:r>
      <w:r w:rsidR="005573B2">
        <w:rPr>
          <w:lang w:val="fr-FR"/>
        </w:rPr>
        <w:t> :</w:t>
      </w:r>
    </w:p>
    <w:p w:rsidR="00FE18B8" w:rsidRPr="00FE18B8" w:rsidRDefault="00FE18B8" w:rsidP="00FE18B8">
      <w:pPr>
        <w:pStyle w:val="SingleTxtG"/>
        <w:ind w:left="2268" w:hanging="567"/>
      </w:pPr>
      <w:r w:rsidRPr="00FE18B8">
        <w:rPr>
          <w:lang w:val="fr-FR"/>
        </w:rPr>
        <w:t>a)</w:t>
      </w:r>
      <w:r w:rsidRPr="00FE18B8">
        <w:rPr>
          <w:lang w:val="fr-FR"/>
        </w:rPr>
        <w:tab/>
        <w:t>CEE, Conseil économique et social et autres organes et conférences des Nations Unies</w:t>
      </w:r>
      <w:r w:rsidR="005573B2">
        <w:rPr>
          <w:lang w:val="fr-FR"/>
        </w:rPr>
        <w:t> ;</w:t>
      </w:r>
    </w:p>
    <w:p w:rsidR="00FE18B8" w:rsidRPr="00FE18B8" w:rsidRDefault="00FE18B8" w:rsidP="00FE18B8">
      <w:pPr>
        <w:pStyle w:val="SingleTxtG"/>
        <w:ind w:left="2268" w:hanging="567"/>
      </w:pPr>
      <w:r w:rsidRPr="00FE18B8">
        <w:rPr>
          <w:lang w:val="fr-FR"/>
        </w:rPr>
        <w:t>b)</w:t>
      </w:r>
      <w:r w:rsidRPr="00FE18B8">
        <w:rPr>
          <w:lang w:val="fr-FR"/>
        </w:rPr>
        <w:tab/>
        <w:t xml:space="preserve">Dialogue avec les Commissions régionales de l’ONU sur les activités en cours relatives aux transports intérieurs. </w:t>
      </w:r>
    </w:p>
    <w:p w:rsidR="00FE18B8" w:rsidRPr="00FE18B8" w:rsidRDefault="00FE18B8" w:rsidP="00FE18B8">
      <w:pPr>
        <w:pStyle w:val="SingleTxtG"/>
        <w:ind w:left="1701" w:hanging="567"/>
      </w:pPr>
      <w:r w:rsidRPr="00FE18B8">
        <w:rPr>
          <w:lang w:val="fr-FR"/>
        </w:rPr>
        <w:lastRenderedPageBreak/>
        <w:t>7.</w:t>
      </w:r>
      <w:r w:rsidRPr="00FE18B8">
        <w:rPr>
          <w:lang w:val="fr-FR"/>
        </w:rPr>
        <w:tab/>
        <w:t>Projet de rapport annuel sur les activités menées par les organes subsidiaires du Comité en 2017.</w:t>
      </w:r>
    </w:p>
    <w:p w:rsidR="00FE18B8" w:rsidRPr="00FE18B8" w:rsidRDefault="00FE18B8" w:rsidP="00FE18B8">
      <w:pPr>
        <w:pStyle w:val="HChG"/>
      </w:pPr>
      <w:r>
        <w:rPr>
          <w:b w:val="0"/>
          <w:lang w:val="fr-FR"/>
        </w:rPr>
        <w:tab/>
      </w:r>
      <w:r w:rsidRPr="00FE18B8">
        <w:rPr>
          <w:lang w:val="fr-FR"/>
        </w:rPr>
        <w:t>IV.</w:t>
      </w:r>
      <w:r w:rsidRPr="00FE18B8">
        <w:rPr>
          <w:lang w:val="fr-FR"/>
        </w:rPr>
        <w:tab/>
        <w:t>Autres questions relatives aux travaux des organes subsidiaires du Comité</w:t>
      </w:r>
    </w:p>
    <w:p w:rsidR="00FE18B8" w:rsidRPr="00FE18B8" w:rsidRDefault="00FE18B8" w:rsidP="00FE18B8">
      <w:pPr>
        <w:pStyle w:val="SingleTxtG"/>
        <w:ind w:left="1701" w:hanging="567"/>
      </w:pPr>
      <w:r w:rsidRPr="00FE18B8">
        <w:rPr>
          <w:lang w:val="fr-FR"/>
        </w:rPr>
        <w:t>8.</w:t>
      </w:r>
      <w:r w:rsidRPr="00FE18B8">
        <w:rPr>
          <w:lang w:val="fr-FR"/>
        </w:rPr>
        <w:tab/>
        <w:t>Questions soumises au Comité pour approbation et pour information</w:t>
      </w:r>
      <w:r>
        <w:rPr>
          <w:lang w:val="fr-FR"/>
        </w:rPr>
        <w:t> :</w:t>
      </w:r>
      <w:r w:rsidRPr="00FE18B8">
        <w:rPr>
          <w:lang w:val="fr-FR"/>
        </w:rPr>
        <w:t xml:space="preserve"> Approbation des rapports des organes subsidiaires du Comité.</w:t>
      </w:r>
    </w:p>
    <w:p w:rsidR="00FE18B8" w:rsidRPr="00FE18B8" w:rsidRDefault="00FE18B8" w:rsidP="00FE18B8">
      <w:pPr>
        <w:pStyle w:val="SingleTxtG"/>
        <w:ind w:left="1701" w:hanging="567"/>
      </w:pPr>
      <w:r w:rsidRPr="00FE18B8">
        <w:rPr>
          <w:lang w:val="fr-FR"/>
        </w:rPr>
        <w:t>9.</w:t>
      </w:r>
      <w:r w:rsidRPr="00FE18B8">
        <w:rPr>
          <w:lang w:val="fr-FR"/>
        </w:rPr>
        <w:tab/>
        <w:t>Résultats des réunions du Bureau du Comité des transports intérieurs.</w:t>
      </w:r>
    </w:p>
    <w:p w:rsidR="00FE18B8" w:rsidRPr="00FE18B8" w:rsidRDefault="00FE18B8" w:rsidP="00FE18B8">
      <w:pPr>
        <w:pStyle w:val="SingleTxtG"/>
        <w:ind w:left="1701" w:hanging="567"/>
      </w:pPr>
      <w:r w:rsidRPr="00FE18B8">
        <w:rPr>
          <w:lang w:val="fr-FR"/>
        </w:rPr>
        <w:t>10.</w:t>
      </w:r>
      <w:r w:rsidRPr="00FE18B8">
        <w:rPr>
          <w:lang w:val="fr-FR"/>
        </w:rPr>
        <w:tab/>
        <w:t>Activités de la Commission et rapport du Comité au Comité exécutif de la CEE.</w:t>
      </w:r>
    </w:p>
    <w:p w:rsidR="00FE18B8" w:rsidRPr="00FE18B8" w:rsidRDefault="00FE18B8" w:rsidP="00FE18B8">
      <w:pPr>
        <w:pStyle w:val="SingleTxtG"/>
        <w:ind w:left="1701" w:hanging="567"/>
      </w:pPr>
      <w:r w:rsidRPr="00FE18B8">
        <w:rPr>
          <w:lang w:val="fr-FR"/>
        </w:rPr>
        <w:t>11.</w:t>
      </w:r>
      <w:r w:rsidRPr="00FE18B8">
        <w:rPr>
          <w:lang w:val="fr-FR"/>
        </w:rPr>
        <w:tab/>
        <w:t xml:space="preserve">Approbation de l’évaluation biennale des travaux du Comité pour 2016-2017. </w:t>
      </w:r>
    </w:p>
    <w:p w:rsidR="00FE18B8" w:rsidRPr="00FE18B8" w:rsidRDefault="00FE18B8" w:rsidP="00FE18B8">
      <w:pPr>
        <w:pStyle w:val="SingleTxtG"/>
        <w:ind w:left="1701" w:hanging="567"/>
      </w:pPr>
      <w:r w:rsidRPr="00FE18B8">
        <w:rPr>
          <w:lang w:val="fr-FR"/>
        </w:rPr>
        <w:t>12.</w:t>
      </w:r>
      <w:r w:rsidRPr="00FE18B8">
        <w:rPr>
          <w:lang w:val="fr-FR"/>
        </w:rPr>
        <w:tab/>
        <w:t>Programme de travail et évaluation biennale pour 2018-2019 et cadre stratégique pour 2020-2021.</w:t>
      </w:r>
    </w:p>
    <w:p w:rsidR="00FE18B8" w:rsidRPr="00FE18B8" w:rsidRDefault="00FE18B8" w:rsidP="00FE18B8">
      <w:pPr>
        <w:pStyle w:val="SingleTxtG"/>
        <w:ind w:left="1701" w:hanging="567"/>
      </w:pPr>
      <w:r w:rsidRPr="00FE18B8">
        <w:rPr>
          <w:lang w:val="fr-FR"/>
        </w:rPr>
        <w:t>13.</w:t>
      </w:r>
      <w:r w:rsidRPr="00FE18B8">
        <w:rPr>
          <w:lang w:val="fr-FR"/>
        </w:rPr>
        <w:tab/>
        <w:t>Élection du Bureau en prévision des sessions du Comité de 2019 et 2020.</w:t>
      </w:r>
    </w:p>
    <w:p w:rsidR="00FE18B8" w:rsidRPr="00FE18B8" w:rsidRDefault="00FE18B8" w:rsidP="00FE18B8">
      <w:pPr>
        <w:pStyle w:val="SingleTxtG"/>
        <w:ind w:left="1701" w:hanging="567"/>
      </w:pPr>
      <w:r w:rsidRPr="00FE18B8">
        <w:rPr>
          <w:lang w:val="fr-FR"/>
        </w:rPr>
        <w:t>14.</w:t>
      </w:r>
      <w:r w:rsidRPr="00FE18B8">
        <w:rPr>
          <w:lang w:val="fr-FR"/>
        </w:rPr>
        <w:tab/>
        <w:t>Composition du Bureau du Comité en 2019 et 2020.</w:t>
      </w:r>
    </w:p>
    <w:p w:rsidR="00FE18B8" w:rsidRPr="00FE18B8" w:rsidRDefault="00FE18B8" w:rsidP="00FE18B8">
      <w:pPr>
        <w:pStyle w:val="SingleTxtG"/>
        <w:ind w:left="1701" w:hanging="567"/>
      </w:pPr>
      <w:r w:rsidRPr="00FE18B8">
        <w:rPr>
          <w:lang w:val="fr-FR"/>
        </w:rPr>
        <w:t>15.</w:t>
      </w:r>
      <w:r w:rsidRPr="00FE18B8">
        <w:rPr>
          <w:lang w:val="fr-FR"/>
        </w:rPr>
        <w:tab/>
        <w:t>Calendrier des réunions en 2018.</w:t>
      </w:r>
    </w:p>
    <w:p w:rsidR="00FE18B8" w:rsidRPr="00FE18B8" w:rsidRDefault="00FE18B8" w:rsidP="00FE18B8">
      <w:pPr>
        <w:pStyle w:val="HChG"/>
      </w:pPr>
      <w:r>
        <w:rPr>
          <w:b w:val="0"/>
          <w:lang w:val="fr-FR"/>
        </w:rPr>
        <w:tab/>
      </w:r>
      <w:r w:rsidRPr="00FE18B8">
        <w:rPr>
          <w:lang w:val="fr-FR"/>
        </w:rPr>
        <w:t>V.</w:t>
      </w:r>
      <w:r w:rsidRPr="00FE18B8">
        <w:rPr>
          <w:lang w:val="fr-FR"/>
        </w:rPr>
        <w:tab/>
        <w:t xml:space="preserve">Partenariats et activités d’autres organisations </w:t>
      </w:r>
      <w:r w:rsidR="005573B2">
        <w:rPr>
          <w:lang w:val="fr-FR"/>
        </w:rPr>
        <w:br/>
      </w:r>
      <w:r w:rsidRPr="00FE18B8">
        <w:rPr>
          <w:lang w:val="fr-FR"/>
        </w:rPr>
        <w:t>intéressant le Comité</w:t>
      </w:r>
    </w:p>
    <w:p w:rsidR="00FE18B8" w:rsidRPr="00FE18B8" w:rsidRDefault="00FE18B8" w:rsidP="00FE18B8">
      <w:pPr>
        <w:pStyle w:val="SingleTxtG"/>
        <w:ind w:left="1701" w:hanging="567"/>
      </w:pPr>
      <w:r w:rsidRPr="00FE18B8">
        <w:rPr>
          <w:lang w:val="fr-FR"/>
        </w:rPr>
        <w:t>16.</w:t>
      </w:r>
      <w:r w:rsidRPr="00FE18B8">
        <w:rPr>
          <w:lang w:val="fr-FR"/>
        </w:rPr>
        <w:tab/>
        <w:t>Évolution des transports dans l’Union européenne.</w:t>
      </w:r>
    </w:p>
    <w:p w:rsidR="00FE18B8" w:rsidRPr="00FE18B8" w:rsidRDefault="00FE18B8" w:rsidP="00FE18B8">
      <w:pPr>
        <w:pStyle w:val="SingleTxtG"/>
        <w:ind w:left="1701" w:hanging="567"/>
      </w:pPr>
      <w:r w:rsidRPr="00FE18B8">
        <w:rPr>
          <w:lang w:val="fr-FR"/>
        </w:rPr>
        <w:t>17.</w:t>
      </w:r>
      <w:r w:rsidRPr="00FE18B8">
        <w:rPr>
          <w:lang w:val="fr-FR"/>
        </w:rPr>
        <w:tab/>
        <w:t>Faits nouveaux relatifs aux travaux du Forum international des transports.</w:t>
      </w:r>
    </w:p>
    <w:p w:rsidR="00FE18B8" w:rsidRPr="00FE18B8" w:rsidRDefault="00FE18B8" w:rsidP="00FE18B8">
      <w:pPr>
        <w:pStyle w:val="SingleTxtG"/>
        <w:ind w:left="1701" w:hanging="567"/>
      </w:pPr>
      <w:r w:rsidRPr="00FE18B8">
        <w:rPr>
          <w:lang w:val="fr-FR"/>
        </w:rPr>
        <w:t>18.</w:t>
      </w:r>
      <w:r w:rsidRPr="00FE18B8">
        <w:rPr>
          <w:lang w:val="fr-FR"/>
        </w:rPr>
        <w:tab/>
        <w:t>Activités d’autres organisations intéressant le Comité.</w:t>
      </w:r>
    </w:p>
    <w:p w:rsidR="00FE18B8" w:rsidRPr="00FE18B8" w:rsidRDefault="00FE18B8" w:rsidP="00FE18B8">
      <w:pPr>
        <w:pStyle w:val="HChG"/>
      </w:pPr>
      <w:r>
        <w:rPr>
          <w:b w:val="0"/>
          <w:lang w:val="fr-FR"/>
        </w:rPr>
        <w:tab/>
      </w:r>
      <w:r w:rsidRPr="00FE18B8">
        <w:rPr>
          <w:lang w:val="fr-FR"/>
        </w:rPr>
        <w:t>VI.</w:t>
      </w:r>
      <w:r w:rsidRPr="00FE18B8">
        <w:rPr>
          <w:lang w:val="fr-FR"/>
        </w:rPr>
        <w:tab/>
        <w:t>Divers</w:t>
      </w:r>
    </w:p>
    <w:p w:rsidR="00FE18B8" w:rsidRPr="00FE18B8" w:rsidRDefault="00FE18B8" w:rsidP="00FE18B8">
      <w:pPr>
        <w:pStyle w:val="SingleTxtG"/>
        <w:ind w:left="1701" w:hanging="567"/>
      </w:pPr>
      <w:r w:rsidRPr="00FE18B8">
        <w:rPr>
          <w:lang w:val="fr-FR"/>
        </w:rPr>
        <w:t>19.</w:t>
      </w:r>
      <w:r w:rsidRPr="00FE18B8">
        <w:rPr>
          <w:lang w:val="fr-FR"/>
        </w:rPr>
        <w:tab/>
        <w:t>Questions diverses</w:t>
      </w:r>
      <w:r>
        <w:rPr>
          <w:lang w:val="fr-FR"/>
        </w:rPr>
        <w:t> :</w:t>
      </w:r>
      <w:r w:rsidRPr="00FE18B8">
        <w:rPr>
          <w:lang w:val="fr-FR"/>
        </w:rPr>
        <w:t xml:space="preserve"> Date de la prochaine session.</w:t>
      </w:r>
    </w:p>
    <w:p w:rsidR="00FE18B8" w:rsidRPr="00FE18B8" w:rsidRDefault="00FE18B8" w:rsidP="00FE18B8">
      <w:pPr>
        <w:pStyle w:val="HChG"/>
      </w:pPr>
      <w:r>
        <w:rPr>
          <w:b w:val="0"/>
          <w:lang w:val="fr-FR"/>
        </w:rPr>
        <w:tab/>
      </w:r>
      <w:r w:rsidRPr="00FE18B8">
        <w:rPr>
          <w:lang w:val="fr-FR"/>
        </w:rPr>
        <w:t>VII.</w:t>
      </w:r>
      <w:r w:rsidRPr="00FE18B8">
        <w:rPr>
          <w:lang w:val="fr-FR"/>
        </w:rPr>
        <w:tab/>
        <w:t>Liste des décisions</w:t>
      </w:r>
    </w:p>
    <w:p w:rsidR="00FE18B8" w:rsidRPr="00FE18B8" w:rsidRDefault="00FE18B8" w:rsidP="00FE18B8">
      <w:pPr>
        <w:pStyle w:val="SingleTxtG"/>
        <w:ind w:left="1701" w:hanging="567"/>
      </w:pPr>
      <w:r w:rsidRPr="00FE18B8">
        <w:rPr>
          <w:lang w:val="fr-FR"/>
        </w:rPr>
        <w:t>20.</w:t>
      </w:r>
      <w:r w:rsidRPr="00FE18B8">
        <w:rPr>
          <w:lang w:val="fr-FR"/>
        </w:rPr>
        <w:tab/>
        <w:t>Adoption de la liste des principales décisions prises par le Comité à sa quatre-vingtième session.</w:t>
      </w:r>
    </w:p>
    <w:p w:rsidR="00FE18B8" w:rsidRPr="00FE18B8" w:rsidRDefault="00FE18B8" w:rsidP="00FE18B8">
      <w:pPr>
        <w:pStyle w:val="HChG"/>
      </w:pPr>
      <w:r>
        <w:rPr>
          <w:b w:val="0"/>
          <w:lang w:val="fr-FR"/>
        </w:rPr>
        <w:tab/>
      </w:r>
      <w:r w:rsidRPr="00FE18B8">
        <w:rPr>
          <w:lang w:val="fr-FR"/>
        </w:rPr>
        <w:t>VIII.</w:t>
      </w:r>
      <w:r w:rsidRPr="00FE18B8">
        <w:rPr>
          <w:lang w:val="fr-FR"/>
        </w:rPr>
        <w:tab/>
        <w:t>Calendrier provisoire</w:t>
      </w:r>
    </w:p>
    <w:p w:rsidR="00F9573C" w:rsidRPr="00FE18B8" w:rsidRDefault="00FE18B8" w:rsidP="00FE18B8">
      <w:pPr>
        <w:pStyle w:val="SingleTxtG"/>
        <w:spacing w:before="240" w:after="0"/>
        <w:jc w:val="center"/>
        <w:rPr>
          <w:u w:val="single"/>
        </w:rPr>
      </w:pPr>
      <w:r>
        <w:rPr>
          <w:u w:val="single"/>
        </w:rPr>
        <w:tab/>
      </w:r>
      <w:r>
        <w:rPr>
          <w:u w:val="single"/>
        </w:rPr>
        <w:tab/>
      </w:r>
      <w:r>
        <w:rPr>
          <w:u w:val="single"/>
        </w:rPr>
        <w:tab/>
      </w:r>
    </w:p>
    <w:sectPr w:rsidR="00F9573C" w:rsidRPr="00FE18B8" w:rsidSect="00C9489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78B" w:rsidRDefault="0036378B" w:rsidP="00F95C08">
      <w:pPr>
        <w:spacing w:line="240" w:lineRule="auto"/>
      </w:pPr>
    </w:p>
  </w:endnote>
  <w:endnote w:type="continuationSeparator" w:id="0">
    <w:p w:rsidR="0036378B" w:rsidRPr="00AC3823" w:rsidRDefault="0036378B" w:rsidP="00AC3823">
      <w:pPr>
        <w:pStyle w:val="Pieddepage"/>
      </w:pPr>
    </w:p>
  </w:endnote>
  <w:endnote w:type="continuationNotice" w:id="1">
    <w:p w:rsidR="0036378B" w:rsidRDefault="003637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92" w:rsidRPr="00C94892" w:rsidRDefault="00C94892" w:rsidP="00C94892">
    <w:pPr>
      <w:pStyle w:val="Pieddepage"/>
      <w:tabs>
        <w:tab w:val="right" w:pos="9638"/>
      </w:tabs>
    </w:pPr>
    <w:r w:rsidRPr="00C94892">
      <w:rPr>
        <w:b/>
        <w:sz w:val="18"/>
      </w:rPr>
      <w:fldChar w:fldCharType="begin"/>
    </w:r>
    <w:r w:rsidRPr="00C94892">
      <w:rPr>
        <w:b/>
        <w:sz w:val="18"/>
      </w:rPr>
      <w:instrText xml:space="preserve"> PAGE  \* MERGEFORMAT </w:instrText>
    </w:r>
    <w:r w:rsidRPr="00C94892">
      <w:rPr>
        <w:b/>
        <w:sz w:val="18"/>
      </w:rPr>
      <w:fldChar w:fldCharType="separate"/>
    </w:r>
    <w:r w:rsidR="002A60FF">
      <w:rPr>
        <w:b/>
        <w:noProof/>
        <w:sz w:val="18"/>
      </w:rPr>
      <w:t>2</w:t>
    </w:r>
    <w:r w:rsidRPr="00C94892">
      <w:rPr>
        <w:b/>
        <w:sz w:val="18"/>
      </w:rPr>
      <w:fldChar w:fldCharType="end"/>
    </w:r>
    <w:r>
      <w:rPr>
        <w:b/>
        <w:sz w:val="18"/>
      </w:rPr>
      <w:tab/>
    </w:r>
    <w:r>
      <w:t>GE.17-21926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92" w:rsidRPr="00C94892" w:rsidRDefault="00C94892" w:rsidP="00C94892">
    <w:pPr>
      <w:pStyle w:val="Pieddepage"/>
      <w:tabs>
        <w:tab w:val="right" w:pos="9638"/>
      </w:tabs>
      <w:rPr>
        <w:b/>
        <w:sz w:val="18"/>
      </w:rPr>
    </w:pPr>
    <w:r>
      <w:t>GE.17-21926</w:t>
    </w:r>
    <w:r>
      <w:tab/>
    </w:r>
    <w:r w:rsidRPr="00C94892">
      <w:rPr>
        <w:b/>
        <w:sz w:val="18"/>
      </w:rPr>
      <w:fldChar w:fldCharType="begin"/>
    </w:r>
    <w:r w:rsidRPr="00C94892">
      <w:rPr>
        <w:b/>
        <w:sz w:val="18"/>
      </w:rPr>
      <w:instrText xml:space="preserve"> PAGE  \* MERGEFORMAT </w:instrText>
    </w:r>
    <w:r w:rsidRPr="00C94892">
      <w:rPr>
        <w:b/>
        <w:sz w:val="18"/>
      </w:rPr>
      <w:fldChar w:fldCharType="separate"/>
    </w:r>
    <w:r w:rsidR="002A60FF">
      <w:rPr>
        <w:b/>
        <w:noProof/>
        <w:sz w:val="18"/>
      </w:rPr>
      <w:t>3</w:t>
    </w:r>
    <w:r w:rsidRPr="00C948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C94892" w:rsidRDefault="00C94892" w:rsidP="00C94892">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17-21926  (F)    141217    151217</w:t>
    </w:r>
    <w:r>
      <w:rPr>
        <w:sz w:val="20"/>
      </w:rPr>
      <w:br/>
    </w:r>
    <w:r w:rsidRPr="00C94892">
      <w:rPr>
        <w:rFonts w:ascii="C39T30Lfz" w:hAnsi="C39T30Lfz"/>
        <w:sz w:val="56"/>
      </w:rPr>
      <w:t></w:t>
    </w:r>
    <w:r w:rsidRPr="00C94892">
      <w:rPr>
        <w:rFonts w:ascii="C39T30Lfz" w:hAnsi="C39T30Lfz"/>
        <w:sz w:val="56"/>
      </w:rPr>
      <w:t></w:t>
    </w:r>
    <w:r w:rsidRPr="00C94892">
      <w:rPr>
        <w:rFonts w:ascii="C39T30Lfz" w:hAnsi="C39T30Lfz"/>
        <w:sz w:val="56"/>
      </w:rPr>
      <w:t></w:t>
    </w:r>
    <w:r w:rsidRPr="00C94892">
      <w:rPr>
        <w:rFonts w:ascii="C39T30Lfz" w:hAnsi="C39T30Lfz"/>
        <w:sz w:val="56"/>
      </w:rPr>
      <w:t></w:t>
    </w:r>
    <w:r w:rsidRPr="00C94892">
      <w:rPr>
        <w:rFonts w:ascii="C39T30Lfz" w:hAnsi="C39T30Lfz"/>
        <w:sz w:val="56"/>
      </w:rPr>
      <w:t></w:t>
    </w:r>
    <w:r w:rsidRPr="00C94892">
      <w:rPr>
        <w:rFonts w:ascii="C39T30Lfz" w:hAnsi="C39T30Lfz"/>
        <w:sz w:val="56"/>
      </w:rPr>
      <w:t></w:t>
    </w:r>
    <w:r w:rsidRPr="00C94892">
      <w:rPr>
        <w:rFonts w:ascii="C39T30Lfz" w:hAnsi="C39T30Lfz"/>
        <w:sz w:val="56"/>
      </w:rPr>
      <w:t></w:t>
    </w:r>
    <w:r w:rsidRPr="00C94892">
      <w:rPr>
        <w:rFonts w:ascii="C39T30Lfz" w:hAnsi="C39T30Lfz"/>
        <w:sz w:val="56"/>
      </w:rPr>
      <w:t></w:t>
    </w:r>
    <w:r w:rsidRPr="00C9489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7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7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78B" w:rsidRPr="00AC3823" w:rsidRDefault="0036378B" w:rsidP="00AC3823">
      <w:pPr>
        <w:pStyle w:val="Pieddepage"/>
        <w:tabs>
          <w:tab w:val="right" w:pos="2155"/>
        </w:tabs>
        <w:spacing w:after="80" w:line="240" w:lineRule="atLeast"/>
        <w:ind w:left="680"/>
        <w:rPr>
          <w:u w:val="single"/>
        </w:rPr>
      </w:pPr>
      <w:r>
        <w:rPr>
          <w:u w:val="single"/>
        </w:rPr>
        <w:tab/>
      </w:r>
    </w:p>
  </w:footnote>
  <w:footnote w:type="continuationSeparator" w:id="0">
    <w:p w:rsidR="0036378B" w:rsidRPr="00AC3823" w:rsidRDefault="0036378B" w:rsidP="00AC3823">
      <w:pPr>
        <w:pStyle w:val="Pieddepage"/>
        <w:tabs>
          <w:tab w:val="right" w:pos="2155"/>
        </w:tabs>
        <w:spacing w:after="80" w:line="240" w:lineRule="atLeast"/>
        <w:ind w:left="680"/>
        <w:rPr>
          <w:u w:val="single"/>
        </w:rPr>
      </w:pPr>
      <w:r>
        <w:rPr>
          <w:u w:val="single"/>
        </w:rPr>
        <w:tab/>
      </w:r>
    </w:p>
  </w:footnote>
  <w:footnote w:type="continuationNotice" w:id="1">
    <w:p w:rsidR="0036378B" w:rsidRPr="00AC3823" w:rsidRDefault="0036378B">
      <w:pPr>
        <w:spacing w:line="240" w:lineRule="auto"/>
        <w:rPr>
          <w:sz w:val="2"/>
          <w:szCs w:val="2"/>
        </w:rPr>
      </w:pPr>
    </w:p>
  </w:footnote>
  <w:footnote w:id="2">
    <w:p w:rsidR="00FE18B8" w:rsidRPr="00827830" w:rsidRDefault="00FE18B8" w:rsidP="00FE18B8">
      <w:pPr>
        <w:pStyle w:val="Notedebasdepage"/>
      </w:pPr>
      <w:r>
        <w:rPr>
          <w:lang w:val="fr-FR"/>
        </w:rPr>
        <w:tab/>
        <w:t>*</w:t>
      </w:r>
      <w:r>
        <w:rPr>
          <w:lang w:val="fr-FR"/>
        </w:rPr>
        <w:tab/>
        <w:t xml:space="preserve">Pour des raisons d’économie, les représentants sont priés de se rendre </w:t>
      </w:r>
      <w:r w:rsidR="003E3572">
        <w:rPr>
          <w:lang w:val="fr-FR"/>
        </w:rPr>
        <w:t>à</w:t>
      </w:r>
      <w:r>
        <w:rPr>
          <w:lang w:val="fr-FR"/>
        </w:rPr>
        <w:t xml:space="preserve"> la session munis de leurs exemplaires de tous les documents pertinents. Aucun document officiel</w:t>
      </w:r>
      <w:r w:rsidR="003E3572">
        <w:rPr>
          <w:lang w:val="fr-FR"/>
        </w:rPr>
        <w:t xml:space="preserve"> </w:t>
      </w:r>
      <w:r>
        <w:rPr>
          <w:lang w:val="fr-FR"/>
        </w:rPr>
        <w:t>ne sera distribué en salle de réunion. Avant la session, les documents peuvent être téléchargés à partir du site Web de la Division des transports durables de la CEE (www.unece.org/trans/main/itc/itc.html) ou du Système de diffusion électronique des documents de l’ONU (ODS) (http</w:t>
      </w:r>
      <w:r>
        <w:rPr>
          <w:lang w:val="fr-FR"/>
        </w:rPr>
        <w:t>:</w:t>
      </w:r>
      <w:r>
        <w:rPr>
          <w:lang w:val="fr-FR"/>
        </w:rPr>
        <w:t>//documents.un.org/). Durant la session, les documents officiels peuvent être obtenus auprès de la Section de la distribution des documents de l’ONUG (bureau C.337 au 3</w:t>
      </w:r>
      <w:r w:rsidRPr="00132181">
        <w:rPr>
          <w:vertAlign w:val="superscript"/>
          <w:lang w:val="fr-FR"/>
        </w:rPr>
        <w:t>e</w:t>
      </w:r>
      <w:r w:rsidR="00132181">
        <w:rPr>
          <w:lang w:val="fr-FR"/>
        </w:rPr>
        <w:t> </w:t>
      </w:r>
      <w:r>
        <w:rPr>
          <w:lang w:val="fr-FR"/>
        </w:rPr>
        <w:t>étage du Palais des Nations).</w:t>
      </w:r>
    </w:p>
  </w:footnote>
  <w:footnote w:id="3">
    <w:p w:rsidR="00FE18B8" w:rsidRPr="00827830" w:rsidRDefault="00FE18B8" w:rsidP="00FE18B8">
      <w:pPr>
        <w:pStyle w:val="Notedebasdepage"/>
      </w:pPr>
      <w:r>
        <w:rPr>
          <w:lang w:val="fr-FR"/>
        </w:rPr>
        <w:tab/>
        <w:t>**</w:t>
      </w:r>
      <w:r>
        <w:rPr>
          <w:lang w:val="fr-FR"/>
        </w:rPr>
        <w:tab/>
        <w:t>Les représentants sont priés de remplir le formulaire d’inscription disponible sur le site Web de la Division des transports durables de la CEE (www.unece.org/trans/registfr.html) et de le retourner au secrétariat de la CEE au moins une semaine avant le début de la session, par courrier électronique (George.Georgiadis@unece.org ou Anastasia.Barinova@unece.org). À leur arrivée au Palais des Nations, ils doivent retirer un badge à la Section de la sécurit</w:t>
      </w:r>
      <w:r w:rsidR="00B56CBD">
        <w:rPr>
          <w:lang w:val="fr-FR"/>
        </w:rPr>
        <w:t>é</w:t>
      </w:r>
      <w:r>
        <w:rPr>
          <w:lang w:val="fr-FR"/>
        </w:rPr>
        <w:t xml:space="preserve"> et de la sûret</w:t>
      </w:r>
      <w:r w:rsidR="00B56CBD">
        <w:rPr>
          <w:lang w:val="fr-FR"/>
        </w:rPr>
        <w:t>é</w:t>
      </w:r>
      <w:r>
        <w:rPr>
          <w:lang w:val="fr-FR"/>
        </w:rPr>
        <w:t>, située au Portail de Pregny (14, avenue de la Paix). En cas de difficulté, ils sont invités à contacter le secrétariat par téléphone (poste 72761). Un plan du Palais des Nations et d’autres renseignements utiles sont disponibles à l’adresse www.unece.org/fr/info/events/informations-pratiques-pour-les-delegues.html.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92" w:rsidRPr="00C94892" w:rsidRDefault="00C94892">
    <w:pPr>
      <w:pStyle w:val="En-tte"/>
    </w:pPr>
    <w:fldSimple w:instr=" TITLE  \* MERGEFORMAT ">
      <w:r w:rsidR="002A60FF">
        <w:t>ECE/TRANS/273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92" w:rsidRPr="00C94892" w:rsidRDefault="00C94892" w:rsidP="00C94892">
    <w:pPr>
      <w:pStyle w:val="En-tte"/>
      <w:jc w:val="right"/>
    </w:pPr>
    <w:fldSimple w:instr=" TITLE  \* MERGEFORMAT ">
      <w:r w:rsidR="002A60FF">
        <w:t>ECE/TRANS/273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6"/>
  <w:displayBackgroundShape/>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8B"/>
    <w:rsid w:val="00017F94"/>
    <w:rsid w:val="00023842"/>
    <w:rsid w:val="000334F9"/>
    <w:rsid w:val="00045FEB"/>
    <w:rsid w:val="0007796D"/>
    <w:rsid w:val="000B7790"/>
    <w:rsid w:val="000E38C9"/>
    <w:rsid w:val="00111F2F"/>
    <w:rsid w:val="00132181"/>
    <w:rsid w:val="0014365E"/>
    <w:rsid w:val="00143C66"/>
    <w:rsid w:val="00176178"/>
    <w:rsid w:val="001E47A9"/>
    <w:rsid w:val="001F525A"/>
    <w:rsid w:val="00223272"/>
    <w:rsid w:val="0024779E"/>
    <w:rsid w:val="00257168"/>
    <w:rsid w:val="002744B8"/>
    <w:rsid w:val="002832AC"/>
    <w:rsid w:val="002A60FF"/>
    <w:rsid w:val="002D7C93"/>
    <w:rsid w:val="00305801"/>
    <w:rsid w:val="0036378B"/>
    <w:rsid w:val="003916DE"/>
    <w:rsid w:val="003E3572"/>
    <w:rsid w:val="00441C3B"/>
    <w:rsid w:val="00446FE5"/>
    <w:rsid w:val="00452396"/>
    <w:rsid w:val="004837D8"/>
    <w:rsid w:val="004E468C"/>
    <w:rsid w:val="005505B7"/>
    <w:rsid w:val="005573B2"/>
    <w:rsid w:val="00573BE5"/>
    <w:rsid w:val="00586ED3"/>
    <w:rsid w:val="00596AA9"/>
    <w:rsid w:val="006D626A"/>
    <w:rsid w:val="0071601D"/>
    <w:rsid w:val="007A62E6"/>
    <w:rsid w:val="007F20FA"/>
    <w:rsid w:val="0080684C"/>
    <w:rsid w:val="00840C82"/>
    <w:rsid w:val="00871C75"/>
    <w:rsid w:val="008776DC"/>
    <w:rsid w:val="009446C0"/>
    <w:rsid w:val="009705C8"/>
    <w:rsid w:val="009C1CF4"/>
    <w:rsid w:val="009F6B74"/>
    <w:rsid w:val="00A30353"/>
    <w:rsid w:val="00AC3823"/>
    <w:rsid w:val="00AE323C"/>
    <w:rsid w:val="00AF0CB5"/>
    <w:rsid w:val="00B00181"/>
    <w:rsid w:val="00B00B0D"/>
    <w:rsid w:val="00B56CBD"/>
    <w:rsid w:val="00B765F7"/>
    <w:rsid w:val="00BA0CA9"/>
    <w:rsid w:val="00C02897"/>
    <w:rsid w:val="00C94892"/>
    <w:rsid w:val="00C97039"/>
    <w:rsid w:val="00D3439C"/>
    <w:rsid w:val="00DB1831"/>
    <w:rsid w:val="00DD3BFD"/>
    <w:rsid w:val="00DF6678"/>
    <w:rsid w:val="00E0299A"/>
    <w:rsid w:val="00E85C74"/>
    <w:rsid w:val="00EA6547"/>
    <w:rsid w:val="00EF2E22"/>
    <w:rsid w:val="00F35BAF"/>
    <w:rsid w:val="00F660DF"/>
    <w:rsid w:val="00F94664"/>
    <w:rsid w:val="00F9573C"/>
    <w:rsid w:val="00F95C08"/>
    <w:rsid w:val="00FE18B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617B75"/>
  <w15:docId w15:val="{1F4CADF1-1CDB-45E4-B5B9-F89F987C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3</Pages>
  <Words>545</Words>
  <Characters>3815</Characters>
  <Application>Microsoft Office Word</Application>
  <DocSecurity>0</DocSecurity>
  <Lines>317</Lines>
  <Paragraphs>174</Paragraphs>
  <ScaleCrop>false</ScaleCrop>
  <HeadingPairs>
    <vt:vector size="2" baseType="variant">
      <vt:variant>
        <vt:lpstr>Titre</vt:lpstr>
      </vt:variant>
      <vt:variant>
        <vt:i4>1</vt:i4>
      </vt:variant>
    </vt:vector>
  </HeadingPairs>
  <TitlesOfParts>
    <vt:vector size="1" baseType="lpstr">
      <vt:lpstr>ECE/TRANS/273</vt:lpstr>
    </vt:vector>
  </TitlesOfParts>
  <Company>DCM</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ECE/TRANS/273</dc:title>
  <dc:subject/>
  <dc:creator>Maud DARICHE</dc:creator>
  <cp:keywords/>
  <cp:lastModifiedBy>Maud DARICHE</cp:lastModifiedBy>
  <cp:revision>3</cp:revision>
  <cp:lastPrinted>2017-12-15T06:28:00Z</cp:lastPrinted>
  <dcterms:created xsi:type="dcterms:W3CDTF">2017-12-15T06:28:00Z</dcterms:created>
  <dcterms:modified xsi:type="dcterms:W3CDTF">2017-12-15T06:30:00Z</dcterms:modified>
</cp:coreProperties>
</file>