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37AB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37ABC" w:rsidP="00937ABC">
            <w:pPr>
              <w:jc w:val="right"/>
            </w:pPr>
            <w:r w:rsidRPr="00937ABC">
              <w:rPr>
                <w:sz w:val="40"/>
              </w:rPr>
              <w:t>ECE</w:t>
            </w:r>
            <w:r>
              <w:t>/TRANS/2018/23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37ABC" w:rsidP="00C97039">
            <w:pPr>
              <w:spacing w:before="240"/>
            </w:pPr>
            <w:r>
              <w:t>Distr. générale</w:t>
            </w:r>
          </w:p>
          <w:p w:rsidR="00937ABC" w:rsidRDefault="00937ABC" w:rsidP="00937ABC">
            <w:pPr>
              <w:spacing w:line="240" w:lineRule="exact"/>
            </w:pPr>
            <w:r>
              <w:t>8 décembre 2017</w:t>
            </w:r>
          </w:p>
          <w:p w:rsidR="00937ABC" w:rsidRDefault="00937ABC" w:rsidP="00937ABC">
            <w:pPr>
              <w:spacing w:line="240" w:lineRule="exact"/>
            </w:pPr>
            <w:r>
              <w:t>Français</w:t>
            </w:r>
          </w:p>
          <w:p w:rsidR="00937ABC" w:rsidRPr="00DB58B5" w:rsidRDefault="00937ABC" w:rsidP="00937ABC">
            <w:pPr>
              <w:spacing w:line="240" w:lineRule="exact"/>
            </w:pPr>
            <w:r>
              <w:t>Original</w:t>
            </w:r>
            <w:r w:rsidR="00F3730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C21A2" w:rsidRPr="00F3730F" w:rsidRDefault="00CC21A2" w:rsidP="00F3730F">
      <w:pPr>
        <w:spacing w:before="120"/>
        <w:rPr>
          <w:b/>
        </w:rPr>
      </w:pPr>
      <w:r w:rsidRPr="00F3730F">
        <w:rPr>
          <w:b/>
        </w:rPr>
        <w:t>Quatre-vingtième session</w:t>
      </w:r>
    </w:p>
    <w:p w:rsidR="00CC21A2" w:rsidRPr="00C0055E" w:rsidRDefault="00CC21A2" w:rsidP="00F3730F">
      <w:r w:rsidRPr="00C0055E">
        <w:t>Genève, 20-23 février 2018</w:t>
      </w:r>
    </w:p>
    <w:p w:rsidR="00CC21A2" w:rsidRPr="00C0055E" w:rsidRDefault="00CC21A2" w:rsidP="00F3730F">
      <w:r w:rsidRPr="00C0055E">
        <w:t>Point 12 de l’ordre du jour provisoire</w:t>
      </w:r>
    </w:p>
    <w:p w:rsidR="00CC21A2" w:rsidRPr="00F3730F" w:rsidRDefault="00CC21A2" w:rsidP="00F3730F">
      <w:pPr>
        <w:rPr>
          <w:b/>
        </w:rPr>
      </w:pPr>
      <w:r w:rsidRPr="00F3730F">
        <w:rPr>
          <w:b/>
        </w:rPr>
        <w:t xml:space="preserve">Programme de travail et évaluation biennale pour 2018-2019 </w:t>
      </w:r>
      <w:r w:rsidR="00F3730F">
        <w:rPr>
          <w:b/>
        </w:rPr>
        <w:br/>
      </w:r>
      <w:r w:rsidRPr="00F3730F">
        <w:rPr>
          <w:b/>
        </w:rPr>
        <w:t>et cadre stratégique pour 2020-2021</w:t>
      </w:r>
    </w:p>
    <w:p w:rsidR="00CC21A2" w:rsidRPr="00C0055E" w:rsidRDefault="00CC21A2" w:rsidP="00F3730F">
      <w:pPr>
        <w:pStyle w:val="HChG"/>
      </w:pPr>
      <w:r w:rsidRPr="00C0055E">
        <w:tab/>
      </w:r>
      <w:r w:rsidRPr="00C0055E">
        <w:tab/>
        <w:t>Projet de cadre stratégique pour 2020-2021</w:t>
      </w:r>
    </w:p>
    <w:p w:rsidR="00CC21A2" w:rsidRPr="00C0055E" w:rsidRDefault="00CC21A2" w:rsidP="00F3730F">
      <w:pPr>
        <w:pStyle w:val="H1G"/>
      </w:pPr>
      <w:r w:rsidRPr="00C0055E">
        <w:tab/>
      </w:r>
      <w:r w:rsidRPr="00C0055E">
        <w:tab/>
        <w:t>Note du secrétariat</w:t>
      </w:r>
    </w:p>
    <w:p w:rsidR="00CC21A2" w:rsidRPr="00C0055E" w:rsidRDefault="00F3730F" w:rsidP="00F3730F">
      <w:pPr>
        <w:pStyle w:val="HChG"/>
      </w:pPr>
      <w:r>
        <w:tab/>
      </w:r>
      <w:r w:rsidR="00CC21A2" w:rsidRPr="00C0055E">
        <w:t>I.</w:t>
      </w:r>
      <w:r w:rsidR="00CC21A2" w:rsidRPr="00C0055E">
        <w:tab/>
        <w:t xml:space="preserve">Introduction </w:t>
      </w:r>
    </w:p>
    <w:p w:rsidR="00CC21A2" w:rsidRPr="00EF014E" w:rsidRDefault="00CC21A2" w:rsidP="00F3730F">
      <w:pPr>
        <w:pStyle w:val="SingleTxtG"/>
        <w:rPr>
          <w:spacing w:val="-2"/>
        </w:rPr>
      </w:pPr>
      <w:r w:rsidRPr="00C0055E">
        <w:t>1.</w:t>
      </w:r>
      <w:r w:rsidRPr="00C0055E">
        <w:tab/>
      </w:r>
      <w:r w:rsidRPr="00EF014E">
        <w:rPr>
          <w:spacing w:val="-2"/>
        </w:rPr>
        <w:t xml:space="preserve">Le présent projet de cadre stratégique a été élaboré sur la base du mandat défini pour le sous-programme Transports, des réalisations de l’exercice précédent et des directives de l’ONU relatives à l’élaboration des plans stratégiques biennaux. Le cadre stratégique doit être examiné par les comités sectoriels (ou par leur bureau, dans le cas des comités qui ne se sont pas réunis au cours des quatre derniers mois de 2017) avant d’être soumis au Comité exécutif en décembre 2017 et au Siège de l’ONU au début de 2018. Cela étant, le Comité voudra </w:t>
      </w:r>
      <w:r w:rsidR="00EF014E">
        <w:rPr>
          <w:spacing w:val="-2"/>
        </w:rPr>
        <w:t>peut</w:t>
      </w:r>
      <w:r w:rsidR="00EF014E">
        <w:rPr>
          <w:spacing w:val="-2"/>
        </w:rPr>
        <w:noBreakHyphen/>
      </w:r>
      <w:r w:rsidRPr="00EF014E">
        <w:rPr>
          <w:spacing w:val="-2"/>
        </w:rPr>
        <w:t xml:space="preserve">être noter que son </w:t>
      </w:r>
      <w:r w:rsidR="004F35A4">
        <w:rPr>
          <w:spacing w:val="-2"/>
        </w:rPr>
        <w:t>B</w:t>
      </w:r>
      <w:r w:rsidRPr="00EF014E">
        <w:rPr>
          <w:spacing w:val="-2"/>
        </w:rPr>
        <w:t>ureau, à la réunion qu’il a tenue en novembre 2017, a</w:t>
      </w:r>
      <w:r w:rsidR="00F3730F" w:rsidRPr="00EF014E">
        <w:rPr>
          <w:spacing w:val="-2"/>
        </w:rPr>
        <w:t xml:space="preserve"> </w:t>
      </w:r>
      <w:r w:rsidRPr="00EF014E">
        <w:rPr>
          <w:spacing w:val="-2"/>
        </w:rPr>
        <w:t xml:space="preserve">procédé en son nom à un </w:t>
      </w:r>
      <w:r w:rsidRPr="00EF014E">
        <w:rPr>
          <w:b/>
          <w:spacing w:val="-2"/>
        </w:rPr>
        <w:t>examen</w:t>
      </w:r>
      <w:r w:rsidRPr="00EF014E">
        <w:rPr>
          <w:spacing w:val="-2"/>
        </w:rPr>
        <w:t xml:space="preserve"> préliminaire du projet de cadre stratégique du sous-programme Transports de la CEE (plan-programme biennal) pour la période 2020</w:t>
      </w:r>
      <w:r w:rsidR="00F3730F" w:rsidRPr="00EF014E">
        <w:rPr>
          <w:spacing w:val="-2"/>
        </w:rPr>
        <w:noBreakHyphen/>
      </w:r>
      <w:r w:rsidRPr="00EF014E">
        <w:rPr>
          <w:spacing w:val="-2"/>
        </w:rPr>
        <w:t>2021.</w:t>
      </w:r>
    </w:p>
    <w:p w:rsidR="00CC21A2" w:rsidRPr="00C0055E" w:rsidRDefault="00CC21A2" w:rsidP="00EF014E">
      <w:pPr>
        <w:pStyle w:val="HChG"/>
      </w:pPr>
      <w:r w:rsidRPr="00C0055E">
        <w:rPr>
          <w:sz w:val="24"/>
          <w:szCs w:val="24"/>
        </w:rPr>
        <w:br w:type="page"/>
      </w:r>
      <w:r w:rsidR="00D864E0">
        <w:lastRenderedPageBreak/>
        <w:tab/>
      </w:r>
      <w:r w:rsidRPr="00C0055E">
        <w:t>II.</w:t>
      </w:r>
      <w:r w:rsidRPr="00C0055E">
        <w:tab/>
        <w:t>Sous-programmes</w:t>
      </w:r>
    </w:p>
    <w:p w:rsidR="00CC21A2" w:rsidRPr="00C0055E" w:rsidRDefault="00CC21A2" w:rsidP="00D864E0">
      <w:pPr>
        <w:pStyle w:val="H1G"/>
      </w:pPr>
      <w:r w:rsidRPr="00C0055E">
        <w:tab/>
      </w:r>
      <w:r w:rsidRPr="00C0055E">
        <w:tab/>
        <w:t xml:space="preserve">Sous-programme 2 </w:t>
      </w:r>
      <w:r w:rsidR="00EF014E">
        <w:t>−</w:t>
      </w:r>
      <w:r w:rsidRPr="00C0055E">
        <w:t xml:space="preserve"> Transports</w:t>
      </w:r>
    </w:p>
    <w:p w:rsidR="00CC21A2" w:rsidRPr="00C0055E" w:rsidRDefault="00CC21A2" w:rsidP="00D864E0">
      <w:pPr>
        <w:pStyle w:val="H23G"/>
        <w:rPr>
          <w:spacing w:val="4"/>
          <w:w w:val="103"/>
          <w:kern w:val="14"/>
        </w:rPr>
      </w:pPr>
      <w:r w:rsidRPr="00C0055E">
        <w:tab/>
      </w:r>
      <w:r w:rsidRPr="00C0055E">
        <w:tab/>
        <w:t xml:space="preserve">Objectifs de l’exercice biennal, réalisations escomptées, indicateurs de succès et mesure des résultats </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9637"/>
      </w:tblGrid>
      <w:tr w:rsidR="00683C5C" w:rsidRPr="00683C5C" w:rsidTr="00D77715">
        <w:tc>
          <w:tcPr>
            <w:tcW w:w="9637" w:type="dxa"/>
            <w:shd w:val="clear" w:color="auto" w:fill="auto"/>
            <w:vAlign w:val="bottom"/>
            <w:hideMark/>
          </w:tcPr>
          <w:p w:rsidR="00CC21A2" w:rsidRPr="00683C5C" w:rsidRDefault="00CC21A2" w:rsidP="00230F30">
            <w:pPr>
              <w:suppressAutoHyphens w:val="0"/>
              <w:spacing w:before="80" w:after="240" w:line="200" w:lineRule="exact"/>
              <w:rPr>
                <w:rFonts w:eastAsia="Calibri"/>
                <w:i/>
                <w:sz w:val="16"/>
              </w:rPr>
            </w:pPr>
            <w:r w:rsidRPr="00683C5C">
              <w:rPr>
                <w:i/>
                <w:iCs/>
                <w:sz w:val="16"/>
              </w:rPr>
              <w:t>Objectif de l’Organisation</w:t>
            </w:r>
            <w:r w:rsidR="00F3730F" w:rsidRPr="00EF014E">
              <w:rPr>
                <w:sz w:val="16"/>
              </w:rPr>
              <w:t> :</w:t>
            </w:r>
            <w:r w:rsidRPr="00EF014E">
              <w:rPr>
                <w:sz w:val="16"/>
              </w:rPr>
              <w:t xml:space="preserve"> améliorer la viabilité des transports intérieurs en vue de les rendre sûrs, propres et co</w:t>
            </w:r>
            <w:r w:rsidR="00EF014E">
              <w:rPr>
                <w:sz w:val="16"/>
              </w:rPr>
              <w:t>mpétitifs, pour le transport de </w:t>
            </w:r>
            <w:r w:rsidRPr="00EF014E">
              <w:rPr>
                <w:sz w:val="16"/>
              </w:rPr>
              <w:t>marchandises et de personnes</w:t>
            </w:r>
          </w:p>
        </w:tc>
      </w:tr>
    </w:tbl>
    <w:p w:rsidR="00D77715" w:rsidRDefault="00D77715"/>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3636"/>
        <w:gridCol w:w="846"/>
        <w:gridCol w:w="688"/>
        <w:gridCol w:w="688"/>
        <w:gridCol w:w="688"/>
        <w:gridCol w:w="681"/>
      </w:tblGrid>
      <w:tr w:rsidR="00683C5C" w:rsidRPr="00683C5C" w:rsidTr="00D77715">
        <w:trPr>
          <w:tblHeader/>
        </w:trPr>
        <w:tc>
          <w:tcPr>
            <w:tcW w:w="2410" w:type="dxa"/>
            <w:vMerge w:val="restart"/>
            <w:tcBorders>
              <w:top w:val="single" w:sz="4" w:space="0" w:color="auto"/>
            </w:tcBorders>
            <w:shd w:val="clear" w:color="auto" w:fill="auto"/>
            <w:vAlign w:val="center"/>
            <w:hideMark/>
          </w:tcPr>
          <w:p w:rsidR="00683C5C" w:rsidRPr="00683C5C" w:rsidRDefault="00813418" w:rsidP="00813418">
            <w:pPr>
              <w:suppressAutoHyphens w:val="0"/>
              <w:spacing w:before="80" w:after="80" w:line="200" w:lineRule="exact"/>
              <w:jc w:val="center"/>
              <w:rPr>
                <w:i/>
                <w:sz w:val="16"/>
              </w:rPr>
            </w:pPr>
            <w:r>
              <w:rPr>
                <w:i/>
                <w:sz w:val="16"/>
              </w:rPr>
              <w:t>Réalisations escomptées du </w:t>
            </w:r>
            <w:r w:rsidR="00683C5C" w:rsidRPr="00683C5C">
              <w:rPr>
                <w:i/>
                <w:sz w:val="16"/>
              </w:rPr>
              <w:t>secrétariat</w:t>
            </w:r>
          </w:p>
        </w:tc>
        <w:tc>
          <w:tcPr>
            <w:tcW w:w="3636" w:type="dxa"/>
            <w:vMerge w:val="restart"/>
            <w:tcBorders>
              <w:top w:val="single" w:sz="4" w:space="0" w:color="auto"/>
            </w:tcBorders>
            <w:shd w:val="clear" w:color="auto" w:fill="auto"/>
            <w:vAlign w:val="center"/>
            <w:hideMark/>
          </w:tcPr>
          <w:p w:rsidR="00683C5C" w:rsidRPr="00683C5C" w:rsidRDefault="00683C5C" w:rsidP="00813418">
            <w:pPr>
              <w:suppressAutoHyphens w:val="0"/>
              <w:spacing w:before="80" w:after="80" w:line="200" w:lineRule="exact"/>
              <w:jc w:val="center"/>
              <w:rPr>
                <w:i/>
                <w:sz w:val="16"/>
              </w:rPr>
            </w:pPr>
            <w:r w:rsidRPr="00683C5C">
              <w:rPr>
                <w:i/>
                <w:sz w:val="16"/>
              </w:rPr>
              <w:t>Indicateurs de succès</w:t>
            </w:r>
          </w:p>
        </w:tc>
        <w:tc>
          <w:tcPr>
            <w:tcW w:w="846" w:type="dxa"/>
            <w:tcBorders>
              <w:top w:val="single" w:sz="4" w:space="0" w:color="auto"/>
              <w:bottom w:val="single" w:sz="4" w:space="0" w:color="auto"/>
            </w:tcBorders>
            <w:shd w:val="clear" w:color="auto" w:fill="auto"/>
            <w:hideMark/>
          </w:tcPr>
          <w:p w:rsidR="00683C5C" w:rsidRPr="00683C5C" w:rsidRDefault="00683C5C" w:rsidP="00813418">
            <w:pPr>
              <w:suppressAutoHyphens w:val="0"/>
              <w:spacing w:before="80" w:after="80" w:line="200" w:lineRule="exact"/>
              <w:rPr>
                <w:i/>
                <w:sz w:val="16"/>
              </w:rPr>
            </w:pPr>
          </w:p>
        </w:tc>
        <w:tc>
          <w:tcPr>
            <w:tcW w:w="2745" w:type="dxa"/>
            <w:gridSpan w:val="4"/>
            <w:tcBorders>
              <w:top w:val="single" w:sz="4" w:space="0" w:color="auto"/>
              <w:bottom w:val="single" w:sz="4" w:space="0" w:color="auto"/>
            </w:tcBorders>
            <w:shd w:val="clear" w:color="auto" w:fill="auto"/>
            <w:vAlign w:val="center"/>
            <w:hideMark/>
          </w:tcPr>
          <w:p w:rsidR="00683C5C" w:rsidRPr="00683C5C" w:rsidRDefault="00683C5C" w:rsidP="00813418">
            <w:pPr>
              <w:suppressAutoHyphens w:val="0"/>
              <w:spacing w:before="80" w:after="80" w:line="200" w:lineRule="exact"/>
              <w:jc w:val="center"/>
              <w:rPr>
                <w:i/>
                <w:sz w:val="16"/>
              </w:rPr>
            </w:pPr>
            <w:r w:rsidRPr="00683C5C">
              <w:rPr>
                <w:i/>
                <w:sz w:val="16"/>
              </w:rPr>
              <w:t>Mesure des résultats</w:t>
            </w:r>
          </w:p>
        </w:tc>
      </w:tr>
      <w:tr w:rsidR="00683C5C" w:rsidRPr="00D864E0" w:rsidTr="00D77715">
        <w:tblPrEx>
          <w:tblBorders>
            <w:top w:val="none" w:sz="0" w:space="0" w:color="auto"/>
            <w:bottom w:val="none" w:sz="0" w:space="0" w:color="auto"/>
          </w:tblBorders>
        </w:tblPrEx>
        <w:trPr>
          <w:tblHeader/>
        </w:trPr>
        <w:tc>
          <w:tcPr>
            <w:tcW w:w="2410" w:type="dxa"/>
            <w:vMerge/>
            <w:tcBorders>
              <w:top w:val="single" w:sz="4" w:space="0" w:color="auto"/>
              <w:bottom w:val="single" w:sz="12" w:space="0" w:color="auto"/>
            </w:tcBorders>
            <w:shd w:val="clear" w:color="auto" w:fill="auto"/>
            <w:vAlign w:val="center"/>
            <w:hideMark/>
          </w:tcPr>
          <w:p w:rsidR="00683C5C" w:rsidRPr="00D864E0" w:rsidRDefault="00683C5C" w:rsidP="00813418">
            <w:pPr>
              <w:suppressAutoHyphens w:val="0"/>
              <w:spacing w:before="80" w:after="80" w:line="200" w:lineRule="exact"/>
              <w:jc w:val="center"/>
              <w:rPr>
                <w:i/>
                <w:sz w:val="16"/>
              </w:rPr>
            </w:pPr>
          </w:p>
        </w:tc>
        <w:tc>
          <w:tcPr>
            <w:tcW w:w="3636" w:type="dxa"/>
            <w:vMerge/>
            <w:tcBorders>
              <w:top w:val="single" w:sz="4" w:space="0" w:color="auto"/>
              <w:bottom w:val="single" w:sz="12" w:space="0" w:color="auto"/>
            </w:tcBorders>
            <w:shd w:val="clear" w:color="auto" w:fill="auto"/>
            <w:hideMark/>
          </w:tcPr>
          <w:p w:rsidR="00683C5C" w:rsidRPr="00D864E0" w:rsidRDefault="00683C5C" w:rsidP="00813418">
            <w:pPr>
              <w:suppressAutoHyphens w:val="0"/>
              <w:spacing w:before="80" w:after="80" w:line="200" w:lineRule="exact"/>
              <w:rPr>
                <w:i/>
                <w:sz w:val="16"/>
              </w:rPr>
            </w:pPr>
          </w:p>
        </w:tc>
        <w:tc>
          <w:tcPr>
            <w:tcW w:w="846" w:type="dxa"/>
            <w:tcBorders>
              <w:top w:val="single" w:sz="4" w:space="0" w:color="auto"/>
              <w:bottom w:val="single" w:sz="12" w:space="0" w:color="auto"/>
            </w:tcBorders>
            <w:shd w:val="clear" w:color="auto" w:fill="auto"/>
            <w:hideMark/>
          </w:tcPr>
          <w:p w:rsidR="00683C5C" w:rsidRPr="00D864E0" w:rsidRDefault="00683C5C" w:rsidP="00813418">
            <w:pPr>
              <w:suppressAutoHyphens w:val="0"/>
              <w:spacing w:before="80" w:after="80" w:line="200" w:lineRule="exact"/>
              <w:rPr>
                <w:i/>
                <w:sz w:val="16"/>
              </w:rPr>
            </w:pPr>
          </w:p>
        </w:tc>
        <w:tc>
          <w:tcPr>
            <w:tcW w:w="688" w:type="dxa"/>
            <w:tcBorders>
              <w:top w:val="single" w:sz="4" w:space="0" w:color="auto"/>
              <w:bottom w:val="single" w:sz="12" w:space="0" w:color="auto"/>
            </w:tcBorders>
            <w:shd w:val="clear" w:color="auto" w:fill="auto"/>
            <w:vAlign w:val="center"/>
            <w:hideMark/>
          </w:tcPr>
          <w:p w:rsidR="00683C5C" w:rsidRPr="00D864E0" w:rsidRDefault="00683C5C" w:rsidP="00813418">
            <w:pPr>
              <w:suppressAutoHyphens w:val="0"/>
              <w:spacing w:before="80" w:after="80" w:line="200" w:lineRule="exact"/>
              <w:jc w:val="center"/>
              <w:rPr>
                <w:i/>
                <w:sz w:val="16"/>
              </w:rPr>
            </w:pPr>
            <w:r w:rsidRPr="00D864E0">
              <w:rPr>
                <w:i/>
                <w:sz w:val="16"/>
              </w:rPr>
              <w:t>2020-2021</w:t>
            </w:r>
          </w:p>
        </w:tc>
        <w:tc>
          <w:tcPr>
            <w:tcW w:w="688" w:type="dxa"/>
            <w:tcBorders>
              <w:top w:val="single" w:sz="4" w:space="0" w:color="auto"/>
              <w:bottom w:val="single" w:sz="12" w:space="0" w:color="auto"/>
            </w:tcBorders>
            <w:shd w:val="clear" w:color="auto" w:fill="auto"/>
            <w:vAlign w:val="center"/>
            <w:hideMark/>
          </w:tcPr>
          <w:p w:rsidR="00683C5C" w:rsidRPr="00D864E0" w:rsidRDefault="00683C5C" w:rsidP="00813418">
            <w:pPr>
              <w:suppressAutoHyphens w:val="0"/>
              <w:spacing w:before="80" w:after="80" w:line="200" w:lineRule="exact"/>
              <w:jc w:val="center"/>
              <w:rPr>
                <w:i/>
                <w:sz w:val="16"/>
              </w:rPr>
            </w:pPr>
            <w:r w:rsidRPr="00D864E0">
              <w:rPr>
                <w:i/>
                <w:sz w:val="16"/>
              </w:rPr>
              <w:t>2018-2019</w:t>
            </w:r>
          </w:p>
        </w:tc>
        <w:tc>
          <w:tcPr>
            <w:tcW w:w="688" w:type="dxa"/>
            <w:tcBorders>
              <w:top w:val="single" w:sz="4" w:space="0" w:color="auto"/>
              <w:bottom w:val="single" w:sz="12" w:space="0" w:color="auto"/>
            </w:tcBorders>
            <w:shd w:val="clear" w:color="auto" w:fill="auto"/>
            <w:vAlign w:val="center"/>
            <w:hideMark/>
          </w:tcPr>
          <w:p w:rsidR="00683C5C" w:rsidRPr="00D864E0" w:rsidRDefault="00683C5C" w:rsidP="00813418">
            <w:pPr>
              <w:suppressAutoHyphens w:val="0"/>
              <w:spacing w:before="80" w:after="80" w:line="200" w:lineRule="exact"/>
              <w:jc w:val="center"/>
              <w:rPr>
                <w:i/>
                <w:sz w:val="16"/>
              </w:rPr>
            </w:pPr>
            <w:r w:rsidRPr="00D864E0">
              <w:rPr>
                <w:i/>
                <w:sz w:val="16"/>
              </w:rPr>
              <w:t>2016-2017</w:t>
            </w:r>
          </w:p>
        </w:tc>
        <w:tc>
          <w:tcPr>
            <w:tcW w:w="681" w:type="dxa"/>
            <w:tcBorders>
              <w:top w:val="single" w:sz="4" w:space="0" w:color="auto"/>
              <w:bottom w:val="single" w:sz="12" w:space="0" w:color="auto"/>
            </w:tcBorders>
            <w:shd w:val="clear" w:color="auto" w:fill="auto"/>
            <w:vAlign w:val="center"/>
            <w:hideMark/>
          </w:tcPr>
          <w:p w:rsidR="00683C5C" w:rsidRPr="00D864E0" w:rsidRDefault="00683C5C" w:rsidP="00813418">
            <w:pPr>
              <w:suppressAutoHyphens w:val="0"/>
              <w:spacing w:before="80" w:after="80" w:line="200" w:lineRule="exact"/>
              <w:jc w:val="center"/>
              <w:rPr>
                <w:i/>
                <w:sz w:val="16"/>
              </w:rPr>
            </w:pPr>
            <w:r w:rsidRPr="00D864E0">
              <w:rPr>
                <w:i/>
                <w:sz w:val="16"/>
              </w:rPr>
              <w:t>2014-2015</w:t>
            </w:r>
          </w:p>
        </w:tc>
      </w:tr>
      <w:tr w:rsidR="00230F30" w:rsidRPr="00D864E0" w:rsidTr="00D77715">
        <w:tblPrEx>
          <w:tblBorders>
            <w:top w:val="none" w:sz="0" w:space="0" w:color="auto"/>
            <w:bottom w:val="none" w:sz="0" w:space="0" w:color="auto"/>
          </w:tblBorders>
        </w:tblPrEx>
        <w:tc>
          <w:tcPr>
            <w:tcW w:w="2410" w:type="dxa"/>
            <w:vMerge w:val="restart"/>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a)</w:t>
            </w:r>
            <w:r w:rsidR="00DC3882">
              <w:rPr>
                <w:sz w:val="18"/>
              </w:rPr>
              <w:tab/>
            </w:r>
            <w:r w:rsidRPr="00D864E0">
              <w:rPr>
                <w:sz w:val="18"/>
              </w:rPr>
              <w:t>Renforcement du cadre juridique et réglementaire concernant les transports terrestres internationaux (routiers, ferroviaires, fluviaux et intermodaux), les infrastructures, la facilitation du passage des frontières, le transport des marchandises dangereuses, la construction automobile, la sécurité routière et d’autres services liés aux transports, pour contribuer à la réalisation des objectifs de développement durable</w:t>
            </w:r>
          </w:p>
        </w:tc>
        <w:tc>
          <w:tcPr>
            <w:tcW w:w="3636" w:type="dxa"/>
            <w:vMerge w:val="restart"/>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w:t>
            </w:r>
            <w:r w:rsidR="00DC3882">
              <w:rPr>
                <w:sz w:val="18"/>
              </w:rPr>
              <w:tab/>
            </w:r>
            <w:r w:rsidRPr="00D864E0">
              <w:rPr>
                <w:sz w:val="18"/>
              </w:rPr>
              <w:t>Augmentation du nombre d’instruments juridiques des Nations Unies relatifs aux transports administrés par la CEE qui sont en vigueur</w:t>
            </w: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 xml:space="preserve">Objectif </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51</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50</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50</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ii)</w:t>
            </w:r>
            <w:r w:rsidR="00DC3882">
              <w:rPr>
                <w:sz w:val="18"/>
              </w:rPr>
              <w:tab/>
            </w:r>
            <w:r w:rsidRPr="00D864E0">
              <w:rPr>
                <w:sz w:val="18"/>
              </w:rPr>
              <w:t xml:space="preserve">Nombre de nouveaux </w:t>
            </w:r>
            <w:r w:rsidR="003F10B4" w:rsidRPr="00D864E0">
              <w:rPr>
                <w:sz w:val="18"/>
              </w:rPr>
              <w:t xml:space="preserve">Règlements </w:t>
            </w:r>
            <w:r w:rsidRPr="00D864E0">
              <w:rPr>
                <w:sz w:val="18"/>
              </w:rPr>
              <w:t>concernant les véhicules et d’amendements aux dispositions existantes adoptés</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100</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161</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iii)</w:t>
            </w:r>
            <w:r w:rsidR="00DC3882">
              <w:rPr>
                <w:sz w:val="18"/>
              </w:rPr>
              <w:tab/>
            </w:r>
            <w:r w:rsidRPr="00D864E0">
              <w:rPr>
                <w:sz w:val="18"/>
              </w:rPr>
              <w:t>Nombre d’instruments juridiques internationaux mis en conformité avec la révision la plus récente des Recommandations des Nations Unies relatives au transport des marchandises dangereuses</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6</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iv)</w:t>
            </w:r>
            <w:r w:rsidR="00DC3882">
              <w:rPr>
                <w:sz w:val="18"/>
              </w:rPr>
              <w:tab/>
            </w:r>
            <w:r w:rsidRPr="00D864E0">
              <w:rPr>
                <w:sz w:val="18"/>
              </w:rPr>
              <w:t>Nombre de nouveaux amendements aux dispositions des instruments juridiques relatifs à la facilitation du passage des frontières adoptés</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2</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r>
      <w:tr w:rsidR="00D864E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D864E0" w:rsidRPr="00D864E0" w:rsidTr="00D77715">
        <w:tblPrEx>
          <w:tblBorders>
            <w:top w:val="none" w:sz="0" w:space="0" w:color="auto"/>
            <w:bottom w:val="none" w:sz="0" w:space="0" w:color="auto"/>
          </w:tblBorders>
        </w:tblPrEx>
        <w:tc>
          <w:tcPr>
            <w:tcW w:w="2410"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b)</w:t>
            </w:r>
            <w:r w:rsidR="00DC3882">
              <w:rPr>
                <w:sz w:val="18"/>
              </w:rPr>
              <w:tab/>
            </w:r>
            <w:r w:rsidRPr="00D864E0">
              <w:rPr>
                <w:sz w:val="18"/>
              </w:rPr>
              <w:t>Élargissement de la couverture géographique et amélioration du suivi de la mise en œuvre/l’application des instruments juridiques et des recommandations des Nations Unies relatifs aux transports administrés par la CEE, pour contribuer à la réalisation des objectifs de développement durable</w:t>
            </w: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w:t>
            </w:r>
            <w:r w:rsidR="00DC3882">
              <w:rPr>
                <w:sz w:val="18"/>
              </w:rPr>
              <w:tab/>
            </w:r>
            <w:r w:rsidRPr="00D864E0">
              <w:rPr>
                <w:sz w:val="18"/>
              </w:rPr>
              <w:t>Augmentation du nombre de Parties contractantes, notamment extérieures à la région, aux instruments juridiques et recommandations des Nations Unies relatifs aux transports administrés par la CEE</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 xml:space="preserve">Objectif </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1739</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1 735</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1 710</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1 700</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1735</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1 721</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1 700</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1 709</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ii</w:t>
            </w:r>
            <w:r w:rsidR="00DC3882">
              <w:rPr>
                <w:sz w:val="18"/>
              </w:rPr>
              <w:t>)</w:t>
            </w:r>
            <w:r w:rsidR="00DC3882">
              <w:rPr>
                <w:sz w:val="18"/>
              </w:rPr>
              <w:tab/>
            </w:r>
            <w:r w:rsidRPr="00D864E0">
              <w:rPr>
                <w:sz w:val="18"/>
              </w:rPr>
              <w:t>Augmentation du nombre de mécanismes approuvés par les Parties contractantes pour suivre l’application des instruments juridiques et recommandations des Nations Unies relatifs aux transports administrés par la CEE</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 xml:space="preserve">Objectif </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10</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9</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8</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7</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9</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8</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7</w:t>
            </w:r>
          </w:p>
        </w:tc>
      </w:tr>
      <w:tr w:rsidR="00230F3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7</w:t>
            </w:r>
          </w:p>
        </w:tc>
      </w:tr>
      <w:tr w:rsidR="00230F30" w:rsidRPr="00D864E0" w:rsidTr="00D77715">
        <w:tblPrEx>
          <w:tblBorders>
            <w:top w:val="none" w:sz="0" w:space="0" w:color="auto"/>
            <w:bottom w:val="none" w:sz="0" w:space="0" w:color="auto"/>
          </w:tblBorders>
        </w:tblPrEx>
        <w:tc>
          <w:tcPr>
            <w:tcW w:w="2410" w:type="dxa"/>
            <w:vMerge w:val="restart"/>
            <w:tcBorders>
              <w:top w:val="single" w:sz="12" w:space="0" w:color="auto"/>
              <w:bottom w:val="single" w:sz="12" w:space="0" w:color="auto"/>
            </w:tcBorders>
            <w:shd w:val="clear" w:color="auto" w:fill="auto"/>
            <w:hideMark/>
          </w:tcPr>
          <w:p w:rsidR="00CC21A2" w:rsidRPr="001640F0" w:rsidRDefault="00CC21A2" w:rsidP="001640F0">
            <w:pPr>
              <w:tabs>
                <w:tab w:val="left" w:pos="284"/>
              </w:tabs>
              <w:suppressAutoHyphens w:val="0"/>
              <w:spacing w:before="40" w:after="40" w:line="220" w:lineRule="exact"/>
              <w:ind w:right="113"/>
              <w:rPr>
                <w:spacing w:val="-2"/>
                <w:sz w:val="18"/>
              </w:rPr>
            </w:pPr>
            <w:r w:rsidRPr="001640F0">
              <w:rPr>
                <w:spacing w:val="-2"/>
                <w:sz w:val="18"/>
              </w:rPr>
              <w:t>c)</w:t>
            </w:r>
            <w:r w:rsidR="00DC3882" w:rsidRPr="001640F0">
              <w:rPr>
                <w:spacing w:val="-2"/>
                <w:sz w:val="18"/>
              </w:rPr>
              <w:tab/>
            </w:r>
            <w:r w:rsidRPr="001640F0">
              <w:rPr>
                <w:spacing w:val="-2"/>
                <w:sz w:val="18"/>
              </w:rPr>
              <w:t>Renforcement des capacités dans les États membres de la CEE, notamment les pays en développement sans littoral, en vue du développement d’infrastructures des transports paneuropéennes et transcontinentales et de la mise en place de mesures destinées à faciliter les transports, de façon à contribuer à la réalisation des objectifs de développement durable</w:t>
            </w: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w:t>
            </w:r>
            <w:r w:rsidR="00DC3882">
              <w:rPr>
                <w:sz w:val="18"/>
              </w:rPr>
              <w:tab/>
            </w:r>
            <w:r w:rsidRPr="00D864E0">
              <w:rPr>
                <w:sz w:val="18"/>
              </w:rPr>
              <w:t>Accroissement du nombre de Parties contractantes aux quatre principaux accords relatifs aux infrastructures de transport</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118</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117</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116</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115</w:t>
            </w:r>
          </w:p>
        </w:tc>
      </w:tr>
      <w:tr w:rsidR="00D864E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117</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116</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115</w:t>
            </w:r>
          </w:p>
        </w:tc>
      </w:tr>
      <w:tr w:rsidR="00230F3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115</w:t>
            </w:r>
          </w:p>
        </w:tc>
      </w:tr>
      <w:tr w:rsidR="00230F3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val="restart"/>
            <w:tcBorders>
              <w:top w:val="single" w:sz="12" w:space="0" w:color="auto"/>
              <w:bottom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ii)</w:t>
            </w:r>
            <w:r w:rsidR="00DC3882">
              <w:rPr>
                <w:sz w:val="18"/>
              </w:rPr>
              <w:tab/>
            </w:r>
            <w:r w:rsidRPr="00D864E0">
              <w:rPr>
                <w:sz w:val="18"/>
              </w:rPr>
              <w:t xml:space="preserve">Accroissement du nombre d’États membres utilisant le cadre commun de la CEE pour le développement des infrastructures de transport </w:t>
            </w:r>
            <w:proofErr w:type="spellStart"/>
            <w:r w:rsidRPr="00D864E0">
              <w:rPr>
                <w:sz w:val="18"/>
              </w:rPr>
              <w:t>sous-régionales</w:t>
            </w:r>
            <w:proofErr w:type="spellEnd"/>
            <w:r w:rsidRPr="00D864E0">
              <w:rPr>
                <w:sz w:val="18"/>
              </w:rPr>
              <w:t xml:space="preserve"> (projets de liaisons de transport Europe-Asie, d’autoroute transeuropéenne et de chemin de fer transeuropéen)</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59</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58</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r>
      <w:tr w:rsidR="00230F3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58</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r>
      <w:tr w:rsidR="00230F30"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3636" w:type="dxa"/>
            <w:vMerge/>
            <w:tcBorders>
              <w:bottom w:val="single" w:sz="12" w:space="0" w:color="auto"/>
            </w:tcBorders>
            <w:shd w:val="clear" w:color="auto" w:fill="auto"/>
            <w:hideMark/>
          </w:tcPr>
          <w:p w:rsidR="00CC21A2" w:rsidRPr="00D864E0" w:rsidRDefault="00CC21A2" w:rsidP="001640F0">
            <w:pPr>
              <w:suppressAutoHyphens w:val="0"/>
              <w:spacing w:before="40" w:after="40" w:line="220" w:lineRule="exact"/>
              <w:ind w:right="113"/>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230F30" w:rsidRPr="00D864E0" w:rsidTr="00D77715">
        <w:tblPrEx>
          <w:tblBorders>
            <w:top w:val="none" w:sz="0" w:space="0" w:color="auto"/>
            <w:bottom w:val="none" w:sz="0" w:space="0" w:color="auto"/>
          </w:tblBorders>
        </w:tblPrEx>
        <w:tc>
          <w:tcPr>
            <w:tcW w:w="2410" w:type="dxa"/>
            <w:vMerge w:val="restart"/>
            <w:tcBorders>
              <w:top w:val="single" w:sz="12" w:space="0" w:color="auto"/>
            </w:tcBorders>
            <w:shd w:val="clear" w:color="auto" w:fill="auto"/>
            <w:hideMark/>
          </w:tcPr>
          <w:p w:rsidR="00CC21A2" w:rsidRPr="00D864E0" w:rsidRDefault="00CC21A2" w:rsidP="00230F30">
            <w:pPr>
              <w:keepNext/>
              <w:tabs>
                <w:tab w:val="left" w:pos="284"/>
              </w:tabs>
              <w:suppressAutoHyphens w:val="0"/>
              <w:spacing w:before="40" w:after="40" w:line="220" w:lineRule="exact"/>
              <w:ind w:right="113"/>
              <w:rPr>
                <w:sz w:val="18"/>
              </w:rPr>
            </w:pPr>
            <w:r w:rsidRPr="00D864E0">
              <w:rPr>
                <w:sz w:val="18"/>
              </w:rPr>
              <w:t>d)</w:t>
            </w:r>
            <w:r w:rsidR="00DC3882">
              <w:rPr>
                <w:sz w:val="18"/>
              </w:rPr>
              <w:tab/>
            </w:r>
            <w:r w:rsidRPr="00D864E0">
              <w:rPr>
                <w:sz w:val="18"/>
              </w:rPr>
              <w:t>Renforcement de la capacité d’appliquer les instruments juridiques, normes et règlements de l’ONU pertinents pour contribuer à la réalisation des objectifs de développement durable, en particulier dans les pays de l’Europe orientale et de l’Europe du Sud-Est, du Caucase et de l’Asie centrale</w:t>
            </w:r>
          </w:p>
        </w:tc>
        <w:tc>
          <w:tcPr>
            <w:tcW w:w="3636" w:type="dxa"/>
            <w:vMerge w:val="restart"/>
            <w:tcBorders>
              <w:top w:val="single" w:sz="12" w:space="0" w:color="auto"/>
            </w:tcBorders>
            <w:shd w:val="clear" w:color="auto" w:fill="auto"/>
            <w:hideMark/>
          </w:tcPr>
          <w:p w:rsidR="00CC21A2" w:rsidRPr="00D864E0" w:rsidRDefault="00CC21A2" w:rsidP="00230F30">
            <w:pPr>
              <w:keepNext/>
              <w:tabs>
                <w:tab w:val="left" w:pos="284"/>
              </w:tabs>
              <w:suppressAutoHyphens w:val="0"/>
              <w:spacing w:before="40" w:after="40" w:line="220" w:lineRule="exact"/>
              <w:ind w:right="113"/>
              <w:rPr>
                <w:sz w:val="18"/>
              </w:rPr>
            </w:pPr>
            <w:r w:rsidRPr="00D864E0">
              <w:rPr>
                <w:sz w:val="18"/>
              </w:rPr>
              <w:t>i)</w:t>
            </w:r>
            <w:r w:rsidR="00DC3882">
              <w:rPr>
                <w:sz w:val="18"/>
              </w:rPr>
              <w:tab/>
            </w:r>
            <w:r w:rsidRPr="00D864E0">
              <w:rPr>
                <w:sz w:val="18"/>
              </w:rPr>
              <w:t>Nombre de pays de l’Europe orientale et de l’Europe du Sud-Est, du Caucase et de l’Asie centrale qui indiquent avoir adopté des mesures pour appliquer les instruments juridiques, normes et règlements de l’ONU relatifs aux transports administrés par la CEE</w:t>
            </w:r>
          </w:p>
        </w:tc>
        <w:tc>
          <w:tcPr>
            <w:tcW w:w="846" w:type="dxa"/>
            <w:tcBorders>
              <w:top w:val="single" w:sz="12" w:space="0" w:color="auto"/>
            </w:tcBorders>
            <w:shd w:val="clear" w:color="auto" w:fill="auto"/>
            <w:hideMark/>
          </w:tcPr>
          <w:p w:rsidR="00CC21A2" w:rsidRPr="00D864E0" w:rsidRDefault="00CC21A2" w:rsidP="00230F30">
            <w:pPr>
              <w:keepNext/>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11</w:t>
            </w:r>
          </w:p>
        </w:tc>
        <w:tc>
          <w:tcPr>
            <w:tcW w:w="688" w:type="dxa"/>
            <w:tcBorders>
              <w:top w:val="single" w:sz="12" w:space="0" w:color="auto"/>
            </w:tcBorders>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10</w:t>
            </w:r>
          </w:p>
        </w:tc>
        <w:tc>
          <w:tcPr>
            <w:tcW w:w="688" w:type="dxa"/>
            <w:tcBorders>
              <w:top w:val="single" w:sz="12" w:space="0" w:color="auto"/>
            </w:tcBorders>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w:t>
            </w:r>
          </w:p>
        </w:tc>
        <w:tc>
          <w:tcPr>
            <w:tcW w:w="681" w:type="dxa"/>
            <w:tcBorders>
              <w:top w:val="single" w:sz="12" w:space="0" w:color="auto"/>
            </w:tcBorders>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230F30">
            <w:pPr>
              <w:keepNext/>
              <w:suppressAutoHyphens w:val="0"/>
              <w:spacing w:before="40" w:after="40" w:line="220" w:lineRule="exact"/>
              <w:rPr>
                <w:sz w:val="18"/>
              </w:rPr>
            </w:pPr>
          </w:p>
        </w:tc>
        <w:tc>
          <w:tcPr>
            <w:tcW w:w="3636" w:type="dxa"/>
            <w:vMerge/>
            <w:shd w:val="clear" w:color="auto" w:fill="auto"/>
            <w:hideMark/>
          </w:tcPr>
          <w:p w:rsidR="00CC21A2" w:rsidRPr="00D864E0" w:rsidRDefault="00CC21A2" w:rsidP="00230F30">
            <w:pPr>
              <w:keepNext/>
              <w:suppressAutoHyphens w:val="0"/>
              <w:spacing w:before="40" w:after="40" w:line="220" w:lineRule="exact"/>
              <w:rPr>
                <w:sz w:val="18"/>
              </w:rPr>
            </w:pPr>
          </w:p>
        </w:tc>
        <w:tc>
          <w:tcPr>
            <w:tcW w:w="846" w:type="dxa"/>
            <w:shd w:val="clear" w:color="auto" w:fill="auto"/>
            <w:hideMark/>
          </w:tcPr>
          <w:p w:rsidR="00CC21A2" w:rsidRPr="00D864E0" w:rsidRDefault="00CC21A2" w:rsidP="00230F30">
            <w:pPr>
              <w:keepNext/>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10</w:t>
            </w:r>
          </w:p>
        </w:tc>
        <w:tc>
          <w:tcPr>
            <w:tcW w:w="688" w:type="dxa"/>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w:t>
            </w:r>
          </w:p>
        </w:tc>
        <w:tc>
          <w:tcPr>
            <w:tcW w:w="681" w:type="dxa"/>
            <w:shd w:val="clear" w:color="auto" w:fill="auto"/>
            <w:vAlign w:val="center"/>
            <w:hideMark/>
          </w:tcPr>
          <w:p w:rsidR="00CC21A2" w:rsidRPr="00D864E0" w:rsidRDefault="00CC21A2" w:rsidP="00230F30">
            <w:pPr>
              <w:keepNext/>
              <w:suppressAutoHyphens w:val="0"/>
              <w:spacing w:before="40" w:after="40" w:line="220" w:lineRule="exact"/>
              <w:jc w:val="center"/>
              <w:rPr>
                <w:sz w:val="18"/>
              </w:rPr>
            </w:pPr>
            <w:r w:rsidRPr="00D864E0">
              <w:rPr>
                <w:sz w:val="18"/>
              </w:rPr>
              <w:t>-</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D864E0">
            <w:pPr>
              <w:suppressAutoHyphens w:val="0"/>
              <w:spacing w:before="40" w:after="40" w:line="220" w:lineRule="exact"/>
              <w:rPr>
                <w:sz w:val="18"/>
              </w:rPr>
            </w:pPr>
          </w:p>
        </w:tc>
        <w:tc>
          <w:tcPr>
            <w:tcW w:w="3636" w:type="dxa"/>
            <w:vMerge/>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D864E0">
            <w:pPr>
              <w:suppressAutoHyphens w:val="0"/>
              <w:spacing w:before="40" w:after="40" w:line="220" w:lineRule="exact"/>
              <w:rPr>
                <w:sz w:val="18"/>
              </w:rPr>
            </w:pPr>
          </w:p>
        </w:tc>
        <w:tc>
          <w:tcPr>
            <w:tcW w:w="3636" w:type="dxa"/>
            <w:vMerge w:val="restart"/>
            <w:tcBorders>
              <w:top w:val="single" w:sz="12" w:space="0" w:color="auto"/>
            </w:tcBorders>
            <w:shd w:val="clear" w:color="auto" w:fill="auto"/>
            <w:hideMark/>
          </w:tcPr>
          <w:p w:rsidR="00CC21A2" w:rsidRPr="00D864E0" w:rsidRDefault="00CC21A2" w:rsidP="001640F0">
            <w:pPr>
              <w:tabs>
                <w:tab w:val="left" w:pos="284"/>
              </w:tabs>
              <w:suppressAutoHyphens w:val="0"/>
              <w:spacing w:before="40" w:after="40" w:line="220" w:lineRule="exact"/>
              <w:ind w:right="113"/>
              <w:rPr>
                <w:sz w:val="18"/>
              </w:rPr>
            </w:pPr>
            <w:r w:rsidRPr="00D864E0">
              <w:rPr>
                <w:sz w:val="18"/>
              </w:rPr>
              <w:t>ii)</w:t>
            </w:r>
            <w:r w:rsidR="00DC3882">
              <w:rPr>
                <w:sz w:val="18"/>
              </w:rPr>
              <w:tab/>
            </w:r>
            <w:r w:rsidRPr="00D864E0">
              <w:rPr>
                <w:sz w:val="18"/>
              </w:rPr>
              <w:t>Accroissement du nombre d’États membres de la CEE ayant défini des objectifs de renforcement de la sécurité routière</w:t>
            </w:r>
          </w:p>
        </w:tc>
        <w:tc>
          <w:tcPr>
            <w:tcW w:w="846" w:type="dxa"/>
            <w:tcBorders>
              <w:top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Objectif</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46</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43</w:t>
            </w:r>
          </w:p>
        </w:tc>
        <w:tc>
          <w:tcPr>
            <w:tcW w:w="688"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40</w:t>
            </w:r>
          </w:p>
        </w:tc>
        <w:tc>
          <w:tcPr>
            <w:tcW w:w="681" w:type="dxa"/>
            <w:tcBorders>
              <w:top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37</w:t>
            </w:r>
          </w:p>
        </w:tc>
      </w:tr>
      <w:tr w:rsidR="00D864E0" w:rsidRPr="00D864E0" w:rsidTr="00D77715">
        <w:tblPrEx>
          <w:tblBorders>
            <w:top w:val="none" w:sz="0" w:space="0" w:color="auto"/>
            <w:bottom w:val="none" w:sz="0" w:space="0" w:color="auto"/>
          </w:tblBorders>
        </w:tblPrEx>
        <w:tc>
          <w:tcPr>
            <w:tcW w:w="2410" w:type="dxa"/>
            <w:vMerge/>
            <w:shd w:val="clear" w:color="auto" w:fill="auto"/>
            <w:hideMark/>
          </w:tcPr>
          <w:p w:rsidR="00CC21A2" w:rsidRPr="00D864E0" w:rsidRDefault="00CC21A2" w:rsidP="00D864E0">
            <w:pPr>
              <w:suppressAutoHyphens w:val="0"/>
              <w:spacing w:before="40" w:after="40" w:line="220" w:lineRule="exact"/>
              <w:rPr>
                <w:sz w:val="18"/>
              </w:rPr>
            </w:pPr>
          </w:p>
        </w:tc>
        <w:tc>
          <w:tcPr>
            <w:tcW w:w="3636" w:type="dxa"/>
            <w:vMerge/>
            <w:shd w:val="clear" w:color="auto" w:fill="auto"/>
            <w:hideMark/>
          </w:tcPr>
          <w:p w:rsidR="00CC21A2" w:rsidRPr="00D864E0" w:rsidRDefault="00CC21A2" w:rsidP="00813418">
            <w:pPr>
              <w:suppressAutoHyphens w:val="0"/>
              <w:spacing w:before="40" w:after="40" w:line="220" w:lineRule="exact"/>
              <w:rPr>
                <w:sz w:val="18"/>
              </w:rPr>
            </w:pPr>
          </w:p>
        </w:tc>
        <w:tc>
          <w:tcPr>
            <w:tcW w:w="846" w:type="dxa"/>
            <w:shd w:val="clear" w:color="auto" w:fill="auto"/>
            <w:hideMark/>
          </w:tcPr>
          <w:p w:rsidR="00CC21A2" w:rsidRPr="00D864E0" w:rsidRDefault="00CC21A2" w:rsidP="00813418">
            <w:pPr>
              <w:suppressAutoHyphens w:val="0"/>
              <w:spacing w:before="40" w:after="40" w:line="220" w:lineRule="exact"/>
              <w:rPr>
                <w:sz w:val="18"/>
              </w:rPr>
            </w:pPr>
            <w:r w:rsidRPr="00D864E0">
              <w:rPr>
                <w:sz w:val="18"/>
              </w:rPr>
              <w:t>Estimation</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43</w:t>
            </w:r>
          </w:p>
        </w:tc>
        <w:tc>
          <w:tcPr>
            <w:tcW w:w="688"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40</w:t>
            </w:r>
          </w:p>
        </w:tc>
        <w:tc>
          <w:tcPr>
            <w:tcW w:w="681" w:type="dxa"/>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37</w:t>
            </w:r>
          </w:p>
        </w:tc>
      </w:tr>
      <w:tr w:rsidR="00813418" w:rsidRPr="00D864E0" w:rsidTr="00D77715">
        <w:tblPrEx>
          <w:tblBorders>
            <w:top w:val="none" w:sz="0" w:space="0" w:color="auto"/>
            <w:bottom w:val="none" w:sz="0" w:space="0" w:color="auto"/>
          </w:tblBorders>
        </w:tblPrEx>
        <w:tc>
          <w:tcPr>
            <w:tcW w:w="2410" w:type="dxa"/>
            <w:vMerge/>
            <w:tcBorders>
              <w:bottom w:val="single" w:sz="12" w:space="0" w:color="auto"/>
            </w:tcBorders>
            <w:shd w:val="clear" w:color="auto" w:fill="auto"/>
            <w:hideMark/>
          </w:tcPr>
          <w:p w:rsidR="00CC21A2" w:rsidRPr="00D864E0" w:rsidRDefault="00CC21A2" w:rsidP="00D864E0">
            <w:pPr>
              <w:suppressAutoHyphens w:val="0"/>
              <w:spacing w:before="40" w:after="40" w:line="220" w:lineRule="exact"/>
              <w:rPr>
                <w:sz w:val="18"/>
              </w:rPr>
            </w:pPr>
          </w:p>
        </w:tc>
        <w:tc>
          <w:tcPr>
            <w:tcW w:w="3636" w:type="dxa"/>
            <w:vMerge/>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p>
        </w:tc>
        <w:tc>
          <w:tcPr>
            <w:tcW w:w="846" w:type="dxa"/>
            <w:tcBorders>
              <w:bottom w:val="single" w:sz="12" w:space="0" w:color="auto"/>
            </w:tcBorders>
            <w:shd w:val="clear" w:color="auto" w:fill="auto"/>
            <w:hideMark/>
          </w:tcPr>
          <w:p w:rsidR="00CC21A2" w:rsidRPr="00D864E0" w:rsidRDefault="00CC21A2" w:rsidP="00813418">
            <w:pPr>
              <w:suppressAutoHyphens w:val="0"/>
              <w:spacing w:before="40" w:after="40" w:line="220" w:lineRule="exact"/>
              <w:rPr>
                <w:sz w:val="18"/>
              </w:rPr>
            </w:pPr>
            <w:r w:rsidRPr="00D864E0">
              <w:rPr>
                <w:sz w:val="18"/>
              </w:rPr>
              <w:t>Résultat effectif</w:t>
            </w: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p>
        </w:tc>
        <w:tc>
          <w:tcPr>
            <w:tcW w:w="688"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w:t>
            </w:r>
          </w:p>
        </w:tc>
        <w:tc>
          <w:tcPr>
            <w:tcW w:w="681" w:type="dxa"/>
            <w:tcBorders>
              <w:bottom w:val="single" w:sz="12" w:space="0" w:color="auto"/>
            </w:tcBorders>
            <w:shd w:val="clear" w:color="auto" w:fill="auto"/>
            <w:vAlign w:val="center"/>
            <w:hideMark/>
          </w:tcPr>
          <w:p w:rsidR="00CC21A2" w:rsidRPr="00D864E0" w:rsidRDefault="00CC21A2" w:rsidP="00813418">
            <w:pPr>
              <w:suppressAutoHyphens w:val="0"/>
              <w:spacing w:before="40" w:after="40" w:line="220" w:lineRule="exact"/>
              <w:jc w:val="center"/>
              <w:rPr>
                <w:sz w:val="18"/>
              </w:rPr>
            </w:pPr>
            <w:r w:rsidRPr="00D864E0">
              <w:rPr>
                <w:sz w:val="18"/>
              </w:rPr>
              <w:t>42</w:t>
            </w:r>
          </w:p>
        </w:tc>
      </w:tr>
    </w:tbl>
    <w:p w:rsidR="00CC21A2" w:rsidRPr="00C0055E" w:rsidRDefault="00CC21A2" w:rsidP="00CC21A2">
      <w:pPr>
        <w:pStyle w:val="HChG"/>
        <w:rPr>
          <w:spacing w:val="4"/>
          <w:w w:val="103"/>
          <w:kern w:val="14"/>
        </w:rPr>
      </w:pPr>
      <w:r>
        <w:tab/>
      </w:r>
      <w:r w:rsidRPr="00C0055E">
        <w:t>III.</w:t>
      </w:r>
      <w:r w:rsidRPr="00C0055E">
        <w:tab/>
        <w:t>Stratégie</w:t>
      </w:r>
    </w:p>
    <w:p w:rsidR="00CC21A2" w:rsidRPr="00C0055E" w:rsidRDefault="00CC21A2" w:rsidP="00655383">
      <w:pPr>
        <w:pStyle w:val="SingleTxtG"/>
        <w:keepNext/>
      </w:pPr>
      <w:r w:rsidRPr="00C0055E">
        <w:t>2.</w:t>
      </w:r>
      <w:r w:rsidRPr="00C0055E">
        <w:tab/>
        <w:t>L’exécution de ce sous-programme incombe à la Division des transports durables. Le sous-programme contribuera à la mise en œuvre du Programme de développement durable à l’horizon 2030 et à la réalisation des objectifs de développement durable liés aux transports, notamment les objectifs 3, 7, 8, 9, 11, 13 et 17. Cette contribution revêtira les formes suivantes</w:t>
      </w:r>
      <w:r w:rsidR="00F3730F">
        <w:t> :</w:t>
      </w:r>
      <w:r w:rsidRPr="00C0055E">
        <w:t xml:space="preserve"> </w:t>
      </w:r>
    </w:p>
    <w:p w:rsidR="00CC21A2" w:rsidRPr="00C0055E" w:rsidRDefault="00CC21A2" w:rsidP="00655383">
      <w:pPr>
        <w:pStyle w:val="SingleTxtG"/>
        <w:ind w:firstLine="567"/>
      </w:pPr>
      <w:r w:rsidRPr="00C0055E">
        <w:t>a)</w:t>
      </w:r>
      <w:r w:rsidRPr="00C0055E">
        <w:tab/>
        <w:t>Travaux normatifs sur la poursuite de la mise en place de cadres juridiques et réglementaires relatifs aux transports intérieurs aux niveaux international, national et local, par l’adoption de nouveaux instruments et la mise à j</w:t>
      </w:r>
      <w:r w:rsidR="004B6B96">
        <w:t>our, selon que de besoin, de 58 </w:t>
      </w:r>
      <w:r w:rsidRPr="00C0055E">
        <w:t>instruments juridiques couvrant tous les modes de transport intérieur, les règlements relatifs aux véhicules et le transport des marchandises dangereuses, une attention particulière étant accordée à la numérisation des transports, notamment aux véhicules automatisés/</w:t>
      </w:r>
      <w:r w:rsidR="00655383">
        <w:t xml:space="preserve"> </w:t>
      </w:r>
      <w:r w:rsidRPr="00C0055E">
        <w:t>autonomes, et à l’informatisation du régime TIR</w:t>
      </w:r>
      <w:r w:rsidR="00F3730F">
        <w:t> ;</w:t>
      </w:r>
      <w:r w:rsidRPr="00C0055E">
        <w:t xml:space="preserve"> </w:t>
      </w:r>
    </w:p>
    <w:p w:rsidR="00CC21A2" w:rsidRPr="00C0055E" w:rsidRDefault="00CC21A2" w:rsidP="00655383">
      <w:pPr>
        <w:pStyle w:val="SingleTxtG"/>
        <w:ind w:firstLine="567"/>
      </w:pPr>
      <w:r w:rsidRPr="00C0055E">
        <w:t>b)</w:t>
      </w:r>
      <w:r w:rsidRPr="00C0055E">
        <w:tab/>
        <w:t>Concertation sur l’action à mener et appui à la coopération entre les gouvernements et les autres parties prenantes. Les ac</w:t>
      </w:r>
      <w:r w:rsidR="00655383">
        <w:t>tivités menées au titre du sous</w:t>
      </w:r>
      <w:r w:rsidR="00655383">
        <w:noBreakHyphen/>
      </w:r>
      <w:r w:rsidRPr="00C0055E">
        <w:t>programme viseront principalement à</w:t>
      </w:r>
      <w:r w:rsidR="00F3730F">
        <w:t> :</w:t>
      </w:r>
      <w:r w:rsidRPr="00C0055E">
        <w:t xml:space="preserve"> favoriser le développement de transports durables</w:t>
      </w:r>
      <w:r w:rsidR="00F3730F">
        <w:t> ;</w:t>
      </w:r>
      <w:r w:rsidRPr="00C0055E">
        <w:t xml:space="preserve"> susciter de nouvelles adhésions aux instruments juridiques des Nations Unies administrés par la CEE et contribuer à leur mise en œuvre et au renforcement de leurs mécanismes de suivi</w:t>
      </w:r>
      <w:r w:rsidR="00F3730F">
        <w:t> ;</w:t>
      </w:r>
      <w:r w:rsidRPr="00C0055E">
        <w:t xml:space="preserve"> gérer la facilitation du passage des frontières et du transit</w:t>
      </w:r>
      <w:r w:rsidR="00F3730F">
        <w:t> ;</w:t>
      </w:r>
      <w:r w:rsidRPr="00C0055E">
        <w:t xml:space="preserve"> partager les meilleures pratiques et les enseignements à retenir</w:t>
      </w:r>
      <w:r w:rsidR="00F3730F">
        <w:t> ;</w:t>
      </w:r>
      <w:r w:rsidRPr="00C0055E">
        <w:t xml:space="preserve"> répondre aux rapides mutations technologiques, compte tenu notamment des effets d’un recours accru aux technologies de l’information et des communications dans le domaine des transports et de l’utilisation de documents électroniques. Eu égard à la Décennie d’action pour la sécurité routière et à la cible 3.6 des objectifs de développement durable, une large place sera faite aux instruments juridiques des Nations Unies relatifs à la sécurité routière</w:t>
      </w:r>
      <w:r w:rsidR="00F3730F">
        <w:t> ;</w:t>
      </w:r>
      <w:r w:rsidRPr="00C0055E">
        <w:t xml:space="preserve"> </w:t>
      </w:r>
    </w:p>
    <w:p w:rsidR="00CC21A2" w:rsidRPr="00C0055E" w:rsidRDefault="00CC21A2" w:rsidP="00655383">
      <w:pPr>
        <w:pStyle w:val="SingleTxtG"/>
        <w:ind w:firstLine="567"/>
      </w:pPr>
      <w:r w:rsidRPr="00C0055E">
        <w:t>c)</w:t>
      </w:r>
      <w:r w:rsidRPr="00C0055E">
        <w:tab/>
        <w:t>Renforcement des capacités nationales aux fins de la mise en place d’infrastructures de transport paneuropéennes et transcontinentales, y compris de mesures propres à faciliter les transports et le passage des frontières, compte tenu des besoins particuliers des pays en transition sans littoral. Les projets d’autoroute transeuropéenne et de chemin de fer transeuropéen seront exécutés sur la base de leurs plans directeurs et de projets concrets de grande importance. Il est prévu de promouvoir le développement des liaisons de transport Europe-Asie et l’uniformisation du droit ferroviaire. Un appui sera également apporté au renforcement des liaisons de transport entre l’Europe et l’Afrique et entre l’Europe et le Moyen-Orient, notamment dans la région méditerranéenne</w:t>
      </w:r>
      <w:r w:rsidR="00F3730F">
        <w:t> ;</w:t>
      </w:r>
    </w:p>
    <w:p w:rsidR="00CC21A2" w:rsidRPr="00C0055E" w:rsidRDefault="00CC21A2" w:rsidP="00655383">
      <w:pPr>
        <w:pStyle w:val="SingleTxtG"/>
        <w:keepLines/>
        <w:ind w:firstLine="567"/>
      </w:pPr>
      <w:r w:rsidRPr="00C0055E">
        <w:t>d)</w:t>
      </w:r>
      <w:r w:rsidRPr="00C0055E">
        <w:tab/>
        <w:t xml:space="preserve">Utilisation des outils d’analyse mis au point en interne, tels que l’outil </w:t>
      </w:r>
      <w:proofErr w:type="spellStart"/>
      <w:r w:rsidRPr="00C0055E">
        <w:t>ForFITS</w:t>
      </w:r>
      <w:proofErr w:type="spellEnd"/>
      <w:r w:rsidRPr="00C0055E">
        <w:t xml:space="preserve"> de modélisation des futurs systèmes de transport intérieur pour l’évaluation des émissions de CO</w:t>
      </w:r>
      <w:r w:rsidRPr="00C0055E">
        <w:rPr>
          <w:vertAlign w:val="subscript"/>
        </w:rPr>
        <w:t>2</w:t>
      </w:r>
      <w:r w:rsidRPr="00C0055E">
        <w:t xml:space="preserve"> suivant différents scénarios et l’outil </w:t>
      </w:r>
      <w:proofErr w:type="spellStart"/>
      <w:r w:rsidRPr="00C0055E">
        <w:t>SafeFITS</w:t>
      </w:r>
      <w:proofErr w:type="spellEnd"/>
      <w:r w:rsidRPr="00C0055E">
        <w:t xml:space="preserve"> (« Futurs systèmes sûrs de transport intérieur</w:t>
      </w:r>
      <w:r w:rsidR="00655383">
        <w:t> </w:t>
      </w:r>
      <w:r w:rsidRPr="00C0055E">
        <w:t>») pour la conception de scénarios de sécurité routière, en vue de procéder à un examen des orientations, d’évaluer la performance environnementale et le niveau de sécurité du secteur des transports et de la logistique, de mesurer sa contribution à la compétitivité nationale et de définir des possibilités d’action privilégiant des déplacements viables en milieu urbain. Une attention particulière sera accordée au développement de la capacité de produire des statistiques de qualité relatives aux transports.</w:t>
      </w:r>
    </w:p>
    <w:p w:rsidR="00CC21A2" w:rsidRPr="00C0055E" w:rsidRDefault="00CC21A2" w:rsidP="00CC21A2">
      <w:pPr>
        <w:pStyle w:val="SingleTxtG"/>
      </w:pPr>
      <w:r w:rsidRPr="00C0055E">
        <w:t>3.</w:t>
      </w:r>
      <w:r w:rsidRPr="00C0055E">
        <w:tab/>
        <w:t>Pour atteindre ses objectifs dans les quatre domaines ci-dessus, le sous-programme</w:t>
      </w:r>
      <w:r w:rsidR="00F3730F">
        <w:t> :</w:t>
      </w:r>
    </w:p>
    <w:p w:rsidR="00CC21A2" w:rsidRPr="00C0055E" w:rsidRDefault="00CC21A2" w:rsidP="00224A13">
      <w:pPr>
        <w:pStyle w:val="SingleTxtG"/>
        <w:ind w:firstLine="567"/>
      </w:pPr>
      <w:r w:rsidRPr="00C0055E">
        <w:t>a)</w:t>
      </w:r>
      <w:r w:rsidRPr="00C0055E">
        <w:tab/>
        <w:t>Administrera les instruments juridiques des Nations Unies relatifs aux transports</w:t>
      </w:r>
      <w:r w:rsidR="00F3730F">
        <w:t> ;</w:t>
      </w:r>
    </w:p>
    <w:p w:rsidR="00CC21A2" w:rsidRPr="00C0055E" w:rsidRDefault="00CC21A2" w:rsidP="00224A13">
      <w:pPr>
        <w:pStyle w:val="SingleTxtG"/>
        <w:ind w:firstLine="567"/>
      </w:pPr>
      <w:r w:rsidRPr="00C0055E">
        <w:t>b)</w:t>
      </w:r>
      <w:r w:rsidRPr="00C0055E">
        <w:tab/>
        <w:t>Mènera des activités d’analyse</w:t>
      </w:r>
      <w:r w:rsidR="00F3730F">
        <w:t> ;</w:t>
      </w:r>
    </w:p>
    <w:p w:rsidR="00CC21A2" w:rsidRPr="00C0055E" w:rsidRDefault="00CC21A2" w:rsidP="00224A13">
      <w:pPr>
        <w:pStyle w:val="SingleTxtG"/>
        <w:ind w:firstLine="567"/>
      </w:pPr>
      <w:r w:rsidRPr="00C0055E">
        <w:t>c)</w:t>
      </w:r>
      <w:r w:rsidRPr="00C0055E">
        <w:tab/>
        <w:t>Contribuera à la réalisation des objectifs de développement durable liés aux transports et des cibles correspondantes dans les domaines de la sécurité routière, de la résilience des infrastructures, de l’efficacité énergétique, des changements climatiques et des modes de déplacement viables en milieu urbain et entre les agglomérations</w:t>
      </w:r>
      <w:r w:rsidR="00F3730F">
        <w:t> ;</w:t>
      </w:r>
    </w:p>
    <w:p w:rsidR="00CC21A2" w:rsidRPr="00C0055E" w:rsidRDefault="00CC21A2" w:rsidP="00224A13">
      <w:pPr>
        <w:pStyle w:val="SingleTxtG"/>
        <w:ind w:firstLine="567"/>
      </w:pPr>
      <w:r w:rsidRPr="00C0055E">
        <w:t>d)</w:t>
      </w:r>
      <w:r w:rsidRPr="00C0055E">
        <w:tab/>
        <w:t>Renforcera la coopération et les partenariats avec les organisations économiques régionales ainsi qu’avec d’autres organisations internationales compétentes en matière de transports</w:t>
      </w:r>
      <w:r w:rsidR="00F3730F">
        <w:t> ;</w:t>
      </w:r>
    </w:p>
    <w:p w:rsidR="00CC21A2" w:rsidRPr="00C0055E" w:rsidRDefault="00CC21A2" w:rsidP="00224A13">
      <w:pPr>
        <w:pStyle w:val="SingleTxtG"/>
        <w:ind w:firstLine="567"/>
        <w:rPr>
          <w:spacing w:val="4"/>
          <w:w w:val="103"/>
          <w:kern w:val="14"/>
        </w:rPr>
      </w:pPr>
      <w:r w:rsidRPr="00C0055E">
        <w:t>e)</w:t>
      </w:r>
      <w:r w:rsidRPr="00C0055E">
        <w:tab/>
        <w:t>Participera à des projets multisectoriels, en mettant particulièrement l’accent sur les services à fournir au Programme paneuropéen sur les transports, la santé et l’environnement, conjointement avec le sous-programme 1 (Environnement).</w:t>
      </w:r>
    </w:p>
    <w:p w:rsidR="00CC21A2" w:rsidRPr="00C0055E" w:rsidRDefault="00CC21A2" w:rsidP="00CC21A2">
      <w:pPr>
        <w:pStyle w:val="HChG"/>
        <w:rPr>
          <w:spacing w:val="4"/>
          <w:w w:val="103"/>
          <w:kern w:val="14"/>
        </w:rPr>
      </w:pPr>
      <w:r>
        <w:tab/>
      </w:r>
      <w:r w:rsidRPr="00C0055E">
        <w:t>IV.</w:t>
      </w:r>
      <w:r w:rsidRPr="00C0055E">
        <w:tab/>
        <w:t xml:space="preserve">Facteurs extérieurs </w:t>
      </w:r>
    </w:p>
    <w:p w:rsidR="00CC21A2" w:rsidRPr="00C0055E" w:rsidRDefault="00CC21A2" w:rsidP="00CC21A2">
      <w:pPr>
        <w:pStyle w:val="SingleTxtG"/>
        <w:rPr>
          <w:w w:val="103"/>
        </w:rPr>
      </w:pPr>
      <w:r w:rsidRPr="00C0055E">
        <w:t>4.</w:t>
      </w:r>
      <w:r w:rsidRPr="00C0055E">
        <w:tab/>
        <w:t>Le sous-programme devrait permettre d’aboutir aux objectifs visés et aux réalisations escomptées si les conditions suivantes sont réunies</w:t>
      </w:r>
      <w:r w:rsidR="00F3730F">
        <w:t> :</w:t>
      </w:r>
      <w:r w:rsidR="00030755">
        <w:t xml:space="preserve"> a) </w:t>
      </w:r>
      <w:r w:rsidRPr="00C0055E">
        <w:t>les parties intéressées parviennent à un consensus sur l’actualisation des instruments juridiques en vigueur et l’élaboration de nouveaux instruments</w:t>
      </w:r>
      <w:r w:rsidR="00F3730F">
        <w:t> ;</w:t>
      </w:r>
      <w:r w:rsidR="00030755">
        <w:t xml:space="preserve"> b) </w:t>
      </w:r>
      <w:r w:rsidRPr="00C0055E">
        <w:t>le contexte est favorable à l’adhésion aux conventions des Nations Unies relatives aux transports, ainsi qu’à leur mise en œuvre et leur application effective à l’échelle nationale</w:t>
      </w:r>
      <w:r w:rsidR="00F3730F">
        <w:t> ;</w:t>
      </w:r>
      <w:r w:rsidR="00030755">
        <w:t xml:space="preserve"> c) </w:t>
      </w:r>
      <w:r w:rsidRPr="00C0055E">
        <w:t>un climat politique stable sur le plan international favorise le développement des infrastructures et réseaux de transport et la facilitation du passage des frontières</w:t>
      </w:r>
      <w:r w:rsidR="00F3730F">
        <w:t> ;</w:t>
      </w:r>
      <w:r w:rsidR="00030755">
        <w:t xml:space="preserve"> d) </w:t>
      </w:r>
      <w:r w:rsidRPr="00C0055E">
        <w:t>il existe une volonté politique de favoriser la transition vers une mobilité viable.</w:t>
      </w:r>
    </w:p>
    <w:p w:rsidR="00CC21A2" w:rsidRPr="00C0055E" w:rsidRDefault="00CC21A2" w:rsidP="00CC21A2">
      <w:pPr>
        <w:pStyle w:val="HChG"/>
        <w:rPr>
          <w:w w:val="103"/>
        </w:rPr>
      </w:pPr>
      <w:r>
        <w:tab/>
      </w:r>
      <w:r w:rsidRPr="00C0055E">
        <w:t>V.</w:t>
      </w:r>
      <w:r w:rsidRPr="00C0055E">
        <w:tab/>
        <w:t>Mandats</w:t>
      </w:r>
    </w:p>
    <w:p w:rsidR="00CC21A2" w:rsidRPr="00030755" w:rsidRDefault="00CC21A2" w:rsidP="00CC21A2">
      <w:pPr>
        <w:pStyle w:val="H1G"/>
        <w:rPr>
          <w:rFonts w:eastAsia="Calibri"/>
          <w:spacing w:val="-2"/>
          <w:w w:val="103"/>
        </w:rPr>
      </w:pPr>
      <w:r w:rsidRPr="00C0055E">
        <w:tab/>
        <w:t>A.</w:t>
      </w:r>
      <w:r w:rsidRPr="00C0055E">
        <w:tab/>
      </w:r>
      <w:r w:rsidRPr="00030755">
        <w:rPr>
          <w:spacing w:val="-2"/>
        </w:rPr>
        <w:t>Textes généraux émanant des organes délibérants et concernant la CEE</w:t>
      </w:r>
      <w:r w:rsidRPr="00030755">
        <w:rPr>
          <w:rStyle w:val="FootnoteReference"/>
          <w:b w:val="0"/>
          <w:spacing w:val="-2"/>
        </w:rPr>
        <w:footnoteReference w:id="2"/>
      </w:r>
    </w:p>
    <w:tbl>
      <w:tblPr>
        <w:tblW w:w="8504" w:type="dxa"/>
        <w:tblInd w:w="1134" w:type="dxa"/>
        <w:tblLayout w:type="fixed"/>
        <w:tblCellMar>
          <w:left w:w="0" w:type="dxa"/>
          <w:right w:w="0" w:type="dxa"/>
        </w:tblCellMar>
        <w:tblLook w:val="04A0" w:firstRow="1" w:lastRow="0" w:firstColumn="1" w:lastColumn="0" w:noHBand="0" w:noVBand="1"/>
      </w:tblPr>
      <w:tblGrid>
        <w:gridCol w:w="1418"/>
        <w:gridCol w:w="7086"/>
      </w:tblGrid>
      <w:tr w:rsidR="00CC21A2" w:rsidRPr="0014056F" w:rsidTr="000A06B6">
        <w:tc>
          <w:tcPr>
            <w:tcW w:w="8504" w:type="dxa"/>
            <w:gridSpan w:val="2"/>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rPr>
                <w:i/>
                <w:iCs/>
              </w:rPr>
              <w:t>Résolutions de l’Assemblée générale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9" w:history="1">
              <w:r w:rsidR="00CC21A2" w:rsidRPr="0014056F">
                <w:t>66/288</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L’avenir que nous voulons </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10" w:history="1">
              <w:r w:rsidR="00CC21A2" w:rsidRPr="0014056F">
                <w:t>67/10</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la Communauté économique eurasienne</w:t>
            </w:r>
          </w:p>
        </w:tc>
      </w:tr>
      <w:tr w:rsidR="00CC21A2" w:rsidRPr="0014056F" w:rsidTr="000A06B6">
        <w:tc>
          <w:tcPr>
            <w:tcW w:w="1418" w:type="dxa"/>
            <w:shd w:val="clear" w:color="auto" w:fill="auto"/>
          </w:tcPr>
          <w:p w:rsidR="00CC21A2" w:rsidRPr="0014056F" w:rsidRDefault="00C9231E" w:rsidP="000A06B6">
            <w:pPr>
              <w:spacing w:before="40" w:after="80"/>
            </w:pPr>
            <w:hyperlink r:id="rId11" w:history="1">
              <w:r w:rsidR="00CC21A2" w:rsidRPr="0014056F">
                <w:t>69/313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Programme d’action d’Addis-Abeba issu de la troisième Conférence internationale sur le financement du développement (Programme d’action d’Addis-Abeba)</w:t>
            </w:r>
          </w:p>
        </w:tc>
      </w:tr>
      <w:tr w:rsidR="00CC21A2" w:rsidRPr="0014056F" w:rsidTr="000A06B6">
        <w:tc>
          <w:tcPr>
            <w:tcW w:w="1418" w:type="dxa"/>
            <w:shd w:val="clear" w:color="auto" w:fill="auto"/>
          </w:tcPr>
          <w:p w:rsidR="00CC21A2" w:rsidRPr="0014056F" w:rsidRDefault="00C9231E" w:rsidP="000A06B6">
            <w:pPr>
              <w:spacing w:before="40" w:after="80"/>
            </w:pPr>
            <w:hyperlink r:id="rId12" w:history="1">
              <w:r w:rsidR="00CC21A2" w:rsidRPr="0014056F">
                <w:t>70/1</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Transformer notre monde</w:t>
            </w:r>
            <w:r w:rsidR="00F3730F" w:rsidRPr="0014056F">
              <w:t> :</w:t>
            </w:r>
            <w:r w:rsidRPr="0014056F">
              <w:t xml:space="preserve"> le Programme de développement durable à l’horizon 2030</w:t>
            </w:r>
          </w:p>
        </w:tc>
      </w:tr>
      <w:tr w:rsidR="00CC21A2" w:rsidRPr="0014056F" w:rsidTr="000A06B6">
        <w:tc>
          <w:tcPr>
            <w:tcW w:w="1418" w:type="dxa"/>
            <w:shd w:val="clear" w:color="auto" w:fill="auto"/>
          </w:tcPr>
          <w:p w:rsidR="00CC21A2" w:rsidRPr="0014056F" w:rsidRDefault="00C9231E" w:rsidP="000A06B6">
            <w:pPr>
              <w:keepNext/>
              <w:spacing w:before="40" w:after="80"/>
            </w:pPr>
            <w:hyperlink r:id="rId13" w:history="1">
              <w:r w:rsidR="00CC21A2" w:rsidRPr="0014056F">
                <w:t>70/133</w:t>
              </w:r>
            </w:hyperlink>
          </w:p>
        </w:tc>
        <w:tc>
          <w:tcPr>
            <w:tcW w:w="7086" w:type="dxa"/>
            <w:shd w:val="clear" w:color="auto" w:fill="auto"/>
          </w:tcPr>
          <w:p w:rsidR="00CC21A2" w:rsidRPr="0014056F" w:rsidRDefault="00CC21A2" w:rsidP="000A06B6">
            <w:pPr>
              <w:keepNext/>
              <w:tabs>
                <w:tab w:val="left" w:pos="288"/>
                <w:tab w:val="left" w:pos="576"/>
                <w:tab w:val="left" w:pos="864"/>
                <w:tab w:val="left" w:pos="1152"/>
              </w:tabs>
              <w:spacing w:before="40" w:after="80"/>
              <w:rPr>
                <w:spacing w:val="4"/>
                <w:w w:val="103"/>
                <w:kern w:val="14"/>
              </w:rPr>
            </w:pPr>
            <w:r w:rsidRPr="0014056F">
              <w:t>Suite donnée à la quatrième Conférence mondiale sur les femmes et application intégrale de la Déclaration et du Programme d’action de Be</w:t>
            </w:r>
            <w:r w:rsidR="008719EC">
              <w:t>ijing et des textes issus de la </w:t>
            </w:r>
            <w:r w:rsidRPr="0014056F">
              <w:t>vingt-troisième session extraordinaire de l’Assemblée générale</w:t>
            </w:r>
          </w:p>
        </w:tc>
      </w:tr>
      <w:tr w:rsidR="00CC21A2" w:rsidRPr="0014056F" w:rsidTr="000A06B6">
        <w:tc>
          <w:tcPr>
            <w:tcW w:w="1418" w:type="dxa"/>
            <w:shd w:val="clear" w:color="auto" w:fill="auto"/>
          </w:tcPr>
          <w:p w:rsidR="00CC21A2" w:rsidRPr="0014056F" w:rsidRDefault="00C9231E" w:rsidP="000A06B6">
            <w:pPr>
              <w:spacing w:before="40" w:after="80"/>
            </w:pPr>
            <w:hyperlink r:id="rId14" w:history="1">
              <w:r w:rsidR="00CC21A2" w:rsidRPr="0014056F">
                <w:t xml:space="preserve">70/221 </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Activités opérationnelles de développement du système des Nations Unies</w:t>
            </w:r>
          </w:p>
        </w:tc>
      </w:tr>
      <w:tr w:rsidR="00CC21A2" w:rsidRPr="0014056F" w:rsidTr="000A06B6">
        <w:tc>
          <w:tcPr>
            <w:tcW w:w="1418" w:type="dxa"/>
            <w:shd w:val="clear" w:color="auto" w:fill="auto"/>
          </w:tcPr>
          <w:p w:rsidR="00CC21A2" w:rsidRPr="0014056F" w:rsidRDefault="00C9231E" w:rsidP="000A06B6">
            <w:pPr>
              <w:spacing w:before="40" w:after="80"/>
            </w:pPr>
            <w:hyperlink r:id="rId15" w:history="1">
              <w:r w:rsidR="00CC21A2" w:rsidRPr="0014056F">
                <w:t xml:space="preserve">71/10 </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la Communauté d’États indépendants</w:t>
            </w:r>
          </w:p>
        </w:tc>
      </w:tr>
      <w:tr w:rsidR="00CC21A2" w:rsidRPr="0014056F" w:rsidTr="000A06B6">
        <w:tc>
          <w:tcPr>
            <w:tcW w:w="1418" w:type="dxa"/>
            <w:shd w:val="clear" w:color="auto" w:fill="auto"/>
          </w:tcPr>
          <w:p w:rsidR="00CC21A2" w:rsidRPr="0014056F" w:rsidRDefault="00C9231E" w:rsidP="000A06B6">
            <w:pPr>
              <w:spacing w:before="40" w:after="80"/>
            </w:pPr>
            <w:hyperlink r:id="rId16" w:history="1">
              <w:r w:rsidR="00CC21A2" w:rsidRPr="0014056F">
                <w:t>71/13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l’Initiative de l’Europe centrale</w:t>
            </w:r>
          </w:p>
        </w:tc>
      </w:tr>
      <w:tr w:rsidR="00CC21A2" w:rsidRPr="0014056F" w:rsidTr="000A06B6">
        <w:tc>
          <w:tcPr>
            <w:tcW w:w="1418" w:type="dxa"/>
            <w:shd w:val="clear" w:color="auto" w:fill="auto"/>
          </w:tcPr>
          <w:p w:rsidR="00CC21A2" w:rsidRPr="0014056F" w:rsidRDefault="00C9231E" w:rsidP="000A06B6">
            <w:pPr>
              <w:spacing w:before="40" w:after="80"/>
            </w:pPr>
            <w:hyperlink r:id="rId17" w:history="1">
              <w:r w:rsidR="00CC21A2" w:rsidRPr="0014056F">
                <w:t xml:space="preserve">71/14 </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l’O</w:t>
            </w:r>
            <w:r w:rsidR="00BC536C">
              <w:t>rganisation de Shanghai pour la </w:t>
            </w:r>
            <w:r w:rsidRPr="0014056F">
              <w:t>coopération</w:t>
            </w:r>
          </w:p>
        </w:tc>
      </w:tr>
      <w:tr w:rsidR="00CC21A2" w:rsidRPr="0014056F" w:rsidTr="000A06B6">
        <w:tc>
          <w:tcPr>
            <w:tcW w:w="1418" w:type="dxa"/>
            <w:shd w:val="clear" w:color="auto" w:fill="auto"/>
          </w:tcPr>
          <w:p w:rsidR="00CC21A2" w:rsidRPr="0014056F" w:rsidRDefault="00C9231E" w:rsidP="000A06B6">
            <w:pPr>
              <w:spacing w:before="40" w:after="80"/>
            </w:pPr>
            <w:hyperlink r:id="rId18" w:history="1">
              <w:r w:rsidR="00CC21A2" w:rsidRPr="0014056F">
                <w:t>71/16</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l’Organisation de coopération économique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19" w:history="1">
              <w:r w:rsidR="00CC21A2" w:rsidRPr="0014056F">
                <w:t>71/18</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Coopération entre l’Organisation des Nations Unies et l’Organisation de coopération économique de la mer Noire</w:t>
            </w:r>
          </w:p>
        </w:tc>
      </w:tr>
      <w:tr w:rsidR="00CC21A2" w:rsidRPr="0014056F" w:rsidTr="000A06B6">
        <w:tc>
          <w:tcPr>
            <w:tcW w:w="1418" w:type="dxa"/>
            <w:shd w:val="clear" w:color="auto" w:fill="auto"/>
          </w:tcPr>
          <w:p w:rsidR="00CC21A2" w:rsidRPr="0014056F" w:rsidRDefault="00C9231E" w:rsidP="000A06B6">
            <w:pPr>
              <w:spacing w:before="40" w:after="80"/>
            </w:pPr>
            <w:hyperlink r:id="rId20" w:history="1">
              <w:r w:rsidR="00CC21A2" w:rsidRPr="0014056F">
                <w:t>71/162</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Suite donnée au Sommet mondial pour le développement social et à la vingt-quatrième session extraordinaire de l’Assemblée générale </w:t>
            </w:r>
          </w:p>
        </w:tc>
      </w:tr>
      <w:tr w:rsidR="00CC21A2" w:rsidRPr="0014056F" w:rsidTr="000A06B6">
        <w:tc>
          <w:tcPr>
            <w:tcW w:w="1418" w:type="dxa"/>
            <w:shd w:val="clear" w:color="auto" w:fill="auto"/>
          </w:tcPr>
          <w:p w:rsidR="00CC21A2" w:rsidRPr="0014056F" w:rsidRDefault="00C9231E" w:rsidP="000A06B6">
            <w:pPr>
              <w:spacing w:before="40" w:after="80"/>
            </w:pPr>
            <w:hyperlink r:id="rId21" w:history="1">
              <w:r w:rsidR="00CC21A2" w:rsidRPr="0014056F">
                <w:t xml:space="preserve">71/212 </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Technologies de l’information et des communications au service du développement</w:t>
            </w:r>
          </w:p>
        </w:tc>
      </w:tr>
      <w:tr w:rsidR="00CC21A2" w:rsidRPr="0014056F" w:rsidTr="000A06B6">
        <w:tc>
          <w:tcPr>
            <w:tcW w:w="1418" w:type="dxa"/>
            <w:shd w:val="clear" w:color="auto" w:fill="auto"/>
          </w:tcPr>
          <w:p w:rsidR="00CC21A2" w:rsidRPr="0014056F" w:rsidRDefault="00C9231E" w:rsidP="000A06B6">
            <w:pPr>
              <w:keepNext/>
              <w:keepLines/>
              <w:tabs>
                <w:tab w:val="left" w:pos="288"/>
                <w:tab w:val="left" w:pos="576"/>
                <w:tab w:val="left" w:pos="864"/>
                <w:tab w:val="left" w:pos="1152"/>
              </w:tabs>
              <w:spacing w:before="40" w:after="80"/>
              <w:rPr>
                <w:spacing w:val="4"/>
                <w:w w:val="103"/>
                <w:kern w:val="14"/>
              </w:rPr>
            </w:pPr>
            <w:hyperlink r:id="rId22" w:history="1">
              <w:r w:rsidR="00CC21A2" w:rsidRPr="0014056F">
                <w:t>71/223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Mise en œuvre d’Action 21, du Programme relatif à la poursuite de la mise en œuvre d’Action 21 et des textes issus du Sommet mondial pour le</w:t>
            </w:r>
            <w:r w:rsidR="008719EC">
              <w:t xml:space="preserve"> développement durable et de </w:t>
            </w:r>
            <w:r w:rsidR="00BC536C">
              <w:t>la </w:t>
            </w:r>
            <w:r w:rsidRPr="0014056F">
              <w:t>Conférence des Nations Unies sur le développement durable</w:t>
            </w:r>
          </w:p>
        </w:tc>
      </w:tr>
      <w:tr w:rsidR="00CC21A2" w:rsidRPr="0014056F" w:rsidTr="000A06B6">
        <w:tc>
          <w:tcPr>
            <w:tcW w:w="1418" w:type="dxa"/>
            <w:shd w:val="clear" w:color="auto" w:fill="auto"/>
          </w:tcPr>
          <w:p w:rsidR="00CC21A2" w:rsidRPr="0014056F" w:rsidRDefault="00C9231E" w:rsidP="000A06B6">
            <w:pPr>
              <w:spacing w:before="40" w:after="80"/>
            </w:pPr>
            <w:hyperlink r:id="rId23" w:history="1">
              <w:r w:rsidR="00CC21A2" w:rsidRPr="0014056F">
                <w:t>71/226</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Réduction des risques de catastrophe </w:t>
            </w:r>
          </w:p>
        </w:tc>
      </w:tr>
      <w:tr w:rsidR="00CC21A2" w:rsidRPr="0014056F" w:rsidTr="000A06B6">
        <w:tc>
          <w:tcPr>
            <w:tcW w:w="1418" w:type="dxa"/>
            <w:shd w:val="clear" w:color="auto" w:fill="auto"/>
          </w:tcPr>
          <w:p w:rsidR="00CC21A2" w:rsidRPr="0014056F" w:rsidRDefault="00C9231E" w:rsidP="000A06B6">
            <w:pPr>
              <w:spacing w:before="40" w:after="80"/>
            </w:pPr>
            <w:hyperlink r:id="rId24" w:history="1">
              <w:r w:rsidR="00CC21A2" w:rsidRPr="0014056F">
                <w:t>71/228</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Sauvegarde du climat mondial pour les générations présentes et futures</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25" w:history="1">
              <w:r w:rsidR="00CC21A2" w:rsidRPr="0014056F">
                <w:t>71/233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Garantir l’accès de tous à des services énergétiques fiab</w:t>
            </w:r>
            <w:r w:rsidR="008719EC">
              <w:t>les, durables et modernes, à un </w:t>
            </w:r>
            <w:r w:rsidRPr="0014056F">
              <w:t>coût abordable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26" w:history="1">
              <w:r w:rsidR="00CC21A2" w:rsidRPr="0014056F">
                <w:t>71/243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Examen quadriennal complet des activités opérationnelles </w:t>
            </w:r>
            <w:r w:rsidR="00BC536C">
              <w:t>de développement du système des </w:t>
            </w:r>
            <w:r w:rsidRPr="0014056F">
              <w:t>Nations Unies</w:t>
            </w:r>
          </w:p>
        </w:tc>
      </w:tr>
      <w:tr w:rsidR="00CC21A2" w:rsidRPr="0014056F" w:rsidTr="000A06B6">
        <w:tc>
          <w:tcPr>
            <w:tcW w:w="1418" w:type="dxa"/>
            <w:shd w:val="clear" w:color="auto" w:fill="auto"/>
          </w:tcPr>
          <w:p w:rsidR="00CC21A2" w:rsidRPr="0014056F" w:rsidRDefault="00C9231E" w:rsidP="000A06B6">
            <w:pPr>
              <w:spacing w:before="40" w:after="80"/>
            </w:pPr>
            <w:hyperlink r:id="rId27" w:history="1">
              <w:r w:rsidR="00CC21A2" w:rsidRPr="0014056F">
                <w:t>71/244</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Coopération Sud-Sud </w:t>
            </w:r>
          </w:p>
        </w:tc>
      </w:tr>
      <w:tr w:rsidR="00CC21A2" w:rsidRPr="0014056F" w:rsidTr="000A06B6">
        <w:tc>
          <w:tcPr>
            <w:tcW w:w="1418" w:type="dxa"/>
            <w:shd w:val="clear" w:color="auto" w:fill="auto"/>
          </w:tcPr>
          <w:p w:rsidR="00CC21A2" w:rsidRPr="0014056F" w:rsidRDefault="00C9231E" w:rsidP="000A06B6">
            <w:pPr>
              <w:spacing w:before="40" w:after="80"/>
            </w:pPr>
            <w:hyperlink r:id="rId28" w:history="1">
              <w:r w:rsidR="00CC21A2" w:rsidRPr="0014056F">
                <w:t>71/283</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Progrès accomplis dans l’élaboration d’un système d’application du principe de responsabilité pour le Secrétariat de l’Organisation des Nations Unies</w:t>
            </w:r>
          </w:p>
        </w:tc>
      </w:tr>
      <w:tr w:rsidR="00CC21A2" w:rsidRPr="0014056F" w:rsidTr="000A06B6">
        <w:tc>
          <w:tcPr>
            <w:tcW w:w="8504" w:type="dxa"/>
            <w:gridSpan w:val="2"/>
            <w:shd w:val="clear" w:color="auto" w:fill="auto"/>
          </w:tcPr>
          <w:p w:rsidR="00CC21A2" w:rsidRPr="0014056F" w:rsidRDefault="00CC21A2" w:rsidP="000A06B6">
            <w:pPr>
              <w:tabs>
                <w:tab w:val="left" w:pos="288"/>
                <w:tab w:val="left" w:pos="576"/>
                <w:tab w:val="left" w:pos="864"/>
                <w:tab w:val="left" w:pos="1152"/>
              </w:tabs>
              <w:spacing w:before="40" w:after="80"/>
              <w:rPr>
                <w:i/>
                <w:spacing w:val="4"/>
                <w:w w:val="103"/>
                <w:kern w:val="14"/>
              </w:rPr>
            </w:pPr>
            <w:r w:rsidRPr="0014056F">
              <w:rPr>
                <w:i/>
                <w:iCs/>
              </w:rPr>
              <w:t>Résolutions du Conseil économique et social</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29" w:history="1">
              <w:r w:rsidR="00CC21A2" w:rsidRPr="0014056F">
                <w:t>2006/38</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Plan de travail pour la réforme de la Commission économique pour l’Europe et mandat révisé de la Commission</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30" w:history="1">
              <w:r w:rsidR="00CC21A2" w:rsidRPr="0014056F">
                <w:t>2013/1</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Résultat de l’examen de la réforme de 2005 de la Commission économique pour l’Europe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31" w:history="1">
              <w:r w:rsidR="00CC21A2" w:rsidRPr="0014056F">
                <w:t>2016/2</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proofErr w:type="spellStart"/>
            <w:r w:rsidRPr="0014056F">
              <w:t>Transversalisation</w:t>
            </w:r>
            <w:proofErr w:type="spellEnd"/>
            <w:r w:rsidRPr="0014056F">
              <w:t xml:space="preserve"> de la problématique hommes-femmes dans l’ensemble des politiques et programmes du système des Nations Unies</w:t>
            </w:r>
          </w:p>
        </w:tc>
      </w:tr>
      <w:tr w:rsidR="00CC21A2" w:rsidRPr="0014056F" w:rsidTr="000A06B6">
        <w:tc>
          <w:tcPr>
            <w:tcW w:w="8504" w:type="dxa"/>
            <w:gridSpan w:val="2"/>
            <w:shd w:val="clear" w:color="auto" w:fill="auto"/>
          </w:tcPr>
          <w:p w:rsidR="00CC21A2" w:rsidRPr="0014056F" w:rsidRDefault="00CC21A2" w:rsidP="000A06B6">
            <w:pPr>
              <w:tabs>
                <w:tab w:val="left" w:pos="288"/>
                <w:tab w:val="left" w:pos="576"/>
                <w:tab w:val="left" w:pos="864"/>
                <w:tab w:val="left" w:pos="1152"/>
              </w:tabs>
              <w:spacing w:before="40" w:after="80"/>
              <w:rPr>
                <w:i/>
                <w:spacing w:val="4"/>
                <w:w w:val="103"/>
                <w:kern w:val="14"/>
              </w:rPr>
            </w:pPr>
            <w:r w:rsidRPr="0014056F">
              <w:rPr>
                <w:i/>
                <w:iCs/>
              </w:rPr>
              <w:t>Décisions de la Commission économique pour l’Europe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32" w:history="1">
              <w:r w:rsidR="00CC21A2" w:rsidRPr="0014056F">
                <w:t>A (64)</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Les travaux de la Commission économique pour l’Europe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33" w:history="1">
              <w:r w:rsidR="00CC21A2" w:rsidRPr="0014056F">
                <w:t>A (65)</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Résultat de l’examen de la réforme de 2005 de la CEE</w:t>
            </w:r>
          </w:p>
        </w:tc>
      </w:tr>
      <w:tr w:rsidR="00CC21A2" w:rsidRPr="0014056F" w:rsidTr="000A06B6">
        <w:tc>
          <w:tcPr>
            <w:tcW w:w="1418" w:type="dxa"/>
            <w:shd w:val="clear" w:color="auto" w:fill="auto"/>
          </w:tcPr>
          <w:p w:rsidR="00CC21A2" w:rsidRPr="0014056F" w:rsidRDefault="00C9231E" w:rsidP="000A06B6">
            <w:pPr>
              <w:tabs>
                <w:tab w:val="left" w:pos="288"/>
                <w:tab w:val="left" w:pos="576"/>
                <w:tab w:val="left" w:pos="864"/>
                <w:tab w:val="left" w:pos="1152"/>
              </w:tabs>
              <w:spacing w:before="40" w:after="80"/>
              <w:rPr>
                <w:spacing w:val="4"/>
                <w:w w:val="103"/>
                <w:kern w:val="14"/>
              </w:rPr>
            </w:pPr>
            <w:hyperlink r:id="rId34" w:history="1">
              <w:r w:rsidR="00CC21A2" w:rsidRPr="0014056F">
                <w:t>A (66)</w:t>
              </w:r>
            </w:hyperlink>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Adoption de la déclaration de haut niveau sur le programme de développement pour l’après</w:t>
            </w:r>
            <w:r w:rsidR="00BC536C">
              <w:noBreakHyphen/>
            </w:r>
            <w:r w:rsidRPr="0014056F">
              <w:t>2015 et les objectifs de développement durable</w:t>
            </w:r>
            <w:r w:rsidR="00BC536C">
              <w:t xml:space="preserve"> envisagés dans la région de la </w:t>
            </w:r>
            <w:r w:rsidRPr="0014056F">
              <w:t>Commission économique pour l’Europe</w:t>
            </w:r>
          </w:p>
        </w:tc>
      </w:tr>
      <w:tr w:rsidR="00CC21A2" w:rsidRPr="0014056F" w:rsidTr="000A06B6">
        <w:tc>
          <w:tcPr>
            <w:tcW w:w="1418"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A (67)</w:t>
            </w:r>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Adoption de la Déclaration de haut niveau</w:t>
            </w:r>
          </w:p>
        </w:tc>
      </w:tr>
      <w:tr w:rsidR="00CC21A2" w:rsidRPr="0014056F" w:rsidTr="000A06B6">
        <w:tc>
          <w:tcPr>
            <w:tcW w:w="1418"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 xml:space="preserve">B (67) </w:t>
            </w:r>
          </w:p>
        </w:tc>
        <w:tc>
          <w:tcPr>
            <w:tcW w:w="7086" w:type="dxa"/>
            <w:shd w:val="clear" w:color="auto" w:fill="auto"/>
          </w:tcPr>
          <w:p w:rsidR="00CC21A2" w:rsidRPr="0014056F" w:rsidRDefault="00CC21A2" w:rsidP="000A06B6">
            <w:pPr>
              <w:tabs>
                <w:tab w:val="left" w:pos="288"/>
                <w:tab w:val="left" w:pos="576"/>
                <w:tab w:val="left" w:pos="864"/>
                <w:tab w:val="left" w:pos="1152"/>
              </w:tabs>
              <w:spacing w:before="40" w:after="80"/>
              <w:rPr>
                <w:spacing w:val="4"/>
                <w:w w:val="103"/>
                <w:kern w:val="14"/>
              </w:rPr>
            </w:pPr>
            <w:r w:rsidRPr="0014056F">
              <w:t>Création du Forum régional pour le développement durable</w:t>
            </w:r>
          </w:p>
        </w:tc>
      </w:tr>
    </w:tbl>
    <w:p w:rsidR="00CC21A2" w:rsidRPr="00C0055E" w:rsidRDefault="00CC21A2" w:rsidP="00447FFD">
      <w:pPr>
        <w:pStyle w:val="H1G"/>
      </w:pPr>
      <w:r w:rsidRPr="00C0055E">
        <w:tab/>
        <w:t>B.</w:t>
      </w:r>
      <w:r w:rsidRPr="00C0055E">
        <w:tab/>
        <w:t>Textes portant autorisation du sous-programme</w:t>
      </w:r>
    </w:p>
    <w:p w:rsidR="00CC21A2" w:rsidRPr="00C0055E" w:rsidRDefault="00CC21A2" w:rsidP="00447FFD">
      <w:pPr>
        <w:pStyle w:val="H23G"/>
        <w:rPr>
          <w:w w:val="103"/>
        </w:rPr>
      </w:pPr>
      <w:r w:rsidRPr="00C0055E">
        <w:tab/>
      </w:r>
      <w:r w:rsidRPr="00C0055E">
        <w:tab/>
        <w:t>Sous-programme 2 − Transports</w:t>
      </w:r>
    </w:p>
    <w:tbl>
      <w:tblPr>
        <w:tblW w:w="8504" w:type="dxa"/>
        <w:tblInd w:w="1134" w:type="dxa"/>
        <w:tblLayout w:type="fixed"/>
        <w:tblCellMar>
          <w:left w:w="0" w:type="dxa"/>
          <w:right w:w="0" w:type="dxa"/>
        </w:tblCellMar>
        <w:tblLook w:val="04A0" w:firstRow="1" w:lastRow="0" w:firstColumn="1" w:lastColumn="0" w:noHBand="0" w:noVBand="1"/>
      </w:tblPr>
      <w:tblGrid>
        <w:gridCol w:w="1843"/>
        <w:gridCol w:w="6661"/>
      </w:tblGrid>
      <w:tr w:rsidR="00CC21A2" w:rsidRPr="00FB0CEF" w:rsidTr="006D43E5">
        <w:tc>
          <w:tcPr>
            <w:tcW w:w="8504" w:type="dxa"/>
            <w:gridSpan w:val="2"/>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rPr>
                <w:i/>
                <w:iCs/>
              </w:rPr>
              <w:t>Résolutions de l’Assemblée générale</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35" w:history="1">
              <w:r w:rsidR="00CC21A2" w:rsidRPr="00FB0CEF">
                <w:t>58/9</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Crise mondiale de la sécurité routière</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36" w:history="1">
              <w:r w:rsidR="00CC21A2" w:rsidRPr="00FB0CEF">
                <w:t>68/269</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Amélioration de la sécurité routière mondiale</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37" w:history="1">
              <w:r w:rsidR="00CC21A2" w:rsidRPr="00FB0CEF">
                <w:t>69/137</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Programme d’action en faveur des pays en développement sans littoral pour la décennie 2014-2024</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38" w:history="1">
              <w:r w:rsidR="00CC21A2" w:rsidRPr="00FB0CEF">
                <w:t>69/213</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 xml:space="preserve">Le rôle des couloirs de transport et de transit en matière de coopération internationale et de développement durable </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39" w:history="1">
              <w:r w:rsidR="00CC21A2" w:rsidRPr="00FB0CEF">
                <w:t>70/197</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Vers une coopération de tous les acteurs du secteur des transports pour la promotion de couloirs de transit multimodal durables</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0" w:history="1">
              <w:r w:rsidR="00CC21A2" w:rsidRPr="00FB0CEF">
                <w:t>70/217</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Suivi de la deuxième Conférence des Nations Unies sur les pays en dévelo</w:t>
            </w:r>
            <w:r w:rsidR="008719EC">
              <w:t>ppement sans </w:t>
            </w:r>
            <w:r w:rsidRPr="00FB0CEF">
              <w:t>littoral</w:t>
            </w:r>
          </w:p>
        </w:tc>
      </w:tr>
      <w:tr w:rsidR="00CC21A2" w:rsidRPr="00FB0CEF" w:rsidTr="006D43E5">
        <w:tc>
          <w:tcPr>
            <w:tcW w:w="1843"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rPr>
                <w:i/>
              </w:rPr>
            </w:pPr>
            <w:r w:rsidRPr="00FB0CEF">
              <w:rPr>
                <w:i/>
              </w:rPr>
              <w:t>A/C.2/72/L.2</w:t>
            </w:r>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w:t>
            </w:r>
            <w:r w:rsidRPr="00FB0CEF">
              <w:rPr>
                <w:i/>
              </w:rPr>
              <w:t>Projet</w:t>
            </w:r>
            <w:r w:rsidRPr="00FB0CEF">
              <w:t>] Renforcer les liens entre tous les modes de transport pour atteindre les objectifs de développement durable [8,9,10]</w:t>
            </w:r>
          </w:p>
        </w:tc>
      </w:tr>
      <w:tr w:rsidR="00CC21A2" w:rsidRPr="00FB0CEF" w:rsidTr="006D43E5">
        <w:tc>
          <w:tcPr>
            <w:tcW w:w="8504" w:type="dxa"/>
            <w:gridSpan w:val="2"/>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rPr>
                <w:i/>
              </w:rPr>
            </w:pPr>
            <w:r w:rsidRPr="00FB0CEF">
              <w:rPr>
                <w:i/>
                <w:iCs/>
              </w:rPr>
              <w:t>Résolutions du Conseil économique et social</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1" w:history="1">
              <w:r w:rsidR="00CC21A2" w:rsidRPr="00FB0CEF">
                <w:t>1999/65</w:t>
              </w:r>
            </w:hyperlink>
          </w:p>
        </w:tc>
        <w:tc>
          <w:tcPr>
            <w:tcW w:w="6661" w:type="dxa"/>
            <w:shd w:val="clear" w:color="auto" w:fill="auto"/>
          </w:tcPr>
          <w:p w:rsidR="00CC21A2" w:rsidRPr="00FB0CEF" w:rsidRDefault="00CC21A2" w:rsidP="006D43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Transformation du Comité d’experts en matière de transport des marchandises dangereuses en Comité d’experts du transport des marchandises dangereuses et du système harmonisé à l’échelle mondiale de</w:t>
            </w:r>
            <w:r w:rsidR="006D43E5">
              <w:t> </w:t>
            </w:r>
            <w:r w:rsidRPr="00FB0CEF">
              <w:t>classement et d’étiquetage des produits chimiques</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2" w:history="1">
              <w:r w:rsidR="00CC21A2" w:rsidRPr="00FB0CEF">
                <w:t>2013/7</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Liaison fixe Europe-Afrique à travers le détroit de Gibraltar</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3" w:history="1">
              <w:r w:rsidR="00CC21A2" w:rsidRPr="00FB0CEF">
                <w:t>2015/7</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Travaux du Comité d’experts du transport des marchandises dangereuses et du Système général harmonisé de classification et d’étiquetage des produits chimiques</w:t>
            </w:r>
          </w:p>
        </w:tc>
      </w:tr>
      <w:tr w:rsidR="00CC21A2" w:rsidRPr="00FB0CEF" w:rsidTr="006D43E5">
        <w:tc>
          <w:tcPr>
            <w:tcW w:w="8504" w:type="dxa"/>
            <w:gridSpan w:val="2"/>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rPr>
                <w:i/>
              </w:rPr>
            </w:pPr>
            <w:r w:rsidRPr="00FB0CEF">
              <w:rPr>
                <w:i/>
                <w:iCs/>
              </w:rPr>
              <w:t>Décisions de la Commission économique pour l’Europe</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4" w:history="1">
              <w:r w:rsidR="009E6FC2">
                <w:t>ECE/AC.21/</w:t>
              </w:r>
              <w:r w:rsidR="00CC21A2" w:rsidRPr="00FB0CEF">
                <w:t>2014/2</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de la réunion de haut niveau sur les transports, la santé et l’environnement sur sa quatrième session</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5" w:history="1">
              <w:r w:rsidR="00CC21A2" w:rsidRPr="00FB0CEF">
                <w:t>ECE/TRANS/224</w:t>
              </w:r>
            </w:hyperlink>
          </w:p>
        </w:tc>
        <w:tc>
          <w:tcPr>
            <w:tcW w:w="6661" w:type="dxa"/>
            <w:shd w:val="clear" w:color="auto" w:fill="auto"/>
          </w:tcPr>
          <w:p w:rsidR="00CC21A2" w:rsidRPr="00FB0CEF" w:rsidRDefault="00CC21A2" w:rsidP="00A06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du Comité des transports intérieurs sur sa soixante-quatorzième session (</w:t>
            </w:r>
            <w:r w:rsidR="00A069A4">
              <w:t>« </w:t>
            </w:r>
            <w:r w:rsidRPr="00FB0CEF">
              <w:t xml:space="preserve">Feuille de route de la CEE pour la promotion des systèmes de transport intelligents (STI) </w:t>
            </w:r>
            <w:r w:rsidR="00A069A4">
              <w:t>−</w:t>
            </w:r>
            <w:r w:rsidRPr="00FB0CEF">
              <w:t xml:space="preserve"> 20 mesures à prendre au niveau mondial sur la période 2012-2020</w:t>
            </w:r>
            <w:r w:rsidR="00A069A4">
              <w:t> »</w:t>
            </w:r>
            <w:r w:rsidRPr="00FB0CEF">
              <w:t>)</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6" w:history="1">
              <w:r w:rsidR="00CC21A2" w:rsidRPr="00FB0CEF">
                <w:t>ECE/TRANS/270</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du Comité des transports intérieurs sur sa soixante-dix-neuvième session (résolution ministérielle «</w:t>
            </w:r>
            <w:r w:rsidR="00A069A4">
              <w:t> </w:t>
            </w:r>
            <w:r w:rsidRPr="00FB0CEF">
              <w:t>Embrasser l’ère nouvelle de la viabilité des transports intérieurs et de la mobilité</w:t>
            </w:r>
            <w:r w:rsidR="00A069A4">
              <w:t> </w:t>
            </w:r>
            <w:r w:rsidRPr="00FB0CEF">
              <w:t xml:space="preserve">») </w:t>
            </w:r>
          </w:p>
        </w:tc>
      </w:tr>
      <w:tr w:rsidR="00CC21A2" w:rsidRPr="00FB0CEF" w:rsidTr="006D43E5">
        <w:tc>
          <w:tcPr>
            <w:tcW w:w="1843"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ECE/TRANS/254</w:t>
            </w:r>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du Comité des transports intérieurs sur sa soixante-dix-huitième session</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7" w:history="1">
              <w:r w:rsidR="00CC21A2" w:rsidRPr="00FB0CEF">
                <w:t>ECE/TRANS/248.</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du Comité des transports intérieurs sur sa soixante-dix-septième session</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8" w:history="1">
              <w:r w:rsidR="00CC21A2" w:rsidRPr="00FB0CEF">
                <w:t>ECE/TRANS/236</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Rapport du Comité des transports intérieurs sur sa soixante-quinzième session (Déclaration commune sur la promotion du transport ferroviaire entre l’Europe et l’Asie et des activités menées à cette fin</w:t>
            </w:r>
            <w:r w:rsidR="00F3730F" w:rsidRPr="00FB0CEF">
              <w:t> ;</w:t>
            </w:r>
            <w:r w:rsidRPr="00FB0CEF">
              <w:t xml:space="preserve"> Déclaration commune sur le développement futur de liaisons de transport Europe-Asie) </w:t>
            </w:r>
          </w:p>
        </w:tc>
      </w:tr>
      <w:tr w:rsidR="00CC21A2" w:rsidRPr="00FB0CEF" w:rsidTr="006D43E5">
        <w:tc>
          <w:tcPr>
            <w:tcW w:w="1843" w:type="dxa"/>
            <w:shd w:val="clear" w:color="auto" w:fill="auto"/>
          </w:tcPr>
          <w:p w:rsidR="00CC21A2" w:rsidRPr="00FB0CEF" w:rsidRDefault="00C9231E" w:rsidP="00FB0C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49" w:history="1">
              <w:r w:rsidR="00CC21A2" w:rsidRPr="00FB0CEF">
                <w:t>B (66)</w:t>
              </w:r>
            </w:hyperlink>
          </w:p>
        </w:tc>
        <w:tc>
          <w:tcPr>
            <w:tcW w:w="6661" w:type="dxa"/>
            <w:shd w:val="clear" w:color="auto" w:fill="auto"/>
          </w:tcPr>
          <w:p w:rsidR="00CC21A2" w:rsidRPr="00FB0CEF" w:rsidRDefault="00CC21A2" w:rsidP="00FB0C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Approbation de la Charte de Genève sur le logement durable</w:t>
            </w:r>
          </w:p>
        </w:tc>
      </w:tr>
      <w:tr w:rsidR="00CC21A2" w:rsidRPr="00FB0CEF" w:rsidTr="006D43E5">
        <w:tc>
          <w:tcPr>
            <w:tcW w:w="8504" w:type="dxa"/>
            <w:gridSpan w:val="2"/>
            <w:shd w:val="clear" w:color="auto" w:fill="auto"/>
          </w:tcPr>
          <w:p w:rsidR="00CC21A2" w:rsidRPr="00FB0CEF" w:rsidRDefault="00CC21A2" w:rsidP="006D43E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rPr>
                <w:i/>
                <w:iCs/>
              </w:rPr>
              <w:t>Décisions des organes créés en vertu d’accords des Nations Unies relatifs aux transports</w:t>
            </w:r>
          </w:p>
        </w:tc>
      </w:tr>
      <w:tr w:rsidR="00CC21A2" w:rsidRPr="00FB0CEF" w:rsidTr="006D43E5">
        <w:tc>
          <w:tcPr>
            <w:tcW w:w="1843" w:type="dxa"/>
            <w:shd w:val="clear" w:color="auto" w:fill="auto"/>
          </w:tcPr>
          <w:p w:rsidR="00CC21A2" w:rsidRPr="00FB0CEF" w:rsidRDefault="00C9231E" w:rsidP="006D43E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50" w:history="1">
              <w:r w:rsidR="00CC21A2" w:rsidRPr="00FB0CEF">
                <w:t>E/ECE/TRANS/505/</w:t>
              </w:r>
              <w:r w:rsidR="006D43E5">
                <w:t xml:space="preserve"> </w:t>
              </w:r>
              <w:r w:rsidR="00CC21A2" w:rsidRPr="00FB0CEF">
                <w:t>Rev.3</w:t>
              </w:r>
            </w:hyperlink>
          </w:p>
        </w:tc>
        <w:tc>
          <w:tcPr>
            <w:tcW w:w="6661" w:type="dxa"/>
            <w:shd w:val="clear" w:color="auto" w:fill="auto"/>
          </w:tcPr>
          <w:p w:rsidR="00CC21A2" w:rsidRPr="00FB0CEF" w:rsidRDefault="00CC21A2" w:rsidP="006D43E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(1958)</w:t>
            </w:r>
          </w:p>
        </w:tc>
      </w:tr>
      <w:tr w:rsidR="00CC21A2" w:rsidRPr="00FB0CEF" w:rsidTr="006D43E5">
        <w:trPr>
          <w:cantSplit/>
        </w:trPr>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51" w:history="1">
              <w:r w:rsidR="00CC21A2" w:rsidRPr="00FB0CEF">
                <w:t>ECE/RCTE/CONF/4</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 xml:space="preserve">Accord concernant l’adoption de conditions uniformes applicables au contrôle technique périodique des véhicules à roues et la reconnaissance réciproque des contrôles (1997) </w:t>
            </w:r>
          </w:p>
        </w:tc>
      </w:tr>
      <w:tr w:rsidR="00CC21A2" w:rsidRPr="00FB0CEF" w:rsidTr="006D43E5">
        <w:tc>
          <w:tcPr>
            <w:tcW w:w="1843" w:type="dxa"/>
            <w:shd w:val="clear" w:color="auto" w:fill="auto"/>
          </w:tcPr>
          <w:p w:rsidR="00CC21A2" w:rsidRPr="00FB0CEF" w:rsidRDefault="00C9231E"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52" w:history="1">
              <w:r w:rsidR="00CC21A2" w:rsidRPr="00FB0CEF">
                <w:t>ECE/TRANS/132</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Accord concernant l’établissement de règlements techniques mondiaux applicables aux véhicules à roues, ainsi qu’aux équipements et pièces qui peuvent être montés et/ou utilisés sur les véhicules à roues (1998)</w:t>
            </w:r>
          </w:p>
        </w:tc>
      </w:tr>
      <w:tr w:rsidR="00CC21A2" w:rsidRPr="00FB0CEF" w:rsidTr="006D43E5">
        <w:tc>
          <w:tcPr>
            <w:tcW w:w="1843" w:type="dxa"/>
            <w:shd w:val="clear" w:color="auto" w:fill="auto"/>
          </w:tcPr>
          <w:p w:rsidR="00CC21A2" w:rsidRPr="00FB0CEF" w:rsidRDefault="00C9231E" w:rsidP="008A6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53" w:history="1">
              <w:r w:rsidR="00CC21A2" w:rsidRPr="00FB0CEF">
                <w:t>ECE/TRANS/ADN/</w:t>
              </w:r>
              <w:r w:rsidR="00A069A4">
                <w:t xml:space="preserve"> </w:t>
              </w:r>
              <w:r w:rsidR="00CC21A2" w:rsidRPr="00FB0CEF">
                <w:t>CONF.10</w:t>
              </w:r>
              <w:r w:rsidR="008A69B1">
                <w:t>/</w:t>
              </w:r>
              <w:r w:rsidR="00CC21A2" w:rsidRPr="00FB0CEF">
                <w:t>Add.1</w:t>
              </w:r>
            </w:hyperlink>
            <w:r w:rsidR="008A69B1">
              <w:t xml:space="preserve"> et Corr.1</w:t>
            </w:r>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 xml:space="preserve">Accord européen relatif au transport international de marchandises dangereuses par voies de navigation intérieures </w:t>
            </w:r>
          </w:p>
        </w:tc>
      </w:tr>
      <w:tr w:rsidR="00CC21A2" w:rsidRPr="00FB0CEF" w:rsidTr="006D43E5">
        <w:tc>
          <w:tcPr>
            <w:tcW w:w="1843" w:type="dxa"/>
            <w:shd w:val="clear" w:color="auto" w:fill="auto"/>
          </w:tcPr>
          <w:p w:rsidR="00CC21A2" w:rsidRPr="00FB0CEF" w:rsidRDefault="00C9231E" w:rsidP="006D43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hyperlink r:id="rId54" w:history="1">
              <w:r w:rsidR="00CC21A2" w:rsidRPr="00FB0CEF">
                <w:t>ECE/TRANS/WP.30/</w:t>
              </w:r>
              <w:r w:rsidR="006D43E5">
                <w:t xml:space="preserve"> </w:t>
              </w:r>
              <w:r w:rsidR="00CC21A2" w:rsidRPr="00FB0CEF">
                <w:t>AC.2/125</w:t>
              </w:r>
            </w:hyperlink>
          </w:p>
        </w:tc>
        <w:tc>
          <w:tcPr>
            <w:tcW w:w="6661" w:type="dxa"/>
            <w:shd w:val="clear" w:color="auto" w:fill="auto"/>
          </w:tcPr>
          <w:p w:rsidR="00CC21A2" w:rsidRPr="00FB0CEF" w:rsidRDefault="00CC21A2" w:rsidP="00FB0C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atLeast"/>
              <w:ind w:left="0" w:right="0"/>
              <w:jc w:val="left"/>
            </w:pPr>
            <w:r w:rsidRPr="00FB0CEF">
              <w:t xml:space="preserve">Rapport du Comité de gestion de la Convention TIR de 1975 sur sa soixante et unième session (annexe II </w:t>
            </w:r>
            <w:r w:rsidR="00FB0CEF">
              <w:t>« </w:t>
            </w:r>
            <w:r w:rsidRPr="00FB0CEF">
              <w:t>Déclaration commune sur l’informatisation du régime TIR</w:t>
            </w:r>
            <w:r w:rsidR="00FB0CEF">
              <w:t> »</w:t>
            </w:r>
            <w:r w:rsidRPr="00FB0CEF">
              <w:t>)</w:t>
            </w:r>
          </w:p>
        </w:tc>
      </w:tr>
    </w:tbl>
    <w:p w:rsidR="00F9573C" w:rsidRPr="00CC21A2" w:rsidRDefault="00CC21A2" w:rsidP="00CC21A2">
      <w:pPr>
        <w:pStyle w:val="SingleTxtG"/>
        <w:spacing w:before="240" w:after="0"/>
        <w:jc w:val="center"/>
        <w:rPr>
          <w:u w:val="single"/>
        </w:rPr>
      </w:pPr>
      <w:r>
        <w:rPr>
          <w:u w:val="single"/>
        </w:rPr>
        <w:tab/>
      </w:r>
      <w:r>
        <w:rPr>
          <w:u w:val="single"/>
        </w:rPr>
        <w:tab/>
      </w:r>
      <w:r>
        <w:rPr>
          <w:u w:val="single"/>
        </w:rPr>
        <w:tab/>
      </w:r>
    </w:p>
    <w:sectPr w:rsidR="00F9573C" w:rsidRPr="00CC21A2" w:rsidSect="00937ABC">
      <w:headerReference w:type="even" r:id="rId55"/>
      <w:headerReference w:type="default" r:id="rId56"/>
      <w:footerReference w:type="even" r:id="rId57"/>
      <w:footerReference w:type="default" r:id="rId58"/>
      <w:footerReference w:type="first" r:id="rId5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23" w:rsidRDefault="00A71323" w:rsidP="00F95C08">
      <w:pPr>
        <w:spacing w:line="240" w:lineRule="auto"/>
      </w:pPr>
    </w:p>
  </w:endnote>
  <w:endnote w:type="continuationSeparator" w:id="0">
    <w:p w:rsidR="00A71323" w:rsidRPr="00AC3823" w:rsidRDefault="00A71323" w:rsidP="00AC3823">
      <w:pPr>
        <w:pStyle w:val="Footer"/>
      </w:pPr>
    </w:p>
  </w:endnote>
  <w:endnote w:type="continuationNotice" w:id="1">
    <w:p w:rsidR="00A71323" w:rsidRDefault="00A713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BC" w:rsidRPr="00937ABC" w:rsidRDefault="00937ABC" w:rsidP="00937ABC">
    <w:pPr>
      <w:pStyle w:val="Footer"/>
      <w:tabs>
        <w:tab w:val="right" w:pos="9638"/>
      </w:tabs>
    </w:pPr>
    <w:r w:rsidRPr="00937ABC">
      <w:rPr>
        <w:b/>
        <w:sz w:val="18"/>
      </w:rPr>
      <w:fldChar w:fldCharType="begin"/>
    </w:r>
    <w:r w:rsidRPr="00937ABC">
      <w:rPr>
        <w:b/>
        <w:sz w:val="18"/>
      </w:rPr>
      <w:instrText xml:space="preserve"> PAGE  \* MERGEFORMAT </w:instrText>
    </w:r>
    <w:r w:rsidRPr="00937ABC">
      <w:rPr>
        <w:b/>
        <w:sz w:val="18"/>
      </w:rPr>
      <w:fldChar w:fldCharType="separate"/>
    </w:r>
    <w:r w:rsidR="00C9231E">
      <w:rPr>
        <w:b/>
        <w:noProof/>
        <w:sz w:val="18"/>
      </w:rPr>
      <w:t>4</w:t>
    </w:r>
    <w:r w:rsidRPr="00937ABC">
      <w:rPr>
        <w:b/>
        <w:sz w:val="18"/>
      </w:rPr>
      <w:fldChar w:fldCharType="end"/>
    </w:r>
    <w:r>
      <w:rPr>
        <w:b/>
        <w:sz w:val="18"/>
      </w:rPr>
      <w:tab/>
    </w:r>
    <w:r>
      <w:t>GE.17-22051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BC" w:rsidRPr="00937ABC" w:rsidRDefault="00937ABC" w:rsidP="00937ABC">
    <w:pPr>
      <w:pStyle w:val="Footer"/>
      <w:tabs>
        <w:tab w:val="right" w:pos="9638"/>
      </w:tabs>
      <w:rPr>
        <w:b/>
        <w:sz w:val="18"/>
      </w:rPr>
    </w:pPr>
    <w:r>
      <w:t>GE.17-22051</w:t>
    </w:r>
    <w:r>
      <w:tab/>
    </w:r>
    <w:r w:rsidRPr="00937ABC">
      <w:rPr>
        <w:b/>
        <w:sz w:val="18"/>
      </w:rPr>
      <w:fldChar w:fldCharType="begin"/>
    </w:r>
    <w:r w:rsidRPr="00937ABC">
      <w:rPr>
        <w:b/>
        <w:sz w:val="18"/>
      </w:rPr>
      <w:instrText xml:space="preserve"> PAGE  \* MERGEFORMAT </w:instrText>
    </w:r>
    <w:r w:rsidRPr="00937ABC">
      <w:rPr>
        <w:b/>
        <w:sz w:val="18"/>
      </w:rPr>
      <w:fldChar w:fldCharType="separate"/>
    </w:r>
    <w:r w:rsidR="00C9231E">
      <w:rPr>
        <w:b/>
        <w:noProof/>
        <w:sz w:val="18"/>
      </w:rPr>
      <w:t>5</w:t>
    </w:r>
    <w:r w:rsidRPr="00937A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937ABC" w:rsidRDefault="00937ABC" w:rsidP="00937ABC">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17-22051</w:t>
    </w:r>
    <w:r w:rsidR="00F3730F">
      <w:rPr>
        <w:sz w:val="20"/>
      </w:rPr>
      <w:t xml:space="preserve"> </w:t>
    </w:r>
    <w:r w:rsidR="00EF014E">
      <w:rPr>
        <w:sz w:val="20"/>
      </w:rPr>
      <w:t xml:space="preserve"> </w:t>
    </w:r>
    <w:r>
      <w:rPr>
        <w:sz w:val="20"/>
      </w:rPr>
      <w:t>(F)</w:t>
    </w:r>
    <w:r w:rsidR="00EF014E">
      <w:rPr>
        <w:sz w:val="20"/>
      </w:rPr>
      <w:t xml:space="preserve">    151217    151217</w:t>
    </w:r>
    <w:r>
      <w:rPr>
        <w:sz w:val="20"/>
      </w:rPr>
      <w:br/>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sidRPr="00937ABC">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23" w:rsidRPr="00AC3823" w:rsidRDefault="00A71323" w:rsidP="00AC3823">
      <w:pPr>
        <w:pStyle w:val="Footer"/>
        <w:tabs>
          <w:tab w:val="right" w:pos="2155"/>
        </w:tabs>
        <w:spacing w:after="80" w:line="240" w:lineRule="atLeast"/>
        <w:ind w:left="680"/>
        <w:rPr>
          <w:u w:val="single"/>
        </w:rPr>
      </w:pPr>
      <w:r>
        <w:rPr>
          <w:u w:val="single"/>
        </w:rPr>
        <w:tab/>
      </w:r>
    </w:p>
  </w:footnote>
  <w:footnote w:type="continuationSeparator" w:id="0">
    <w:p w:rsidR="00A71323" w:rsidRPr="00AC3823" w:rsidRDefault="00A71323" w:rsidP="00AC3823">
      <w:pPr>
        <w:pStyle w:val="Footer"/>
        <w:tabs>
          <w:tab w:val="right" w:pos="2155"/>
        </w:tabs>
        <w:spacing w:after="80" w:line="240" w:lineRule="atLeast"/>
        <w:ind w:left="680"/>
        <w:rPr>
          <w:u w:val="single"/>
        </w:rPr>
      </w:pPr>
      <w:r>
        <w:rPr>
          <w:u w:val="single"/>
        </w:rPr>
        <w:tab/>
      </w:r>
    </w:p>
  </w:footnote>
  <w:footnote w:type="continuationNotice" w:id="1">
    <w:p w:rsidR="00A71323" w:rsidRPr="00AC3823" w:rsidRDefault="00A71323">
      <w:pPr>
        <w:spacing w:line="240" w:lineRule="auto"/>
        <w:rPr>
          <w:sz w:val="2"/>
          <w:szCs w:val="2"/>
        </w:rPr>
      </w:pPr>
    </w:p>
  </w:footnote>
  <w:footnote w:id="2">
    <w:p w:rsidR="00CC21A2" w:rsidRPr="00447FFD" w:rsidRDefault="00CC21A2" w:rsidP="00CC21A2">
      <w:pPr>
        <w:pStyle w:val="FootnoteText"/>
      </w:pPr>
      <w:r w:rsidRPr="00447FFD">
        <w:tab/>
      </w:r>
      <w:r w:rsidRPr="00447FFD">
        <w:rPr>
          <w:rStyle w:val="FootnoteReference"/>
        </w:rPr>
        <w:footnoteRef/>
      </w:r>
      <w:r w:rsidRPr="00447FFD">
        <w:tab/>
        <w:t>Au 20 juin 2017. La liste sera</w:t>
      </w:r>
      <w:r w:rsidR="00F3730F" w:rsidRPr="00447FFD">
        <w:t xml:space="preserve"> </w:t>
      </w:r>
      <w:r w:rsidRPr="00447FFD">
        <w:t>mise à jour par le Groupe de la gestion des projets.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BC" w:rsidRPr="00937ABC" w:rsidRDefault="00C9231E">
    <w:pPr>
      <w:pStyle w:val="Header"/>
    </w:pPr>
    <w:r>
      <w:fldChar w:fldCharType="begin"/>
    </w:r>
    <w:r>
      <w:instrText xml:space="preserve"> TITLE  \* MERGEFORMAT </w:instrText>
    </w:r>
    <w:r>
      <w:fldChar w:fldCharType="separate"/>
    </w:r>
    <w:r w:rsidR="004F35A4">
      <w:t>ECE/TRANS/2018/23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BC" w:rsidRPr="00937ABC" w:rsidRDefault="00C9231E" w:rsidP="00937ABC">
    <w:pPr>
      <w:pStyle w:val="Header"/>
      <w:jc w:val="right"/>
    </w:pPr>
    <w:r>
      <w:fldChar w:fldCharType="begin"/>
    </w:r>
    <w:r>
      <w:instrText xml:space="preserve"> TITLE  \* MERGEFORMAT </w:instrText>
    </w:r>
    <w:r>
      <w:fldChar w:fldCharType="separate"/>
    </w:r>
    <w:r w:rsidR="004F35A4">
      <w:t>ECE/TRANS/2018/23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23"/>
    <w:rsid w:val="00017F94"/>
    <w:rsid w:val="00023842"/>
    <w:rsid w:val="00030755"/>
    <w:rsid w:val="000334F9"/>
    <w:rsid w:val="00045FEB"/>
    <w:rsid w:val="0007796D"/>
    <w:rsid w:val="000A06B6"/>
    <w:rsid w:val="000B7790"/>
    <w:rsid w:val="00111F2F"/>
    <w:rsid w:val="0014056F"/>
    <w:rsid w:val="0014365E"/>
    <w:rsid w:val="00143C66"/>
    <w:rsid w:val="001640F0"/>
    <w:rsid w:val="00176178"/>
    <w:rsid w:val="001F525A"/>
    <w:rsid w:val="00223272"/>
    <w:rsid w:val="00224A13"/>
    <w:rsid w:val="00230F30"/>
    <w:rsid w:val="0024779E"/>
    <w:rsid w:val="00257168"/>
    <w:rsid w:val="002744B8"/>
    <w:rsid w:val="002832AC"/>
    <w:rsid w:val="002D7C93"/>
    <w:rsid w:val="00305801"/>
    <w:rsid w:val="003637D7"/>
    <w:rsid w:val="003916DE"/>
    <w:rsid w:val="003F10B4"/>
    <w:rsid w:val="00441C3B"/>
    <w:rsid w:val="00446FE5"/>
    <w:rsid w:val="00447FFD"/>
    <w:rsid w:val="00452396"/>
    <w:rsid w:val="004837D8"/>
    <w:rsid w:val="004B6B96"/>
    <w:rsid w:val="004E468C"/>
    <w:rsid w:val="004F35A4"/>
    <w:rsid w:val="005505B7"/>
    <w:rsid w:val="00573BE5"/>
    <w:rsid w:val="00586ED3"/>
    <w:rsid w:val="00596AA9"/>
    <w:rsid w:val="00655383"/>
    <w:rsid w:val="00683C5C"/>
    <w:rsid w:val="006B7123"/>
    <w:rsid w:val="006D43E5"/>
    <w:rsid w:val="0071601D"/>
    <w:rsid w:val="007166E5"/>
    <w:rsid w:val="007A62E6"/>
    <w:rsid w:val="007F20FA"/>
    <w:rsid w:val="0080684C"/>
    <w:rsid w:val="00813418"/>
    <w:rsid w:val="00843960"/>
    <w:rsid w:val="00862660"/>
    <w:rsid w:val="008719EC"/>
    <w:rsid w:val="00871C75"/>
    <w:rsid w:val="008776DC"/>
    <w:rsid w:val="008A69B1"/>
    <w:rsid w:val="00937ABC"/>
    <w:rsid w:val="009446C0"/>
    <w:rsid w:val="009705C8"/>
    <w:rsid w:val="009C1CF4"/>
    <w:rsid w:val="009E6FC2"/>
    <w:rsid w:val="009F6B74"/>
    <w:rsid w:val="00A069A4"/>
    <w:rsid w:val="00A30353"/>
    <w:rsid w:val="00A71323"/>
    <w:rsid w:val="00AC3823"/>
    <w:rsid w:val="00AE323C"/>
    <w:rsid w:val="00AF0CB5"/>
    <w:rsid w:val="00B00181"/>
    <w:rsid w:val="00B00B0D"/>
    <w:rsid w:val="00B40631"/>
    <w:rsid w:val="00B765F7"/>
    <w:rsid w:val="00BA0CA9"/>
    <w:rsid w:val="00BC536C"/>
    <w:rsid w:val="00C02897"/>
    <w:rsid w:val="00C9231E"/>
    <w:rsid w:val="00C97039"/>
    <w:rsid w:val="00CC21A2"/>
    <w:rsid w:val="00D3439C"/>
    <w:rsid w:val="00D77715"/>
    <w:rsid w:val="00D864E0"/>
    <w:rsid w:val="00DB1831"/>
    <w:rsid w:val="00DC3882"/>
    <w:rsid w:val="00DD3BFD"/>
    <w:rsid w:val="00DF6678"/>
    <w:rsid w:val="00E0299A"/>
    <w:rsid w:val="00E85C74"/>
    <w:rsid w:val="00EA6547"/>
    <w:rsid w:val="00EF014E"/>
    <w:rsid w:val="00EF2E22"/>
    <w:rsid w:val="00F35BAF"/>
    <w:rsid w:val="00F3730F"/>
    <w:rsid w:val="00F660DF"/>
    <w:rsid w:val="00F94664"/>
    <w:rsid w:val="00F9573C"/>
    <w:rsid w:val="00F95C08"/>
    <w:rsid w:val="00FB0CEF"/>
    <w:rsid w:val="00FB74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
    <w:name w:val="__Single Txt"/>
    <w:basedOn w:val="Normal"/>
    <w:link w:val="SingleTxtChar"/>
    <w:rsid w:val="00CC21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CC21A2"/>
    <w:rPr>
      <w:rFonts w:ascii="Times New Roman" w:eastAsiaTheme="minorHAnsi" w:hAnsi="Times New Roman" w:cs="Times New Roman"/>
      <w:spacing w:val="4"/>
      <w:w w:val="103"/>
      <w:kern w:val="14"/>
      <w:sz w:val="20"/>
      <w:szCs w:val="20"/>
      <w:lang w:eastAsia="en-US"/>
    </w:rPr>
  </w:style>
  <w:style w:type="character" w:customStyle="1" w:styleId="SingleTxtGChar">
    <w:name w:val="_ Single Txt_G Char"/>
    <w:link w:val="SingleTxtG"/>
    <w:rsid w:val="00CC21A2"/>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
    <w:name w:val="__Single Txt"/>
    <w:basedOn w:val="Normal"/>
    <w:link w:val="SingleTxtChar"/>
    <w:rsid w:val="00CC21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CC21A2"/>
    <w:rPr>
      <w:rFonts w:ascii="Times New Roman" w:eastAsiaTheme="minorHAnsi" w:hAnsi="Times New Roman" w:cs="Times New Roman"/>
      <w:spacing w:val="4"/>
      <w:w w:val="103"/>
      <w:kern w:val="14"/>
      <w:sz w:val="20"/>
      <w:szCs w:val="20"/>
      <w:lang w:eastAsia="en-US"/>
    </w:rPr>
  </w:style>
  <w:style w:type="character" w:customStyle="1" w:styleId="SingleTxtGChar">
    <w:name w:val="_ Single Txt_G Char"/>
    <w:link w:val="SingleTxtG"/>
    <w:rsid w:val="00CC21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133" TargetMode="External"/><Relationship Id="rId18" Type="http://schemas.openxmlformats.org/officeDocument/2006/relationships/hyperlink" Target="http://www.un.org/en/ga/search/view_doc.asp?symbol=A/RES/71/16" TargetMode="External"/><Relationship Id="rId26" Type="http://schemas.openxmlformats.org/officeDocument/2006/relationships/hyperlink" Target="http://www.un.org/en/ga/search/view_doc.asp?symbol=A/RES/71/243" TargetMode="External"/><Relationship Id="rId39" Type="http://schemas.openxmlformats.org/officeDocument/2006/relationships/hyperlink" Target="http://www.un.org/en/ga/70/resolutions.shtml" TargetMode="External"/><Relationship Id="rId21" Type="http://schemas.openxmlformats.org/officeDocument/2006/relationships/hyperlink" Target="http://www.un.org/en/ga/search/view_doc.asp?symbol=A/RES/71/212" TargetMode="External"/><Relationship Id="rId34" Type="http://schemas.openxmlformats.org/officeDocument/2006/relationships/hyperlink" Target="http://www.unece.org/fileadmin/DAM/commission/2015/Report_66th_session_E_ECE_1472_English_advance.pdf" TargetMode="External"/><Relationship Id="rId42" Type="http://schemas.openxmlformats.org/officeDocument/2006/relationships/hyperlink" Target="http://www.un.org/ga/search/view_doc.asp?symbol=E/RES/2013/7" TargetMode="External"/><Relationship Id="rId47" Type="http://schemas.openxmlformats.org/officeDocument/2006/relationships/hyperlink" Target="http://www.unece.org/fileadmin/DAM/trans/doc/2015/itc/ECE-TRANS-248e.pdf" TargetMode="External"/><Relationship Id="rId50" Type="http://schemas.openxmlformats.org/officeDocument/2006/relationships/hyperlink" Target="http://www.unece.org/fileadmin/DAM/trans/main/wp29/wp29regs/2017/E-ECE-TRANS-505-Rev.3e.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org/en/ga/search/view_doc.asp?symbol=A/RES/71/13" TargetMode="External"/><Relationship Id="rId29" Type="http://schemas.openxmlformats.org/officeDocument/2006/relationships/hyperlink" Target="http://www.un.org/en/ecosoc/docs/2006/resolution%202006-38.pdf" TargetMode="External"/><Relationship Id="rId11" Type="http://schemas.openxmlformats.org/officeDocument/2006/relationships/hyperlink" Target="http://www.un.org/en/ga/search/view_doc.asp?symbol=A/RES/69/313" TargetMode="External"/><Relationship Id="rId24" Type="http://schemas.openxmlformats.org/officeDocument/2006/relationships/hyperlink" Target="http://www.un.org/en/ga/search/view_doc.asp?symbol=A/RES/71/228" TargetMode="External"/><Relationship Id="rId32" Type="http://schemas.openxmlformats.org/officeDocument/2006/relationships/hyperlink" Target="http://www.unece.org/fileadmin/DAM/commission/2011/Adopted_ECE_Decision_31March2011.pdf" TargetMode="External"/><Relationship Id="rId37" Type="http://schemas.openxmlformats.org/officeDocument/2006/relationships/hyperlink" Target="http://www.un.org/en/ga/search/view_doc.asp?symbol=A/RES/69/137" TargetMode="External"/><Relationship Id="rId40" Type="http://schemas.openxmlformats.org/officeDocument/2006/relationships/hyperlink" Target="http://www.un.org/en/ga/search/view_doc.asp?symbol=A/RES/70/107" TargetMode="External"/><Relationship Id="rId45" Type="http://schemas.openxmlformats.org/officeDocument/2006/relationships/hyperlink" Target="http://www.unece.org/fileadmin/DAM/trans/doc/2012/itc/ECE-TRANS-224e.pdf" TargetMode="External"/><Relationship Id="rId53" Type="http://schemas.openxmlformats.org/officeDocument/2006/relationships/hyperlink" Target="http://www.unece.org/fileadmin/DAM/trans/danger/publi/adn/adn_history/docs/ECE-TRANS-ADN-CONF-10a1e.pdf"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un.org/en/ga/search/view_doc.asp?symbol=A/RES/71/18" TargetMode="External"/><Relationship Id="rId14" Type="http://schemas.openxmlformats.org/officeDocument/2006/relationships/hyperlink" Target="http://www.un.org/en/ga/search/view_doc.asp?symbol=A/RES/70/221" TargetMode="External"/><Relationship Id="rId22" Type="http://schemas.openxmlformats.org/officeDocument/2006/relationships/hyperlink" Target="http://www.un.org/en/ga/search/view_doc.asp?symbol=A/RES/71/223" TargetMode="External"/><Relationship Id="rId27" Type="http://schemas.openxmlformats.org/officeDocument/2006/relationships/hyperlink" Target="http://www.un.org/en/ga/search/view_doc.asp?symbol=A/RES/71/244" TargetMode="External"/><Relationship Id="rId30" Type="http://schemas.openxmlformats.org/officeDocument/2006/relationships/hyperlink" Target="http://www.un.org/ga/search/view_doc.asp?symbol=E/RES/2013/1" TargetMode="External"/><Relationship Id="rId35" Type="http://schemas.openxmlformats.org/officeDocument/2006/relationships/hyperlink" Target="http://undocs.org/A/RES/58/9" TargetMode="External"/><Relationship Id="rId43" Type="http://schemas.openxmlformats.org/officeDocument/2006/relationships/hyperlink" Target="http://www.un.org/ga/search/view_doc.asp?symbol=E/RES/2015/7" TargetMode="External"/><Relationship Id="rId48" Type="http://schemas.openxmlformats.org/officeDocument/2006/relationships/hyperlink" Target="http://www.unece.org/fileadmin/DAM/trans/doc/2013/itc/ECE-TRANS-236e.pdf" TargetMode="External"/><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http://www.unece.org/fileadmin/DAM/trans/conventn/conf4e.pdf" TargetMode="External"/><Relationship Id="rId3" Type="http://schemas.microsoft.com/office/2007/relationships/stylesWithEffects" Target="stylesWithEffects.xml"/><Relationship Id="rId12" Type="http://schemas.openxmlformats.org/officeDocument/2006/relationships/hyperlink" Target="http://www.un.org/en/ga/search/view_doc.asp?symbol=A/RES/70/1" TargetMode="External"/><Relationship Id="rId17" Type="http://schemas.openxmlformats.org/officeDocument/2006/relationships/hyperlink" Target="http://www.un.org/en/ga/search/view_doc.asp?symbol=A/RES/71/14" TargetMode="External"/><Relationship Id="rId25" Type="http://schemas.openxmlformats.org/officeDocument/2006/relationships/hyperlink" Target="http://www.un.org/en/ga/search/view_doc.asp?symbol=A/RES/71/233" TargetMode="External"/><Relationship Id="rId33" Type="http://schemas.openxmlformats.org/officeDocument/2006/relationships/hyperlink" Target="http://www.unece.org/fileadmin/DAM/commission/2013/Chapter_IV_Decision_and_Annex_III_Outcome_document.pdf" TargetMode="External"/><Relationship Id="rId38" Type="http://schemas.openxmlformats.org/officeDocument/2006/relationships/hyperlink" Target="http://www.un.org/en/ga/search/view_doc.asp?symbol=A/RES/69/213" TargetMode="External"/><Relationship Id="rId46" Type="http://schemas.openxmlformats.org/officeDocument/2006/relationships/hyperlink" Target="http://www.unece.org/fileadmin/DAM/trans/doc/2017/itc/ECE_TRANS_270e.pdf" TargetMode="External"/><Relationship Id="rId59" Type="http://schemas.openxmlformats.org/officeDocument/2006/relationships/footer" Target="footer3.xml"/><Relationship Id="rId20" Type="http://schemas.openxmlformats.org/officeDocument/2006/relationships/hyperlink" Target="http://www.un.org/en/ga/search/view_doc.asp?symbol=A/RES/71/162" TargetMode="External"/><Relationship Id="rId41" Type="http://schemas.openxmlformats.org/officeDocument/2006/relationships/hyperlink" Target="http://www.unece.org/fileadmin/DAM/trans/main/dgdb/dgsubc4/ECOSOC/1999-65/1999-65e.pdf" TargetMode="External"/><Relationship Id="rId54" Type="http://schemas.openxmlformats.org/officeDocument/2006/relationships/hyperlink" Target="https://documents-dds-ny.un.org/doc/UNDOC/GEN/G15/133/57/PDF/G1513357.pdf?OpenElemen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org/en/ga/search/view_doc.asp?symbol=A/RES/71/10" TargetMode="External"/><Relationship Id="rId23" Type="http://schemas.openxmlformats.org/officeDocument/2006/relationships/hyperlink" Target="http://www.un.org/en/ga/search/view_doc.asp?symbol=A/RES/71/226" TargetMode="External"/><Relationship Id="rId28" Type="http://schemas.openxmlformats.org/officeDocument/2006/relationships/hyperlink" Target="http://www.un.org/en/ga/search/view_doc.asp?symbol=A/RES/71/283" TargetMode="External"/><Relationship Id="rId36" Type="http://schemas.openxmlformats.org/officeDocument/2006/relationships/hyperlink" Target="http://www.un.org/en/ga/search/view_doc.asp?symbol=A/RES/68/269" TargetMode="External"/><Relationship Id="rId49" Type="http://schemas.openxmlformats.org/officeDocument/2006/relationships/hyperlink" Target="http://www.unece.org/fileadmin/DAM/commission/2015/Report_66th_session_E_ECE_1472_English_advance.pdf" TargetMode="External"/><Relationship Id="rId57" Type="http://schemas.openxmlformats.org/officeDocument/2006/relationships/footer" Target="footer1.xml"/><Relationship Id="rId10" Type="http://schemas.openxmlformats.org/officeDocument/2006/relationships/hyperlink" Target="http://undocs.org/A/RES/67/10" TargetMode="External"/><Relationship Id="rId31" Type="http://schemas.openxmlformats.org/officeDocument/2006/relationships/hyperlink" Target="http://www.un.org/ga/search/view_doc.asp?symbol=E/RES/2016/2" TargetMode="External"/><Relationship Id="rId44" Type="http://schemas.openxmlformats.org/officeDocument/2006/relationships/hyperlink" Target="http://www.unece.org/fileadmin/DAM/env/documents/2014/ece/ece.ac.21.2014.2.e.pdf" TargetMode="External"/><Relationship Id="rId52" Type="http://schemas.openxmlformats.org/officeDocument/2006/relationships/hyperlink" Target="http://www.unece.org/fileadmin/DAM/trans/main/wp29/wp29wgs/wp29gen/wp29glob/tran132.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A/RES/66/28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3253</Words>
  <Characters>18544</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ECE/TRANS/2018/23</vt:lpstr>
      <vt:lpstr>ECE/TRANS/2018/23</vt:lpstr>
    </vt:vector>
  </TitlesOfParts>
  <Company>DCM</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ECE/TRANS/2018/23</dc:title>
  <dc:creator>Nicolas MORIN</dc:creator>
  <cp:lastModifiedBy>31/08/2016</cp:lastModifiedBy>
  <cp:revision>2</cp:revision>
  <cp:lastPrinted>2017-12-15T14:12:00Z</cp:lastPrinted>
  <dcterms:created xsi:type="dcterms:W3CDTF">2017-12-21T14:03:00Z</dcterms:created>
  <dcterms:modified xsi:type="dcterms:W3CDTF">2017-12-21T14:03:00Z</dcterms:modified>
</cp:coreProperties>
</file>