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0D3E1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D3E14" w:rsidP="000D3E14">
            <w:pPr>
              <w:jc w:val="right"/>
            </w:pPr>
            <w:r w:rsidRPr="000D3E14">
              <w:rPr>
                <w:sz w:val="40"/>
              </w:rPr>
              <w:t>ECE</w:t>
            </w:r>
            <w:r>
              <w:t>/TRANS/2018/16</w:t>
            </w:r>
          </w:p>
        </w:tc>
      </w:tr>
      <w:tr w:rsidR="002D5AAC" w:rsidRPr="00FC3CD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0D3E14" w:rsidP="00387CD4">
            <w:pPr>
              <w:spacing w:before="240"/>
              <w:rPr>
                <w:lang w:val="en-US"/>
              </w:rPr>
            </w:pPr>
            <w:r>
              <w:rPr>
                <w:lang w:val="en-US"/>
              </w:rPr>
              <w:t>Distr.: General</w:t>
            </w:r>
          </w:p>
          <w:p w:rsidR="000D3E14" w:rsidRDefault="000D3E14" w:rsidP="000D3E14">
            <w:pPr>
              <w:spacing w:line="240" w:lineRule="exact"/>
              <w:rPr>
                <w:lang w:val="en-US"/>
              </w:rPr>
            </w:pPr>
            <w:r>
              <w:rPr>
                <w:lang w:val="en-US"/>
              </w:rPr>
              <w:t>8 December 2017</w:t>
            </w:r>
          </w:p>
          <w:p w:rsidR="000D3E14" w:rsidRDefault="000D3E14" w:rsidP="000D3E14">
            <w:pPr>
              <w:spacing w:line="240" w:lineRule="exact"/>
              <w:rPr>
                <w:lang w:val="en-US"/>
              </w:rPr>
            </w:pPr>
            <w:r>
              <w:rPr>
                <w:lang w:val="en-US"/>
              </w:rPr>
              <w:t>Russian</w:t>
            </w:r>
          </w:p>
          <w:p w:rsidR="000D3E14" w:rsidRPr="008D53B6" w:rsidRDefault="000D3E14" w:rsidP="000D3E1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C8168C" w:rsidRPr="00C8168C" w:rsidRDefault="00C8168C" w:rsidP="00C8168C">
      <w:pPr>
        <w:spacing w:before="120"/>
        <w:rPr>
          <w:sz w:val="28"/>
          <w:szCs w:val="28"/>
        </w:rPr>
      </w:pPr>
      <w:r w:rsidRPr="00C8168C">
        <w:rPr>
          <w:sz w:val="28"/>
          <w:szCs w:val="28"/>
        </w:rPr>
        <w:t>Комитет по внутреннему транспорту</w:t>
      </w:r>
    </w:p>
    <w:p w:rsidR="00C8168C" w:rsidRPr="00C8168C" w:rsidRDefault="00C8168C" w:rsidP="00C8168C">
      <w:pPr>
        <w:spacing w:before="120"/>
        <w:rPr>
          <w:b/>
        </w:rPr>
      </w:pPr>
      <w:r w:rsidRPr="00C8168C">
        <w:rPr>
          <w:b/>
        </w:rPr>
        <w:t>Восьмидесятая сессия</w:t>
      </w:r>
    </w:p>
    <w:p w:rsidR="00C8168C" w:rsidRPr="00C8168C" w:rsidRDefault="00C8168C" w:rsidP="00C8168C">
      <w:r w:rsidRPr="00C8168C">
        <w:t>Женева, 20</w:t>
      </w:r>
      <w:r w:rsidRPr="006978D0">
        <w:t>–</w:t>
      </w:r>
      <w:r w:rsidRPr="00C8168C">
        <w:t>23 февраля 2018 года</w:t>
      </w:r>
    </w:p>
    <w:p w:rsidR="00C8168C" w:rsidRPr="00C8168C" w:rsidRDefault="00C8168C" w:rsidP="00C8168C">
      <w:r w:rsidRPr="00C8168C">
        <w:t>Пункт 5 h) предварительной повестки дня</w:t>
      </w:r>
    </w:p>
    <w:p w:rsidR="00C8168C" w:rsidRPr="00C8168C" w:rsidRDefault="00C8168C" w:rsidP="00C8168C">
      <w:pPr>
        <w:rPr>
          <w:b/>
        </w:rPr>
      </w:pPr>
      <w:r w:rsidRPr="00C8168C">
        <w:rPr>
          <w:b/>
        </w:rPr>
        <w:t xml:space="preserve">Стратегические вопросы, связанные с разными </w:t>
      </w:r>
      <w:r>
        <w:rPr>
          <w:b/>
        </w:rPr>
        <w:br/>
      </w:r>
      <w:r w:rsidRPr="00C8168C">
        <w:rPr>
          <w:b/>
        </w:rPr>
        <w:t>видами транспорта и тематическими направлениями</w:t>
      </w:r>
    </w:p>
    <w:p w:rsidR="00C8168C" w:rsidRPr="00C8168C" w:rsidRDefault="00C8168C" w:rsidP="00C8168C">
      <w:pPr>
        <w:pStyle w:val="HChGR"/>
      </w:pPr>
      <w:r w:rsidRPr="00C8168C">
        <w:tab/>
      </w:r>
      <w:r w:rsidRPr="00C8168C">
        <w:tab/>
        <w:t>Активизация работы по облегчению пересечения границ (Конвенция о согласовании, Конвенция МДП, проект eTIR и другие меры по облегчению таможенного транзита)</w:t>
      </w:r>
    </w:p>
    <w:p w:rsidR="00C8168C" w:rsidRDefault="00C8168C" w:rsidP="00C8168C">
      <w:pPr>
        <w:pStyle w:val="H1GR"/>
      </w:pPr>
      <w:r w:rsidRPr="00C8168C">
        <w:tab/>
      </w:r>
      <w:r w:rsidRPr="00C8168C">
        <w:tab/>
        <w:t>Записка секретариата</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C8168C" w:rsidRPr="00C8168C" w:rsidTr="00850215">
        <w:trPr>
          <w:jc w:val="center"/>
        </w:trPr>
        <w:tc>
          <w:tcPr>
            <w:tcW w:w="9637" w:type="dxa"/>
            <w:tcBorders>
              <w:bottom w:val="nil"/>
            </w:tcBorders>
          </w:tcPr>
          <w:p w:rsidR="00C8168C" w:rsidRPr="00C8168C" w:rsidRDefault="00C8168C" w:rsidP="00850215">
            <w:pPr>
              <w:tabs>
                <w:tab w:val="left" w:pos="255"/>
              </w:tabs>
              <w:spacing w:before="240" w:after="120"/>
              <w:rPr>
                <w:rFonts w:cs="Times New Roman"/>
                <w:sz w:val="24"/>
              </w:rPr>
            </w:pPr>
            <w:r w:rsidRPr="00C8168C">
              <w:rPr>
                <w:rFonts w:cs="Times New Roman"/>
              </w:rPr>
              <w:tab/>
            </w:r>
            <w:r w:rsidRPr="00C8168C">
              <w:rPr>
                <w:rFonts w:cs="Times New Roman"/>
                <w:i/>
                <w:sz w:val="24"/>
              </w:rPr>
              <w:t>Резюме</w:t>
            </w:r>
          </w:p>
        </w:tc>
      </w:tr>
      <w:tr w:rsidR="00C8168C" w:rsidRPr="00C8168C" w:rsidTr="00850215">
        <w:trPr>
          <w:jc w:val="center"/>
        </w:trPr>
        <w:tc>
          <w:tcPr>
            <w:tcW w:w="9637" w:type="dxa"/>
            <w:tcBorders>
              <w:top w:val="nil"/>
              <w:bottom w:val="nil"/>
            </w:tcBorders>
            <w:shd w:val="clear" w:color="auto" w:fill="auto"/>
          </w:tcPr>
          <w:p w:rsidR="00C8168C" w:rsidRPr="00C8168C" w:rsidRDefault="00C15CAD" w:rsidP="00B5429B">
            <w:pPr>
              <w:pStyle w:val="SingleTxtGR"/>
            </w:pPr>
            <w:r>
              <w:tab/>
            </w:r>
            <w:r w:rsidR="00C8168C" w:rsidRPr="00C8168C">
              <w:t>В настоящем документе содержится краткая информация о деятельности Рабочей группы по таможенным вопросам, связанным с транспортом (WP.30), ее вспомогательных групп экспертов и секретариата, направленной на актив</w:t>
            </w:r>
            <w:r w:rsidR="00C8168C" w:rsidRPr="00C8168C">
              <w:t>и</w:t>
            </w:r>
            <w:r w:rsidR="00C8168C" w:rsidRPr="00C8168C">
              <w:t>зацию усилий по облегчению пересечения границ и осуществлению соотве</w:t>
            </w:r>
            <w:r w:rsidR="00C8168C" w:rsidRPr="00C8168C">
              <w:t>т</w:t>
            </w:r>
            <w:r w:rsidR="00C8168C" w:rsidRPr="00C8168C">
              <w:t>ствующих правовых документов, относящихся к ведению WP.30 (Конвенция о согласовании, Конвенция МДП и т.д.). Она включает в себя компьютеризацию системы МДП в рамках проекта eTIR.</w:t>
            </w:r>
          </w:p>
        </w:tc>
      </w:tr>
      <w:tr w:rsidR="00C8168C" w:rsidRPr="00C8168C" w:rsidTr="00C8168C">
        <w:trPr>
          <w:jc w:val="center"/>
        </w:trPr>
        <w:tc>
          <w:tcPr>
            <w:tcW w:w="9637" w:type="dxa"/>
            <w:tcBorders>
              <w:top w:val="nil"/>
              <w:bottom w:val="nil"/>
            </w:tcBorders>
          </w:tcPr>
          <w:p w:rsidR="00C8168C" w:rsidRPr="00C8168C" w:rsidRDefault="00C8168C" w:rsidP="00C15CAD">
            <w:pPr>
              <w:pStyle w:val="SingleTxtGR"/>
            </w:pPr>
            <w:r w:rsidRPr="00C8168C">
              <w:tab/>
              <w:t xml:space="preserve">Комитет, возможно, пожелает </w:t>
            </w:r>
            <w:r w:rsidRPr="009D398F">
              <w:rPr>
                <w:b/>
              </w:rPr>
              <w:t>принять к сведению</w:t>
            </w:r>
            <w:r w:rsidRPr="00C8168C">
              <w:t xml:space="preserve"> информацию об ук</w:t>
            </w:r>
            <w:r w:rsidRPr="00C8168C">
              <w:t>а</w:t>
            </w:r>
            <w:r w:rsidRPr="00C8168C">
              <w:t xml:space="preserve">занных мероприятиях и </w:t>
            </w:r>
            <w:r w:rsidRPr="009D398F">
              <w:rPr>
                <w:b/>
              </w:rPr>
              <w:t>одобрить</w:t>
            </w:r>
            <w:r w:rsidRPr="00C8168C">
              <w:t xml:space="preserve"> их. Комитету также </w:t>
            </w:r>
            <w:r w:rsidRPr="00FC3CDE">
              <w:rPr>
                <w:b/>
              </w:rPr>
              <w:t>предлагается оказать поддержку</w:t>
            </w:r>
            <w:r w:rsidRPr="00C8168C">
              <w:t xml:space="preserve"> дальнейшему осуществлению проекта eTIR и с этой целью </w:t>
            </w:r>
            <w:r w:rsidRPr="00FC3CDE">
              <w:rPr>
                <w:b/>
              </w:rPr>
              <w:t>пр</w:t>
            </w:r>
            <w:r w:rsidRPr="00FC3CDE">
              <w:rPr>
                <w:b/>
              </w:rPr>
              <w:t>о</w:t>
            </w:r>
            <w:r w:rsidRPr="00FC3CDE">
              <w:rPr>
                <w:b/>
              </w:rPr>
              <w:t>длить</w:t>
            </w:r>
            <w:r w:rsidRPr="00C8168C">
              <w:t xml:space="preserve"> мандат Специальной группы экспертов по концептуальным и технич</w:t>
            </w:r>
            <w:r w:rsidRPr="00C8168C">
              <w:t>е</w:t>
            </w:r>
            <w:r w:rsidRPr="00C8168C">
              <w:t>ским аспектам компьютеризации процедуры МДП (WP.30/GE.1) на 2018 год.</w:t>
            </w:r>
          </w:p>
        </w:tc>
      </w:tr>
      <w:tr w:rsidR="00C8168C" w:rsidRPr="00C8168C" w:rsidTr="00C8168C">
        <w:trPr>
          <w:jc w:val="center"/>
        </w:trPr>
        <w:tc>
          <w:tcPr>
            <w:tcW w:w="9637" w:type="dxa"/>
            <w:tcBorders>
              <w:top w:val="nil"/>
              <w:bottom w:val="nil"/>
            </w:tcBorders>
          </w:tcPr>
          <w:p w:rsidR="00C8168C" w:rsidRPr="00C8168C" w:rsidRDefault="00C15CAD" w:rsidP="009D398F">
            <w:pPr>
              <w:pStyle w:val="SingleTxtGR"/>
            </w:pPr>
            <w:r>
              <w:tab/>
            </w:r>
            <w:r w:rsidR="00C8168C" w:rsidRPr="00C8168C">
              <w:t xml:space="preserve">Комитету </w:t>
            </w:r>
            <w:r w:rsidR="00C8168C" w:rsidRPr="009D398F">
              <w:rPr>
                <w:b/>
              </w:rPr>
              <w:t>предлагается обратиться</w:t>
            </w:r>
            <w:r w:rsidR="00C8168C" w:rsidRPr="00C8168C">
              <w:t xml:space="preserve"> к договаривающимся сторонам </w:t>
            </w:r>
            <w:r w:rsidR="00C8168C" w:rsidRPr="009D398F">
              <w:rPr>
                <w:b/>
              </w:rPr>
              <w:t>с</w:t>
            </w:r>
            <w:r w:rsidR="009D398F">
              <w:rPr>
                <w:b/>
                <w:lang w:val="en-US"/>
              </w:rPr>
              <w:t> </w:t>
            </w:r>
            <w:r w:rsidR="00C8168C" w:rsidRPr="009D398F">
              <w:rPr>
                <w:b/>
              </w:rPr>
              <w:t>настоятельным призывом</w:t>
            </w:r>
            <w:r w:rsidR="00C8168C" w:rsidRPr="00C8168C">
              <w:t xml:space="preserve"> принять необходимые меры по осуществлению модернизации их национальных систем управления таможенными информац</w:t>
            </w:r>
            <w:r w:rsidR="00C8168C" w:rsidRPr="00C8168C">
              <w:t>и</w:t>
            </w:r>
            <w:r w:rsidR="00C8168C" w:rsidRPr="00C8168C">
              <w:t>онно-коммуникационными технологиями (ИКТ) в целях обеспечения функци</w:t>
            </w:r>
            <w:r w:rsidR="00C8168C" w:rsidRPr="00C8168C">
              <w:t>о</w:t>
            </w:r>
            <w:r w:rsidR="00C8168C" w:rsidRPr="00C8168C">
              <w:t>нирования полностью компьютеризованной процедуры МДП.</w:t>
            </w:r>
          </w:p>
        </w:tc>
      </w:tr>
      <w:tr w:rsidR="00C8168C" w:rsidRPr="00C8168C" w:rsidTr="00C8168C">
        <w:trPr>
          <w:jc w:val="center"/>
        </w:trPr>
        <w:tc>
          <w:tcPr>
            <w:tcW w:w="9637" w:type="dxa"/>
            <w:tcBorders>
              <w:top w:val="nil"/>
              <w:bottom w:val="nil"/>
            </w:tcBorders>
          </w:tcPr>
          <w:p w:rsidR="00C8168C" w:rsidRPr="00C8168C" w:rsidRDefault="00C15CAD" w:rsidP="00C15CAD">
            <w:pPr>
              <w:pStyle w:val="SingleTxtGR"/>
              <w:spacing w:after="0"/>
            </w:pPr>
            <w:r>
              <w:tab/>
            </w:r>
            <w:r w:rsidRPr="00C8168C">
              <w:t xml:space="preserve">Комитет, возможно, пожелает </w:t>
            </w:r>
            <w:r w:rsidRPr="009D398F">
              <w:rPr>
                <w:b/>
              </w:rPr>
              <w:t>рассмотреть</w:t>
            </w:r>
            <w:r w:rsidRPr="00C8168C">
              <w:t xml:space="preserve"> и </w:t>
            </w:r>
            <w:r w:rsidRPr="009D398F">
              <w:rPr>
                <w:b/>
              </w:rPr>
              <w:t>одобрить</w:t>
            </w:r>
            <w:r w:rsidRPr="00C8168C">
              <w:t xml:space="preserve"> текст новой ко</w:t>
            </w:r>
            <w:r w:rsidRPr="00C8168C">
              <w:t>н</w:t>
            </w:r>
            <w:r w:rsidRPr="00C8168C">
              <w:t>венции об облегчении условий пересечения государственных границ при ме</w:t>
            </w:r>
            <w:r w:rsidRPr="00C8168C">
              <w:t>ж</w:t>
            </w:r>
            <w:r w:rsidRPr="00C8168C">
              <w:t>дународной железнодорожной перевозке пассажиров, багажа и товаробагажа.</w:t>
            </w:r>
          </w:p>
        </w:tc>
      </w:tr>
      <w:tr w:rsidR="00C8168C" w:rsidRPr="00C8168C" w:rsidTr="00C8168C">
        <w:trPr>
          <w:jc w:val="center"/>
        </w:trPr>
        <w:tc>
          <w:tcPr>
            <w:tcW w:w="9637" w:type="dxa"/>
            <w:tcBorders>
              <w:top w:val="nil"/>
              <w:bottom w:val="nil"/>
            </w:tcBorders>
          </w:tcPr>
          <w:p w:rsidR="00C8168C" w:rsidRPr="00C8168C" w:rsidRDefault="00C8168C" w:rsidP="00C15CAD">
            <w:pPr>
              <w:pStyle w:val="SingleTxtGR"/>
            </w:pPr>
          </w:p>
        </w:tc>
      </w:tr>
      <w:tr w:rsidR="00C8168C" w:rsidRPr="00C8168C" w:rsidTr="00C15CAD">
        <w:trPr>
          <w:jc w:val="center"/>
        </w:trPr>
        <w:tc>
          <w:tcPr>
            <w:tcW w:w="9637" w:type="dxa"/>
            <w:tcBorders>
              <w:top w:val="nil"/>
              <w:bottom w:val="nil"/>
            </w:tcBorders>
          </w:tcPr>
          <w:p w:rsidR="00C8168C" w:rsidRPr="00C8168C" w:rsidRDefault="00C15CAD" w:rsidP="00C15CAD">
            <w:pPr>
              <w:pStyle w:val="SingleTxtGR"/>
              <w:pageBreakBefore/>
            </w:pPr>
            <w:r w:rsidRPr="00C8168C">
              <w:lastRenderedPageBreak/>
              <w:tab/>
              <w:t xml:space="preserve">Комитет, возможно, пожелает </w:t>
            </w:r>
            <w:r w:rsidRPr="009D398F">
              <w:rPr>
                <w:b/>
              </w:rPr>
              <w:t>принять</w:t>
            </w:r>
            <w:r w:rsidRPr="00C8168C">
              <w:t xml:space="preserve"> пересмотренный вариант круга ведения WP.30</w:t>
            </w:r>
          </w:p>
        </w:tc>
      </w:tr>
      <w:tr w:rsidR="00C15CAD" w:rsidRPr="00C8168C" w:rsidTr="00850215">
        <w:trPr>
          <w:jc w:val="center"/>
        </w:trPr>
        <w:tc>
          <w:tcPr>
            <w:tcW w:w="9637" w:type="dxa"/>
            <w:tcBorders>
              <w:top w:val="nil"/>
            </w:tcBorders>
          </w:tcPr>
          <w:p w:rsidR="00C15CAD" w:rsidRPr="00C8168C" w:rsidRDefault="00C15CAD" w:rsidP="00850215">
            <w:pPr>
              <w:rPr>
                <w:rFonts w:cs="Times New Roman"/>
              </w:rPr>
            </w:pPr>
          </w:p>
        </w:tc>
      </w:tr>
    </w:tbl>
    <w:p w:rsidR="00C8168C" w:rsidRPr="00C8168C" w:rsidRDefault="00C8168C" w:rsidP="00C15CAD">
      <w:pPr>
        <w:pStyle w:val="HChGR"/>
      </w:pPr>
      <w:r w:rsidRPr="00C8168C">
        <w:tab/>
        <w:t>I.</w:t>
      </w:r>
      <w:r w:rsidRPr="00C8168C">
        <w:tab/>
        <w:t>Справочная информация и мандат</w:t>
      </w:r>
    </w:p>
    <w:p w:rsidR="00C8168C" w:rsidRPr="00C8168C" w:rsidRDefault="00C8168C" w:rsidP="00C8168C">
      <w:pPr>
        <w:pStyle w:val="SingleTxtGR"/>
      </w:pPr>
      <w:r w:rsidRPr="00C8168C">
        <w:t>1.</w:t>
      </w:r>
      <w:r w:rsidRPr="00C8168C">
        <w:tab/>
        <w:t>На своей предыдущей сессии Комитет принял к сведению и поддержал деятельность Рабочей группы по таможенным вопросам, связанным с тран</w:t>
      </w:r>
      <w:r w:rsidRPr="00C8168C">
        <w:t>с</w:t>
      </w:r>
      <w:r w:rsidRPr="00C8168C">
        <w:t>портом (WP.30), в целях, в частности, укрепления Конвенции МДП 1975 года и оказания поддержки осуществлению проекта eTIR (ECE/TRANS/270, пун</w:t>
      </w:r>
      <w:r w:rsidRPr="00C8168C">
        <w:t>к</w:t>
      </w:r>
      <w:r w:rsidRPr="00C8168C">
        <w:t>ты</w:t>
      </w:r>
      <w:r w:rsidR="009D029E">
        <w:rPr>
          <w:lang w:val="en-US"/>
        </w:rPr>
        <w:t> </w:t>
      </w:r>
      <w:r w:rsidRPr="00C8168C">
        <w:t>87</w:t>
      </w:r>
      <w:r w:rsidR="009D029E" w:rsidRPr="009D029E">
        <w:t>–</w:t>
      </w:r>
      <w:r w:rsidRPr="00C8168C">
        <w:t xml:space="preserve">89). </w:t>
      </w:r>
    </w:p>
    <w:p w:rsidR="00C8168C" w:rsidRPr="00C8168C" w:rsidRDefault="00C8168C" w:rsidP="00C8168C">
      <w:pPr>
        <w:pStyle w:val="SingleTxtGR"/>
      </w:pPr>
      <w:r w:rsidRPr="00C8168C">
        <w:t>2.</w:t>
      </w:r>
      <w:r w:rsidRPr="00C8168C">
        <w:tab/>
        <w:t>Настоящий документ подготовлен в соответствии с программой работы Комитета по внутреннему транспорту (КВТ) на период 2016</w:t>
      </w:r>
      <w:r w:rsidR="009D029E" w:rsidRPr="002D57AE">
        <w:t>–</w:t>
      </w:r>
      <w:r w:rsidRPr="00C8168C">
        <w:t>2020 годов (ECE/TRANS/254, пункт 156, и ECE/TRANS/2016/31, подпрограмма 02.10: т</w:t>
      </w:r>
      <w:r w:rsidRPr="00C8168C">
        <w:t>а</w:t>
      </w:r>
      <w:r w:rsidRPr="00C8168C">
        <w:t>моженные вопросы, связанные с транспортом). В нем сообщается о прогрессе, достигнутом в 2017 году Договаривающимися сторонами, WP.30 и секретари</w:t>
      </w:r>
      <w:r w:rsidRPr="00C8168C">
        <w:t>а</w:t>
      </w:r>
      <w:r w:rsidRPr="00C8168C">
        <w:t>том в области облегчения процедур пересечения границ, включая, в частности:</w:t>
      </w:r>
    </w:p>
    <w:p w:rsidR="00C8168C" w:rsidRPr="00C8168C" w:rsidDel="003D4299" w:rsidRDefault="00C8168C" w:rsidP="00C15CAD">
      <w:pPr>
        <w:pStyle w:val="Bullet1GR"/>
      </w:pPr>
      <w:r w:rsidRPr="00C8168C">
        <w:t>достижения в контексте Международной конвенции о согласовании усл</w:t>
      </w:r>
      <w:r w:rsidRPr="00C8168C">
        <w:t>о</w:t>
      </w:r>
      <w:r w:rsidRPr="00C8168C">
        <w:t>вий проведения контроля грузов на границах 1982 года (Конвенция о с</w:t>
      </w:r>
      <w:r w:rsidRPr="00C8168C">
        <w:t>о</w:t>
      </w:r>
      <w:r w:rsidRPr="00C8168C">
        <w:t>гласовании), а также инициативы по мониторингу и укреплению поте</w:t>
      </w:r>
      <w:r w:rsidRPr="00C8168C">
        <w:t>н</w:t>
      </w:r>
      <w:r w:rsidRPr="00C8168C">
        <w:t>циала в целях содействия надлежащему применению этой Конвенции на национальном уровне;</w:t>
      </w:r>
    </w:p>
    <w:p w:rsidR="00C8168C" w:rsidRPr="00C8168C" w:rsidRDefault="00C8168C" w:rsidP="00C15CAD">
      <w:pPr>
        <w:pStyle w:val="Bullet1GR"/>
      </w:pPr>
      <w:r w:rsidRPr="00C8168C">
        <w:t>деятельность и достижения в контексте Конвенции МДП и функционир</w:t>
      </w:r>
      <w:r w:rsidRPr="00C8168C">
        <w:t>о</w:t>
      </w:r>
      <w:r w:rsidRPr="00C8168C">
        <w:t>вания системы МДП, включая текущие сообщения о нарушениях в управлении финансовой системой Международного союза автомобильн</w:t>
      </w:r>
      <w:r w:rsidRPr="00C8168C">
        <w:t>о</w:t>
      </w:r>
      <w:r w:rsidRPr="00C8168C">
        <w:t>го транспорта (МСАТ);</w:t>
      </w:r>
    </w:p>
    <w:p w:rsidR="00C8168C" w:rsidRPr="00C8168C" w:rsidRDefault="00C8168C" w:rsidP="00C15CAD">
      <w:pPr>
        <w:pStyle w:val="Bullet1GR"/>
      </w:pPr>
      <w:r w:rsidRPr="00C8168C">
        <w:t>прогресс, достигнутый в работе над осуществлением проекта eTIR, ход разработки проекта приложения 11 к конвенции в целях создания прав</w:t>
      </w:r>
      <w:r w:rsidRPr="00C8168C">
        <w:t>о</w:t>
      </w:r>
      <w:r w:rsidRPr="00C8168C">
        <w:t>вой основы для практического применения компьютеризованной проц</w:t>
      </w:r>
      <w:r w:rsidRPr="00C8168C">
        <w:t>е</w:t>
      </w:r>
      <w:r w:rsidRPr="00C8168C">
        <w:t>дуры МДП и успешное завершение совместного экспериментального проекта ЕЭК ООН и МСАТ между Ираном (Исламской Республикой) и Турцией;</w:t>
      </w:r>
    </w:p>
    <w:p w:rsidR="00C8168C" w:rsidRPr="00C8168C" w:rsidRDefault="00C8168C" w:rsidP="00C15CAD">
      <w:pPr>
        <w:pStyle w:val="Bullet1GR"/>
      </w:pPr>
      <w:r w:rsidRPr="00C8168C">
        <w:t>подписание 26 сентября 2017 года на пятилетний срок меморандума о взаимопонимании (МОВ) относительно сотрудничества между ЕЭК ООН и МСАТ в области компьютеризации процедуры МДП. МОВ опирается на соглашение о взносах (СВ), которое предназначено для финансирования деятельности ЕЭК ООН, связанной с проектами eTIR, например постоя</w:t>
      </w:r>
      <w:r w:rsidRPr="00C8168C">
        <w:t>н</w:t>
      </w:r>
      <w:r w:rsidRPr="00C8168C">
        <w:t>ного совершенствования и эксплуатационного обслуживания междун</w:t>
      </w:r>
      <w:r w:rsidRPr="00C8168C">
        <w:t>а</w:t>
      </w:r>
      <w:r w:rsidRPr="00C8168C">
        <w:t>родной системы eTIR;</w:t>
      </w:r>
    </w:p>
    <w:p w:rsidR="00C8168C" w:rsidRPr="00C8168C" w:rsidRDefault="00C8168C" w:rsidP="00C15CAD">
      <w:pPr>
        <w:pStyle w:val="Bullet1GR"/>
      </w:pPr>
      <w:r w:rsidRPr="00C8168C">
        <w:t>достижения в связи с разработкой новой конвенции об облегчении усл</w:t>
      </w:r>
      <w:r w:rsidRPr="00C8168C">
        <w:t>о</w:t>
      </w:r>
      <w:r w:rsidRPr="00C8168C">
        <w:t>вий пересечения государственных границ при международной железн</w:t>
      </w:r>
      <w:r w:rsidRPr="00C8168C">
        <w:t>о</w:t>
      </w:r>
      <w:r w:rsidRPr="00C8168C">
        <w:t>дорожной перевозке пассажиров, багажа и товаробагажа;</w:t>
      </w:r>
    </w:p>
    <w:p w:rsidR="00C8168C" w:rsidRPr="00C8168C" w:rsidRDefault="00C8168C" w:rsidP="00C15CAD">
      <w:pPr>
        <w:pStyle w:val="Bullet1GR"/>
      </w:pPr>
      <w:r w:rsidRPr="00C8168C">
        <w:t>текущие вопросы, связанные с применением Таможенной конвенции о временном ввозе частных дорожных перевозочных средств 1954 года в Египте и Иордании;</w:t>
      </w:r>
    </w:p>
    <w:p w:rsidR="00C8168C" w:rsidRPr="00C8168C" w:rsidRDefault="00C8168C" w:rsidP="00C15CAD">
      <w:pPr>
        <w:pStyle w:val="Bullet1GR"/>
      </w:pPr>
      <w:r w:rsidRPr="00C8168C">
        <w:t>пути повышения влияния Рабочей группы в решении текущих проблем и использовании возможностей в глобальном контексте.</w:t>
      </w:r>
    </w:p>
    <w:p w:rsidR="00C8168C" w:rsidRPr="00C8168C" w:rsidRDefault="00C8168C" w:rsidP="00C15CAD">
      <w:pPr>
        <w:pStyle w:val="HChGR"/>
      </w:pPr>
      <w:r w:rsidRPr="00C8168C">
        <w:tab/>
        <w:t>II.</w:t>
      </w:r>
      <w:r w:rsidRPr="00C8168C">
        <w:tab/>
        <w:t>Конвенция о согласовании</w:t>
      </w:r>
    </w:p>
    <w:p w:rsidR="00C8168C" w:rsidRPr="00C8168C" w:rsidRDefault="00C8168C" w:rsidP="00C8168C">
      <w:pPr>
        <w:pStyle w:val="SingleTxtGR"/>
      </w:pPr>
      <w:r w:rsidRPr="00C8168C">
        <w:t>3.</w:t>
      </w:r>
      <w:r w:rsidRPr="00C8168C">
        <w:tab/>
        <w:t>Комитет, возможно, пожелает отметить, что в 2017 году не было новых актов присоединения к Международной конвенции о согласовании условий проведения контроля грузов на границах 1982 года (</w:t>
      </w:r>
      <w:r w:rsidR="002D57AE">
        <w:t>«</w:t>
      </w:r>
      <w:r w:rsidRPr="00C8168C">
        <w:t>Конвенция о согласов</w:t>
      </w:r>
      <w:r w:rsidRPr="00C8168C">
        <w:t>а</w:t>
      </w:r>
      <w:r w:rsidRPr="00C8168C">
        <w:lastRenderedPageBreak/>
        <w:t>нии</w:t>
      </w:r>
      <w:r w:rsidR="002D57AE">
        <w:t>»</w:t>
      </w:r>
      <w:r w:rsidRPr="00C8168C">
        <w:t>). Таким образом, с момента вступления в силу Конвенции о согласовании для Туркменистана</w:t>
      </w:r>
      <w:r w:rsidRPr="00C8168C" w:rsidDel="00681D9A">
        <w:t xml:space="preserve"> </w:t>
      </w:r>
      <w:r w:rsidRPr="00C8168C">
        <w:t>27 февраля 2017 года ее участниками по-прежнему являю</w:t>
      </w:r>
      <w:r w:rsidRPr="00C8168C">
        <w:t>т</w:t>
      </w:r>
      <w:r w:rsidRPr="00C8168C">
        <w:t xml:space="preserve">ся 58 Договаривающихся сторон. </w:t>
      </w:r>
    </w:p>
    <w:p w:rsidR="00C8168C" w:rsidRPr="00C8168C" w:rsidRDefault="00C8168C" w:rsidP="00C15CAD">
      <w:pPr>
        <w:pStyle w:val="H1GR"/>
      </w:pPr>
      <w:r w:rsidRPr="00C8168C">
        <w:tab/>
        <w:t>A.</w:t>
      </w:r>
      <w:r w:rsidRPr="00C8168C">
        <w:tab/>
        <w:t>Двухгодичное обследование по вопросу об осуществлении приложения 8, касающегося пересечения границ в ходе международных автомобильных перевозок</w:t>
      </w:r>
    </w:p>
    <w:p w:rsidR="00C8168C" w:rsidRPr="00C8168C" w:rsidRDefault="00C8168C" w:rsidP="00C8168C">
      <w:pPr>
        <w:pStyle w:val="SingleTxtGR"/>
      </w:pPr>
      <w:r w:rsidRPr="00C8168C">
        <w:t>4.</w:t>
      </w:r>
      <w:r w:rsidRPr="00C8168C">
        <w:tab/>
        <w:t>Комитет, возможно, пожелает напомнить о том, что согласно статье 7 приложения 8 к Конвенции о согласовании секретариату поручено один раз в два года проводить обследование осуществления на национальном уровне п</w:t>
      </w:r>
      <w:r w:rsidRPr="00C8168C">
        <w:t>о</w:t>
      </w:r>
      <w:r w:rsidRPr="00C8168C">
        <w:t>ложений приложения 8, касающегося пересечения границ в ходе автомобил</w:t>
      </w:r>
      <w:r w:rsidRPr="00C8168C">
        <w:t>ь</w:t>
      </w:r>
      <w:r w:rsidRPr="00C8168C">
        <w:t>ных перевозок. Комитет, возможно, пожелает отметить, что последний раз т</w:t>
      </w:r>
      <w:r w:rsidRPr="00C8168C">
        <w:t>а</w:t>
      </w:r>
      <w:r w:rsidRPr="00C8168C">
        <w:t>кое обследование проводилось секретариатом в ноябре 2016 года и что после рассылки напоминаний Договаривающимся сторонам было предложено пр</w:t>
      </w:r>
      <w:r w:rsidRPr="00C8168C">
        <w:t>и</w:t>
      </w:r>
      <w:r w:rsidRPr="00C8168C">
        <w:t>слать свои ответы до 20 марта 2017 года. Рабочая группа обсудила основные выводы обследования на своей 146-й сессии (июнь 2017 года) и установила, что полученные результаты свидетельствуют о том, что Договаривающиеся стор</w:t>
      </w:r>
      <w:r w:rsidRPr="00C8168C">
        <w:t>о</w:t>
      </w:r>
      <w:r w:rsidRPr="00C8168C">
        <w:t>ны успешно осуществляют ряд положений приложения 8. Вместе с тем все еще необходимо принять дополнительные меры в отношении, в том числе, следу</w:t>
      </w:r>
      <w:r w:rsidRPr="00C8168C">
        <w:t>ю</w:t>
      </w:r>
      <w:r w:rsidRPr="00C8168C">
        <w:t>щих тем: a) использование международного весового сертификата транспортн</w:t>
      </w:r>
      <w:r w:rsidRPr="00C8168C">
        <w:t>о</w:t>
      </w:r>
      <w:r w:rsidRPr="00C8168C">
        <w:t>го средства (МВСТС), b) упрощение процедур выдачи виз, c) перевод процедур контроля из пограничных контрольно-пропускных пунктов в места отправления или места назначения, d) присоединение к Соглашению о принятии единоо</w:t>
      </w:r>
      <w:r w:rsidRPr="00C8168C">
        <w:t>б</w:t>
      </w:r>
      <w:r w:rsidRPr="00C8168C">
        <w:t>разных условий для периодических технических осмотров колесных тран</w:t>
      </w:r>
      <w:r w:rsidRPr="00C8168C">
        <w:t>с</w:t>
      </w:r>
      <w:r w:rsidRPr="00C8168C">
        <w:t>портных средств и о взаимном признании таких осмотров (1997 год) и e) пр</w:t>
      </w:r>
      <w:r w:rsidRPr="00C8168C">
        <w:t>и</w:t>
      </w:r>
      <w:r w:rsidRPr="00C8168C">
        <w:t>знание Международного сертификата технического осмотра. В ответ на вопрос Европейского союза о возможности повторного проведения обследования через более длительные интервалы времени и о пересмотре вопросов секретариат с</w:t>
      </w:r>
      <w:r w:rsidRPr="00C8168C">
        <w:t>о</w:t>
      </w:r>
      <w:r w:rsidRPr="00C8168C">
        <w:t>общил, что юридически он обязан проводить обследование каждые два года и что вопросы задаются в одинаковой формулировке для обеспечения эффекти</w:t>
      </w:r>
      <w:r w:rsidRPr="00C8168C">
        <w:t>в</w:t>
      </w:r>
      <w:r w:rsidRPr="00C8168C">
        <w:t>ного сопоставления с ответами в предыдущих обзорах. Секретариат предложил продолжить обсуждение данного вопроса на предстоящей сессии AC.3 (кот</w:t>
      </w:r>
      <w:r w:rsidRPr="00C8168C">
        <w:t>о</w:t>
      </w:r>
      <w:r w:rsidRPr="00C8168C">
        <w:t>рая, возможно, состоится в 2018 году) (см. ECE/TRANS/WP.30/292, пункт 42).</w:t>
      </w:r>
    </w:p>
    <w:p w:rsidR="00C8168C" w:rsidRPr="00C8168C" w:rsidRDefault="00C8168C" w:rsidP="00C15CAD">
      <w:pPr>
        <w:pStyle w:val="H1GR"/>
      </w:pPr>
      <w:r w:rsidRPr="00C8168C">
        <w:tab/>
        <w:t>B.</w:t>
      </w:r>
      <w:r w:rsidRPr="00C8168C">
        <w:tab/>
        <w:t xml:space="preserve">Новое приложение 10 к Конвенции о согласовании, касающееся морских портов </w:t>
      </w:r>
    </w:p>
    <w:p w:rsidR="00C8168C" w:rsidRPr="00C8168C" w:rsidRDefault="00C8168C" w:rsidP="00C8168C">
      <w:pPr>
        <w:pStyle w:val="SingleTxtGR"/>
      </w:pPr>
      <w:r w:rsidRPr="00C8168C">
        <w:t>5.</w:t>
      </w:r>
      <w:r w:rsidRPr="00C8168C">
        <w:tab/>
        <w:t>В 2017 году Рабочая группа продолжила усилия по разработке нового приложения к Конвенции о согласовании, касающегося пограничных процедур в морских портах. В то время как некоторые делегации по-прежнему настаив</w:t>
      </w:r>
      <w:r w:rsidRPr="00C8168C">
        <w:t>а</w:t>
      </w:r>
      <w:r w:rsidRPr="00C8168C">
        <w:t>ли на актуальности новых предлагаемых проектов, в частности для развития связей между портами и внутренними регионами в рамках производственно-сбытовой цепочки, другие делегации заявили, что сомневаются в целесообра</w:t>
      </w:r>
      <w:r w:rsidRPr="00C8168C">
        <w:t>з</w:t>
      </w:r>
      <w:r w:rsidRPr="00C8168C">
        <w:t>ности проекта приложения 10, особенно если учитывать действующую Конве</w:t>
      </w:r>
      <w:r w:rsidRPr="00C8168C">
        <w:t>н</w:t>
      </w:r>
      <w:r w:rsidRPr="00C8168C">
        <w:t>цию по облегчению международного морского судоходства (ФАЛ) Междун</w:t>
      </w:r>
      <w:r w:rsidRPr="00C8168C">
        <w:t>а</w:t>
      </w:r>
      <w:r w:rsidRPr="00C8168C">
        <w:t>родной морской организации (ИМО), и предупредили о том, что его принятие может привести к правовой путанице или даже возникновению противоречий (см. ECE/TRANS/WP.30/290, пункты. 32 и 33). На 146-й сессии Рабочей группы (июнь 2017 года) делегации Бельгии, Германии и Нидерландов, где располож</w:t>
      </w:r>
      <w:r w:rsidRPr="00C8168C">
        <w:t>е</w:t>
      </w:r>
      <w:r w:rsidRPr="00C8168C">
        <w:t>ны крупнейшие в ЕС морские порты, заявили, что после консультаций с соо</w:t>
      </w:r>
      <w:r w:rsidRPr="00C8168C">
        <w:t>т</w:t>
      </w:r>
      <w:r w:rsidRPr="00C8168C">
        <w:t>ветствующими компетентными министерствами остаются серьезные сомнения в отношении полезности и целесообразности разработки проекта приложения к Конвенции о согласовании, касающегося портов. Делегация Италии поддержала эту позицию. Делегация Российской Федерации заявила, что, по ее мнению, проект носит преимущественно декларативный характер и не содержит юрид</w:t>
      </w:r>
      <w:r w:rsidRPr="00C8168C">
        <w:t>и</w:t>
      </w:r>
      <w:r w:rsidRPr="00C8168C">
        <w:t>чески обязывающих положений. Она также выразила сомнение в целесообра</w:t>
      </w:r>
      <w:r w:rsidRPr="00C8168C">
        <w:t>з</w:t>
      </w:r>
      <w:r w:rsidRPr="00C8168C">
        <w:lastRenderedPageBreak/>
        <w:t>ности проекта приложения 10 в сравнении с Конвенцией ФАЛ ИМО. Кроме т</w:t>
      </w:r>
      <w:r w:rsidRPr="00C8168C">
        <w:t>о</w:t>
      </w:r>
      <w:r w:rsidRPr="00C8168C">
        <w:t>го, она поставила под сомнение участие ЕЭК ООН в этой области, поскольку рассматриваемые вопросы, по всей видимости, относятся к компетенции ИМО. В итоге Рабочая группа констатировала, что при наличии искреннего желания выполнить четкий запрос со стороны КВТ и должном учете всех усилий, затр</w:t>
      </w:r>
      <w:r w:rsidRPr="00C8168C">
        <w:t>а</w:t>
      </w:r>
      <w:r w:rsidRPr="00C8168C">
        <w:t>ченных до настоящего времени на подготовку приемлемого проекта, в связи с декларативным и однообразным характером текста был сделан вывод об отсу</w:t>
      </w:r>
      <w:r w:rsidRPr="00C8168C">
        <w:t>т</w:t>
      </w:r>
      <w:r w:rsidRPr="00C8168C">
        <w:t>ствии среди участников WP.30 достаточной поддержки для продолжения этой работы. В силу этого Рабочая группа поручила секретариату исключить данный пункт из повестки дня и проинформировать об этом КВТ на его сессии 2018 г</w:t>
      </w:r>
      <w:r w:rsidRPr="00C8168C">
        <w:t>о</w:t>
      </w:r>
      <w:r w:rsidRPr="00C8168C">
        <w:t>да. Наконец, Рабочая группа поручила секретариату при первой же возможн</w:t>
      </w:r>
      <w:r w:rsidRPr="00C8168C">
        <w:t>о</w:t>
      </w:r>
      <w:r w:rsidRPr="00C8168C">
        <w:t>сти созвать заседание Административного комитета Конвенции о согласовании (АС.3) для подтверждения ее решения (см. ECE/TRANS/WP.30/292, пунк</w:t>
      </w:r>
      <w:r w:rsidR="00D402B5">
        <w:t>-</w:t>
      </w:r>
      <w:r w:rsidR="00D402B5">
        <w:br/>
      </w:r>
      <w:r w:rsidRPr="00C8168C">
        <w:t>ты 39</w:t>
      </w:r>
      <w:r w:rsidR="00D402B5">
        <w:t>–</w:t>
      </w:r>
      <w:r w:rsidRPr="00C8168C">
        <w:t>41).</w:t>
      </w:r>
    </w:p>
    <w:p w:rsidR="00C8168C" w:rsidRPr="00C8168C" w:rsidRDefault="00C8168C" w:rsidP="00C15CAD">
      <w:pPr>
        <w:pStyle w:val="HChGR"/>
      </w:pPr>
      <w:r w:rsidRPr="00C8168C">
        <w:tab/>
        <w:t>III.</w:t>
      </w:r>
      <w:r w:rsidRPr="00C8168C">
        <w:tab/>
        <w:t xml:space="preserve">Конвенция МДП </w:t>
      </w:r>
    </w:p>
    <w:p w:rsidR="00C8168C" w:rsidRPr="00C8168C" w:rsidRDefault="00C8168C" w:rsidP="00C8168C">
      <w:pPr>
        <w:pStyle w:val="SingleTxtGR"/>
      </w:pPr>
      <w:r w:rsidRPr="00C8168C">
        <w:t>6.</w:t>
      </w:r>
      <w:r w:rsidRPr="00C8168C">
        <w:tab/>
        <w:t>15 июня 2017 года Генеральный секретарь Организации Объединенных Наций, выступая в качестве депозитария, издал уведомление депозитария C.N.317.2017.TREATIES-XI.A.16, в котором сообщается, что 15 июня 2017 года правительство Индии сдало на хранение свои документы о присоединении к Конвенции МДП 1975 года. В соответствии с пунктом 2 статьи 53 датой всту</w:t>
      </w:r>
      <w:r w:rsidRPr="00C8168C">
        <w:t>п</w:t>
      </w:r>
      <w:r w:rsidRPr="00C8168C">
        <w:t>ления Конвенции в силу для Индии является 15 декабря 2017 года. После пр</w:t>
      </w:r>
      <w:r w:rsidRPr="00C8168C">
        <w:t>и</w:t>
      </w:r>
      <w:r w:rsidRPr="00C8168C">
        <w:t xml:space="preserve">соединения Индии Конвенция МДП будет насчитывать 71 Договаривающуюся сторону. </w:t>
      </w:r>
    </w:p>
    <w:p w:rsidR="00C8168C" w:rsidRPr="00C8168C" w:rsidRDefault="00C8168C" w:rsidP="00C8168C">
      <w:pPr>
        <w:pStyle w:val="SingleTxtGR"/>
      </w:pPr>
      <w:r w:rsidRPr="00C8168C">
        <w:t>7.</w:t>
      </w:r>
      <w:r w:rsidRPr="00C8168C">
        <w:tab/>
        <w:t>В 2017 году WP.30 и Административный комитет МДП (АС.2) не пр</w:t>
      </w:r>
      <w:r w:rsidRPr="00C8168C">
        <w:t>е</w:t>
      </w:r>
      <w:r w:rsidRPr="00C8168C">
        <w:t>кращали усилий по рассмотрению и доработке исчерпывающего набора пре</w:t>
      </w:r>
      <w:r w:rsidRPr="00C8168C">
        <w:t>д</w:t>
      </w:r>
      <w:r w:rsidRPr="00C8168C">
        <w:t>ложений по поправкам к Конвенции МДП. На своей шестьдесят шестой сессии (октябрь 2017 года) AC.2 принял набор п</w:t>
      </w:r>
      <w:r w:rsidR="00FC3CDE">
        <w:t>редложений, который включает, в</w:t>
      </w:r>
      <w:r w:rsidR="00FC3CDE">
        <w:rPr>
          <w:lang w:val="en-US"/>
        </w:rPr>
        <w:t> </w:t>
      </w:r>
      <w:r w:rsidRPr="00C8168C">
        <w:t>частности:</w:t>
      </w:r>
    </w:p>
    <w:p w:rsidR="00C8168C" w:rsidRPr="00C8168C" w:rsidRDefault="00C8168C" w:rsidP="00D402B5">
      <w:pPr>
        <w:pStyle w:val="Bullet1GR"/>
      </w:pPr>
      <w:r w:rsidRPr="00C8168C">
        <w:t>увеличение рекомендуемой максимальной суммы, которая может быть истребована от гарантийного объединения, с</w:t>
      </w:r>
      <w:r w:rsidR="00D402B5">
        <w:t xml:space="preserve"> 50 тыс</w:t>
      </w:r>
      <w:r w:rsidRPr="00C8168C">
        <w:t xml:space="preserve"> долл. США до 100</w:t>
      </w:r>
      <w:r w:rsidR="00D402B5">
        <w:t> тыс</w:t>
      </w:r>
      <w:r w:rsidRPr="00C8168C">
        <w:t xml:space="preserve"> евро;</w:t>
      </w:r>
    </w:p>
    <w:p w:rsidR="00C8168C" w:rsidRPr="00C8168C" w:rsidRDefault="00C8168C" w:rsidP="00D402B5">
      <w:pPr>
        <w:pStyle w:val="Bullet1GR"/>
      </w:pPr>
      <w:r w:rsidRPr="00C8168C">
        <w:t>предоставление АС.2 дополнительных возможностей для рассмотрения проверенных финансовых ведомостей, которые ежегодно представляются международными организациями, имеющими полномочия управлять международной системой гарантий, а также печатать и распространять книжки МДП, включая право ходатайствовать о проведении дополн</w:t>
      </w:r>
      <w:r w:rsidRPr="00C8168C">
        <w:t>и</w:t>
      </w:r>
      <w:r w:rsidRPr="00C8168C">
        <w:t>тельного рассмотрения;</w:t>
      </w:r>
    </w:p>
    <w:p w:rsidR="00C8168C" w:rsidRPr="00C8168C" w:rsidRDefault="00C8168C" w:rsidP="00D402B5">
      <w:pPr>
        <w:pStyle w:val="Bullet1GR"/>
      </w:pPr>
      <w:r w:rsidRPr="00C8168C">
        <w:t>изменение предъявляемых международным организациям требований, касающихся ведения учетной документации и привлечения независимого внешнего аудитора;</w:t>
      </w:r>
    </w:p>
    <w:p w:rsidR="00C8168C" w:rsidRPr="00C8168C" w:rsidRDefault="00C8168C" w:rsidP="00D402B5">
      <w:pPr>
        <w:pStyle w:val="Bullet1GR"/>
      </w:pPr>
      <w:r w:rsidRPr="00C8168C">
        <w:t xml:space="preserve">включение термина </w:t>
      </w:r>
      <w:r w:rsidR="002D57AE">
        <w:t>«</w:t>
      </w:r>
      <w:r w:rsidRPr="00C8168C">
        <w:t>таможенных</w:t>
      </w:r>
      <w:r w:rsidR="002D57AE">
        <w:t>»</w:t>
      </w:r>
      <w:r w:rsidRPr="00C8168C">
        <w:t xml:space="preserve"> перед </w:t>
      </w:r>
      <w:r w:rsidR="002D57AE">
        <w:t>«</w:t>
      </w:r>
      <w:r w:rsidRPr="00C8168C">
        <w:t>границ</w:t>
      </w:r>
      <w:r w:rsidR="002D57AE">
        <w:t>»</w:t>
      </w:r>
      <w:r w:rsidRPr="00C8168C">
        <w:t xml:space="preserve"> в статье 2 Конвенции, в которой разъясняется, что положения Конвенции МДП применяются при условии пересечения по крайней мере одной таможенной границы. По просьбе делегации Казахстана</w:t>
      </w:r>
      <w:r w:rsidR="00C15EBA">
        <w:t>,</w:t>
      </w:r>
      <w:r w:rsidRPr="00C8168C">
        <w:t xml:space="preserve"> это предложение представлено деп</w:t>
      </w:r>
      <w:r w:rsidRPr="00C8168C">
        <w:t>о</w:t>
      </w:r>
      <w:r w:rsidRPr="00C8168C">
        <w:t>зитарию отдельно, с тем чтобы не ставить под угрозу принятие всеоб</w:t>
      </w:r>
      <w:r w:rsidRPr="00C8168C">
        <w:t>ъ</w:t>
      </w:r>
      <w:r w:rsidRPr="00C8168C">
        <w:t>емлющего набора других принятых поправок.</w:t>
      </w:r>
    </w:p>
    <w:p w:rsidR="00C8168C" w:rsidRPr="00C8168C" w:rsidRDefault="00C8168C" w:rsidP="00C15CAD">
      <w:pPr>
        <w:pStyle w:val="H1GR"/>
      </w:pPr>
      <w:r w:rsidRPr="00C8168C">
        <w:tab/>
        <w:t>A.</w:t>
      </w:r>
      <w:r w:rsidRPr="00C8168C">
        <w:tab/>
        <w:t>Международный банк данных МДП и электронные инструменты секретариата МДП</w:t>
      </w:r>
    </w:p>
    <w:p w:rsidR="00C8168C" w:rsidRPr="00C8168C" w:rsidRDefault="00C8168C" w:rsidP="00C8168C">
      <w:pPr>
        <w:pStyle w:val="SingleTxtGR"/>
      </w:pPr>
      <w:r w:rsidRPr="00C8168C">
        <w:t>8.</w:t>
      </w:r>
      <w:r w:rsidRPr="00C8168C">
        <w:tab/>
        <w:t>В 2015 году секретариат приступил к реализации проекта создания нов</w:t>
      </w:r>
      <w:r w:rsidRPr="00C8168C">
        <w:t>о</w:t>
      </w:r>
      <w:r w:rsidRPr="00C8168C">
        <w:t>го международного банка данных МДП (МБДМДП), призванного объединить все электронные приложения, находящиеся в настоящее время в ведении секр</w:t>
      </w:r>
      <w:r w:rsidRPr="00C8168C">
        <w:t>е</w:t>
      </w:r>
      <w:r w:rsidRPr="00C8168C">
        <w:lastRenderedPageBreak/>
        <w:t>тариата МДП. В 2016 году начался первый этап этого проекта, предусматрив</w:t>
      </w:r>
      <w:r w:rsidRPr="00C8168C">
        <w:t>а</w:t>
      </w:r>
      <w:r w:rsidRPr="00C8168C">
        <w:t>ющий замену нынешних прикладных программ (МБДМДПонлайн+, веб-службы МБДМДП и Реестр устройств наложения таможенных пломб и там</w:t>
      </w:r>
      <w:r w:rsidRPr="00C8168C">
        <w:t>о</w:t>
      </w:r>
      <w:r w:rsidRPr="00C8168C">
        <w:t>женных печатей ЕЭК ООН). В 2017 году начали действовать новый МБДМДП и новая веб-служба МБДМДП. В течение нескольких месяцев число пользоват</w:t>
      </w:r>
      <w:r w:rsidRPr="00C8168C">
        <w:t>е</w:t>
      </w:r>
      <w:r w:rsidRPr="00C8168C">
        <w:t xml:space="preserve">лей нового МБДМДП по сравнению с предыдущим вариантом возросло втрое. В настоящее время в МБДМДП содержатся данные примерно о </w:t>
      </w:r>
      <w:r w:rsidR="00C15EBA">
        <w:t>34 тыс</w:t>
      </w:r>
      <w:r w:rsidRPr="00C8168C">
        <w:t xml:space="preserve"> уполн</w:t>
      </w:r>
      <w:r w:rsidRPr="00C8168C">
        <w:t>о</w:t>
      </w:r>
      <w:r w:rsidRPr="00C8168C">
        <w:t xml:space="preserve">моченных держателей книжек МДП. В качестве следующего шага в настоящее время разрабатывается модуль учета таможенного хранения, который выйдет, как ожидается, в начале 2018 года. </w:t>
      </w:r>
    </w:p>
    <w:p w:rsidR="00C8168C" w:rsidRPr="00C8168C" w:rsidRDefault="00C8168C" w:rsidP="00C15CAD">
      <w:pPr>
        <w:pStyle w:val="H1GR"/>
      </w:pPr>
      <w:r w:rsidRPr="00C8168C">
        <w:tab/>
        <w:t>B.</w:t>
      </w:r>
      <w:r w:rsidRPr="00C8168C">
        <w:tab/>
        <w:t>Национальные и региональные рабочие совещания и</w:t>
      </w:r>
      <w:r w:rsidR="00C15EBA">
        <w:t> </w:t>
      </w:r>
      <w:r w:rsidRPr="00C8168C">
        <w:t>семинары МДП</w:t>
      </w:r>
    </w:p>
    <w:p w:rsidR="00C8168C" w:rsidRPr="00C8168C" w:rsidRDefault="00C8168C" w:rsidP="00C8168C">
      <w:pPr>
        <w:pStyle w:val="SingleTxtGR"/>
      </w:pPr>
      <w:r w:rsidRPr="00C8168C">
        <w:t>9.</w:t>
      </w:r>
      <w:r w:rsidRPr="00C8168C">
        <w:tab/>
        <w:t>За время, прошедшее после предыдущей сессии Комитета в феврале 2017</w:t>
      </w:r>
      <w:r w:rsidR="00C15EBA">
        <w:t> </w:t>
      </w:r>
      <w:r w:rsidRPr="00C8168C">
        <w:t>года, секретариат МДП принял участие в следующих мероприятиях: a) з</w:t>
      </w:r>
      <w:r w:rsidRPr="00C8168C">
        <w:t>а</w:t>
      </w:r>
      <w:r w:rsidRPr="00C8168C">
        <w:t>седание Административного комитета Таможенной конвенции о контейнерах 1972 года (Брюссель, 27 и 28 февраля 2017 года); b) совещание высокого уровня для стран евро-азиатского региона по укреплению сотрудничества в решении вопросов, касающихся транзита, упрощения процедур торговли и Повестки дня в области устойчивого развития на период до 2030 года (Ханой, 7–9 марта 2017</w:t>
      </w:r>
      <w:r w:rsidR="00C15EBA">
        <w:t> </w:t>
      </w:r>
      <w:r w:rsidRPr="00C8168C">
        <w:t>года); с) семинар по вопросам автоматизации транзитных процедур и электронного обмена данными в контексте упрощения процедур торговли (Стамбул, 19 и 20 апреля 2017 года); d) семинар по региональному компьютер</w:t>
      </w:r>
      <w:r w:rsidRPr="00C8168C">
        <w:t>и</w:t>
      </w:r>
      <w:r w:rsidRPr="00C8168C">
        <w:t>зованному коридору МДП (Батуми, 11 и 12 мая 2017 года); e) Международный транспортный форум (Лейпциг, 31 мая</w:t>
      </w:r>
      <w:r w:rsidR="00C15EBA">
        <w:t xml:space="preserve"> </w:t>
      </w:r>
      <w:r w:rsidRPr="00C8168C">
        <w:t>–</w:t>
      </w:r>
      <w:r w:rsidR="00C15EBA">
        <w:t xml:space="preserve"> </w:t>
      </w:r>
      <w:r w:rsidRPr="00C8168C">
        <w:t>2 июня 2017 года); f) совещание с Е</w:t>
      </w:r>
      <w:r w:rsidRPr="00C8168C">
        <w:t>в</w:t>
      </w:r>
      <w:r w:rsidRPr="00C8168C">
        <w:t>ропейской комиссией по Таможенной базе данных (Брюссель, 30 мая 2017 г</w:t>
      </w:r>
      <w:r w:rsidRPr="00C8168C">
        <w:t>о</w:t>
      </w:r>
      <w:r w:rsidRPr="00C8168C">
        <w:t>да); g) совещание Группы экспертов по таможенным вопросам</w:t>
      </w:r>
      <w:r w:rsidRPr="00C8168C" w:rsidDel="0034202E">
        <w:t xml:space="preserve"> </w:t>
      </w:r>
      <w:r w:rsidRPr="00C8168C">
        <w:t xml:space="preserve">(CEG/TIR/01) (Брюссель, 31 мая 2017 года); h) Европейская конференция </w:t>
      </w:r>
      <w:r w:rsidR="002D57AE">
        <w:t>«</w:t>
      </w:r>
      <w:r w:rsidRPr="00C8168C">
        <w:t>Грэйлс</w:t>
      </w:r>
      <w:r w:rsidR="002D57AE">
        <w:t>»</w:t>
      </w:r>
      <w:r w:rsidRPr="00C8168C" w:rsidDel="0034202E">
        <w:t xml:space="preserve"> </w:t>
      </w:r>
      <w:r w:rsidRPr="00C8168C">
        <w:t>(GR8Conf) (Копенгаген, 1 и 2 июня 2017 года); i) конференция Всемирной таможенной о</w:t>
      </w:r>
      <w:r w:rsidRPr="00C8168C">
        <w:t>р</w:t>
      </w:r>
      <w:r w:rsidRPr="00C8168C">
        <w:t>ганизации по ИТ 2017 года (Тбилиси, 7–9 июня 2017 года); j) региональный практикум по повышению осведомленности об основных правовых документах Организации Объединенных Наций в области автомобильного транспорта (Брюссель, 4 июля 2017 года); k) Глобальная конференция по транзиту ВТамО (Брюссель, 10 и 11 июля 2017 года); l) совещание с ОТИФ по интермодальным аспектам Конвенции МДП (Берн, 25 сентября 2017 года); m) пятое совещание Межучрежденческой координационной группы по последующей деятельности в контексте реализации Венской программы действий для развивающихся стран, не имеющих выхода к морю, на десятилетие 2014</w:t>
      </w:r>
      <w:r w:rsidR="001C2007">
        <w:t>–</w:t>
      </w:r>
      <w:r w:rsidRPr="00C8168C">
        <w:t>2024 годов (Нью-Йорк, 3–5 октября 2017 года); n) восьмое совещание Рабочей группы ВтамО по Соглашению об упрощении процедур торговли (Брюссель, 16–18 октября 2017</w:t>
      </w:r>
      <w:r w:rsidR="001C2007">
        <w:t> </w:t>
      </w:r>
      <w:r w:rsidRPr="00C8168C">
        <w:t>года).</w:t>
      </w:r>
    </w:p>
    <w:p w:rsidR="00C8168C" w:rsidRPr="00C8168C" w:rsidRDefault="00C8168C" w:rsidP="00C15CAD">
      <w:pPr>
        <w:pStyle w:val="HChGR"/>
      </w:pPr>
      <w:r w:rsidRPr="00C8168C">
        <w:tab/>
        <w:t>IV.</w:t>
      </w:r>
      <w:r w:rsidRPr="00C8168C">
        <w:tab/>
        <w:t>Достижения в связи с осуществлением Конвенции</w:t>
      </w:r>
      <w:r w:rsidR="001C2007">
        <w:t> </w:t>
      </w:r>
      <w:r w:rsidRPr="00C8168C">
        <w:t>МДП</w:t>
      </w:r>
    </w:p>
    <w:p w:rsidR="00C8168C" w:rsidRPr="00C8168C" w:rsidRDefault="00C8168C" w:rsidP="00C8168C">
      <w:pPr>
        <w:pStyle w:val="SingleTxtGR"/>
      </w:pPr>
      <w:r w:rsidRPr="00C8168C">
        <w:t>10.</w:t>
      </w:r>
      <w:r w:rsidRPr="00C8168C">
        <w:tab/>
        <w:t xml:space="preserve">В 2017 году продолжались многочисленные обвинения в адрес МСАТ и его руководства. МСАТ решительно и категорически отверг эти утверждения, а Президиум МСАТ распорядился о проведении компанией </w:t>
      </w:r>
      <w:r w:rsidR="002D57AE">
        <w:t>«</w:t>
      </w:r>
      <w:r w:rsidRPr="00C8168C">
        <w:t>Эрнст энд Янг</w:t>
      </w:r>
      <w:r w:rsidR="002D57AE">
        <w:t>»</w:t>
      </w:r>
      <w:r w:rsidRPr="00C8168C">
        <w:t xml:space="preserve"> н</w:t>
      </w:r>
      <w:r w:rsidRPr="00C8168C">
        <w:t>е</w:t>
      </w:r>
      <w:r w:rsidRPr="00C8168C">
        <w:t>зависимого внешнего аудита для оказания помощи в прояснении этих утве</w:t>
      </w:r>
      <w:r w:rsidRPr="00C8168C">
        <w:t>р</w:t>
      </w:r>
      <w:r w:rsidRPr="00C8168C">
        <w:t xml:space="preserve">ждений. По просьбе Договаривающихся сторон, резюме </w:t>
      </w:r>
      <w:r w:rsidR="002D57AE">
        <w:t>«</w:t>
      </w:r>
      <w:r w:rsidR="001C2007" w:rsidRPr="00C8168C">
        <w:t>О</w:t>
      </w:r>
      <w:r w:rsidRPr="00C8168C">
        <w:t>бзора системы управления и соблюдения районов и расследования по установлению фактов</w:t>
      </w:r>
      <w:r w:rsidR="002D57AE">
        <w:t>»</w:t>
      </w:r>
      <w:r w:rsidRPr="00C8168C">
        <w:t xml:space="preserve"> МСАТ было предоставлено правительствам через их соответствующие пост</w:t>
      </w:r>
      <w:r w:rsidRPr="00C8168C">
        <w:t>о</w:t>
      </w:r>
      <w:r w:rsidRPr="00C8168C">
        <w:t>янные представительства в Женеве. Позднее в этом же году после выполнения некоторых процедурных требований в помещениях МСАТ в Брюсселе, Женеве, Москве и Стамбуле можно было получить доступ ко всему докладу. По-</w:t>
      </w:r>
      <w:r w:rsidRPr="00C8168C">
        <w:lastRenderedPageBreak/>
        <w:t>видимому, на момент представления настоящего документа еще ни одна Дог</w:t>
      </w:r>
      <w:r w:rsidRPr="00C8168C">
        <w:t>о</w:t>
      </w:r>
      <w:r w:rsidRPr="00C8168C">
        <w:t>варивающаяся сторона не ознакомилась с полным текстом доклада.</w:t>
      </w:r>
    </w:p>
    <w:p w:rsidR="00C8168C" w:rsidRPr="00C8168C" w:rsidRDefault="00C8168C" w:rsidP="00C8168C">
      <w:pPr>
        <w:pStyle w:val="SingleTxtGR"/>
      </w:pPr>
      <w:r w:rsidRPr="00C8168C">
        <w:t>11.</w:t>
      </w:r>
      <w:r w:rsidRPr="00C8168C">
        <w:tab/>
        <w:t>На своих совещаниях в октябре 2017 года руководящие органы Конве</w:t>
      </w:r>
      <w:r w:rsidRPr="00C8168C">
        <w:t>н</w:t>
      </w:r>
      <w:r w:rsidRPr="00C8168C">
        <w:t>ции МДП были проинформированы о том, что МСАТ начал процесс выхода из договорных отношений и прекращения заключения контрактов с одним из двух национальных объединений Румынии – Румынской ассоциацией междунаро</w:t>
      </w:r>
      <w:r w:rsidRPr="00C8168C">
        <w:t>д</w:t>
      </w:r>
      <w:r w:rsidRPr="00C8168C">
        <w:t>ного автомобильного транспорта (</w:t>
      </w:r>
      <w:r w:rsidR="002D57AE">
        <w:t>«</w:t>
      </w:r>
      <w:r w:rsidRPr="00C8168C">
        <w:t>Associatia Româna Pentru Transporturi Rutiere Internationale</w:t>
      </w:r>
      <w:r w:rsidR="002D57AE">
        <w:t>»</w:t>
      </w:r>
      <w:r w:rsidRPr="00C8168C">
        <w:t>) (АРТРИ), что связано с позицией АРТРИ в отношении МСАТ. Руководящие органы МДП настоятельно призвали все заинтересованные стор</w:t>
      </w:r>
      <w:r w:rsidRPr="00C8168C">
        <w:t>о</w:t>
      </w:r>
      <w:r w:rsidRPr="00C8168C">
        <w:t>ны приложить все усилия к тому, чтобы обеспечить бесперебойное и эффекти</w:t>
      </w:r>
      <w:r w:rsidRPr="00C8168C">
        <w:t>в</w:t>
      </w:r>
      <w:r w:rsidRPr="00C8168C">
        <w:t>ное управление международной системой гарантий и одновременно предост</w:t>
      </w:r>
      <w:r w:rsidRPr="00C8168C">
        <w:t>а</w:t>
      </w:r>
      <w:r w:rsidRPr="00C8168C">
        <w:t>вить национальным объединениям полный доступ ко всем внутренним проц</w:t>
      </w:r>
      <w:r w:rsidRPr="00C8168C">
        <w:t>е</w:t>
      </w:r>
      <w:r w:rsidRPr="00C8168C">
        <w:t>дурам обжалования. Руководящие органы МДП считают, что удовлетворител</w:t>
      </w:r>
      <w:r w:rsidRPr="00C8168C">
        <w:t>ь</w:t>
      </w:r>
      <w:r w:rsidRPr="00C8168C">
        <w:t>ное решение может быть найдено, и это позволит не допустить возможного нарушения целостности международной гарантийной цепи.</w:t>
      </w:r>
    </w:p>
    <w:p w:rsidR="00C8168C" w:rsidRPr="00C8168C" w:rsidRDefault="00C8168C" w:rsidP="00C8168C">
      <w:pPr>
        <w:pStyle w:val="SingleTxtGR"/>
      </w:pPr>
      <w:r w:rsidRPr="00C8168C">
        <w:t>12.</w:t>
      </w:r>
      <w:r w:rsidRPr="00C8168C">
        <w:tab/>
        <w:t>9 ноября 2017 года МСАТ сообщил секретариату ЕЭК ООН, что после рассмотрения апелляции, состоявшегося 8 ноября 2017 года, Генеральная а</w:t>
      </w:r>
      <w:r w:rsidRPr="00C8168C">
        <w:t>с</w:t>
      </w:r>
      <w:r w:rsidRPr="00C8168C">
        <w:t>самблея МСАТ постановила исключить АРТРИ</w:t>
      </w:r>
      <w:r w:rsidRPr="00C8168C" w:rsidDel="002E4AC6">
        <w:t xml:space="preserve"> </w:t>
      </w:r>
      <w:r w:rsidRPr="00C8168C">
        <w:t xml:space="preserve">из числа своих членов. </w:t>
      </w:r>
    </w:p>
    <w:p w:rsidR="00C8168C" w:rsidRPr="00C8168C" w:rsidRDefault="00C8168C" w:rsidP="00C15CAD">
      <w:pPr>
        <w:pStyle w:val="HChGR"/>
      </w:pPr>
      <w:r w:rsidRPr="00C8168C">
        <w:tab/>
        <w:t>V.</w:t>
      </w:r>
      <w:r w:rsidRPr="00C8168C">
        <w:tab/>
        <w:t>Проекты eTIR</w:t>
      </w:r>
    </w:p>
    <w:p w:rsidR="00C8168C" w:rsidRPr="00C8168C" w:rsidRDefault="00C8168C" w:rsidP="00C15CAD">
      <w:pPr>
        <w:pStyle w:val="H1GR"/>
      </w:pPr>
      <w:r w:rsidRPr="00C8168C">
        <w:tab/>
        <w:t>A.</w:t>
      </w:r>
      <w:r w:rsidRPr="00C8168C">
        <w:tab/>
        <w:t>Экспериментальные проекты eTIR и новые шаги по пути к</w:t>
      </w:r>
      <w:r w:rsidR="00A1030A">
        <w:t> </w:t>
      </w:r>
      <w:r w:rsidRPr="00C8168C">
        <w:t>полной компьютеризации процедуры МДП</w:t>
      </w:r>
    </w:p>
    <w:p w:rsidR="00C8168C" w:rsidRPr="00C8168C" w:rsidRDefault="00C8168C" w:rsidP="00C8168C">
      <w:pPr>
        <w:pStyle w:val="SingleTxtGR"/>
      </w:pPr>
      <w:r w:rsidRPr="00C8168C">
        <w:t>13.</w:t>
      </w:r>
      <w:r w:rsidRPr="00C8168C">
        <w:tab/>
        <w:t>Экспериментальный проект eTIR ЕЭК ООН–МСАТ с участием Ирана (Исламской Республики) и Турции был успешно завершен в феврале 2017 года. Его результатом стало подписание 26 сентября 2017 года на пятилетний срок меморандума о взаимопонимании (МОВ) относительно сотрудничества между ЕЭК ООН и Международным союзом автомобильного транспорта (МСАТ) в о</w:t>
      </w:r>
      <w:r w:rsidRPr="00C8168C">
        <w:t>б</w:t>
      </w:r>
      <w:r w:rsidRPr="00C8168C">
        <w:t>ласти компьютеризации процедуры МДП. МОВ опирается на соглашение о взносах (СВ), направленное на обеспечение полной компьютеризации процед</w:t>
      </w:r>
      <w:r w:rsidRPr="00C8168C">
        <w:t>у</w:t>
      </w:r>
      <w:r w:rsidRPr="00C8168C">
        <w:t>ры МДП и подписанное в тот же день и на тот же срок. СВ предназначено для финансирования деятельности ЕЭК ООН, связанной с проектами eTIR, напр</w:t>
      </w:r>
      <w:r w:rsidRPr="00C8168C">
        <w:t>и</w:t>
      </w:r>
      <w:r w:rsidRPr="00C8168C">
        <w:t>мер постоянного совершенствования и эксплуатационного обслуживания ме</w:t>
      </w:r>
      <w:r w:rsidRPr="00C8168C">
        <w:t>ж</w:t>
      </w:r>
      <w:r w:rsidRPr="00C8168C">
        <w:t>дународной системы eTIR. Кроме того, на 147-й сессии WP.30 МСАТ подтве</w:t>
      </w:r>
      <w:r w:rsidRPr="00C8168C">
        <w:t>р</w:t>
      </w:r>
      <w:r w:rsidRPr="00C8168C">
        <w:t>дил свою готовность изменить СВ в случае необходимости внесения более зн</w:t>
      </w:r>
      <w:r w:rsidRPr="00C8168C">
        <w:t>а</w:t>
      </w:r>
      <w:r w:rsidRPr="00C8168C">
        <w:t>чительных средств для обеспечения скорейшей разработки и внедрения новых функциональных возможностей международной системы еTIR, на которые им</w:t>
      </w:r>
      <w:r w:rsidRPr="00C8168C">
        <w:t>е</w:t>
      </w:r>
      <w:r w:rsidRPr="00C8168C">
        <w:t>ется запрос Договаривающихся сторон, участвующих в реализации проектов еTIR. С учетом этих обстоятельств и со ссылкой на Совместное заявление о компьютеризации процедуры МДП, принятое в июне 2015 года Администр</w:t>
      </w:r>
      <w:r w:rsidRPr="00C8168C">
        <w:t>а</w:t>
      </w:r>
      <w:r w:rsidRPr="00C8168C">
        <w:t>тивным комитетом МДП, Комитету предлагается обратиться к Договарива</w:t>
      </w:r>
      <w:r w:rsidRPr="00C8168C">
        <w:t>ю</w:t>
      </w:r>
      <w:r w:rsidRPr="00C8168C">
        <w:t>щимся сторонам с настоятельным призывом принять необходимые меры по осуществлению модернизации систем управления таможенными ИКТ в целях обеспечения функционирования полностью компьютеризованной процедуры МДП.</w:t>
      </w:r>
    </w:p>
    <w:p w:rsidR="00C8168C" w:rsidRPr="00C8168C" w:rsidRDefault="00C8168C" w:rsidP="00C8168C">
      <w:pPr>
        <w:pStyle w:val="SingleTxtGR"/>
      </w:pPr>
      <w:r w:rsidRPr="00C8168C">
        <w:t>14.</w:t>
      </w:r>
      <w:r w:rsidRPr="00C8168C">
        <w:tab/>
        <w:t>Экспериментальный проект eTIR с участием Грузии и Турции по-прежнему находится в стадии осуществления, при этом будут приложены ус</w:t>
      </w:r>
      <w:r w:rsidRPr="00C8168C">
        <w:t>и</w:t>
      </w:r>
      <w:r w:rsidRPr="00C8168C">
        <w:t>лия к тому, чтобы включить данный проект в контекст общих усилий, напра</w:t>
      </w:r>
      <w:r w:rsidRPr="00C8168C">
        <w:t>в</w:t>
      </w:r>
      <w:r w:rsidRPr="00C8168C">
        <w:t>ленных на полную компьютеризацию процедуры МДП.</w:t>
      </w:r>
    </w:p>
    <w:p w:rsidR="00C8168C" w:rsidRPr="00C8168C" w:rsidRDefault="00C8168C" w:rsidP="00C15CAD">
      <w:pPr>
        <w:pStyle w:val="H1GR"/>
      </w:pPr>
      <w:r w:rsidRPr="00C8168C">
        <w:lastRenderedPageBreak/>
        <w:tab/>
        <w:t>B.</w:t>
      </w:r>
      <w:r w:rsidRPr="00C8168C">
        <w:tab/>
        <w:t>Достижения в работе Неофициальной специальной группы экспертов по концептуальным и техническим аспектам компьютеризации процедуры МДП</w:t>
      </w:r>
    </w:p>
    <w:p w:rsidR="00C8168C" w:rsidRPr="00C8168C" w:rsidRDefault="00C8168C" w:rsidP="00C8168C">
      <w:pPr>
        <w:pStyle w:val="SingleTxtGR"/>
      </w:pPr>
      <w:r w:rsidRPr="00C8168C">
        <w:t>15.</w:t>
      </w:r>
      <w:r w:rsidRPr="00C8168C">
        <w:tab/>
        <w:t>Двадцать шестая и двадцать седьмая сессии Неофициальной специальной группы экспертов по концептуальным и техническим аспектам компьютериз</w:t>
      </w:r>
      <w:r w:rsidRPr="00C8168C">
        <w:t>а</w:t>
      </w:r>
      <w:r w:rsidRPr="00C8168C">
        <w:t>ции процедуры МДП (WP.30/GE.1) состоялись 18 и 19 мая и 4 и 5 декабря 2017</w:t>
      </w:r>
      <w:r w:rsidR="00AC162B">
        <w:t> </w:t>
      </w:r>
      <w:r w:rsidRPr="00C8168C">
        <w:t>года в Женеве. На этих сессиях WP.30/GE.1 рассмотрела вариант 4.2</w:t>
      </w:r>
      <w:r w:rsidRPr="00C8168C">
        <w:rPr>
          <w:lang w:val="en-GB"/>
        </w:rPr>
        <w:t>a</w:t>
      </w:r>
      <w:r w:rsidRPr="00C8168C">
        <w:t xml:space="preserve"> ко</w:t>
      </w:r>
      <w:r w:rsidRPr="00C8168C">
        <w:t>н</w:t>
      </w:r>
      <w:r w:rsidRPr="00C8168C">
        <w:t>цептуальной, функциональной и технической документации eTIR и предлож</w:t>
      </w:r>
      <w:r w:rsidRPr="00C8168C">
        <w:t>е</w:t>
      </w:r>
      <w:r w:rsidRPr="00C8168C">
        <w:t>ния по поправкам, возникшие в результате экспериментальных проектов eTIR и работы Группы экспертов по правовым аспектам компьютер</w:t>
      </w:r>
      <w:r w:rsidR="00AC162B">
        <w:t>изации процедуры МДП (WP.30/GE.</w:t>
      </w:r>
      <w:r w:rsidRPr="00C8168C">
        <w:t>2).</w:t>
      </w:r>
    </w:p>
    <w:p w:rsidR="00C8168C" w:rsidRPr="00C8168C" w:rsidRDefault="00C8168C" w:rsidP="00C8168C">
      <w:pPr>
        <w:pStyle w:val="SingleTxtGR"/>
      </w:pPr>
      <w:r w:rsidRPr="00C8168C">
        <w:t>16.</w:t>
      </w:r>
      <w:r w:rsidRPr="00C8168C">
        <w:tab/>
        <w:t>На свое</w:t>
      </w:r>
      <w:r w:rsidR="00AC162B">
        <w:t>й</w:t>
      </w:r>
      <w:r w:rsidRPr="00C8168C">
        <w:t xml:space="preserve"> 147-й сессии WP.30 поручила секретариату обратиться к Ком</w:t>
      </w:r>
      <w:r w:rsidRPr="00C8168C">
        <w:t>и</w:t>
      </w:r>
      <w:r w:rsidRPr="00C8168C">
        <w:t xml:space="preserve">тету с просьбой о продлении мандата WP.30/GE.1 на 2018 год. </w:t>
      </w:r>
    </w:p>
    <w:p w:rsidR="00C8168C" w:rsidRPr="00C8168C" w:rsidRDefault="00C8168C" w:rsidP="00C15CAD">
      <w:pPr>
        <w:pStyle w:val="H1GR"/>
      </w:pPr>
      <w:r w:rsidRPr="00C8168C">
        <w:tab/>
        <w:t>C.</w:t>
      </w:r>
      <w:r w:rsidRPr="00C8168C">
        <w:tab/>
        <w:t>Прогресс в работе Группы экспертов по правовым аспектам компьютеризации процедуры МДП</w:t>
      </w:r>
    </w:p>
    <w:p w:rsidR="00C8168C" w:rsidRPr="00C8168C" w:rsidRDefault="00C8168C" w:rsidP="00C8168C">
      <w:pPr>
        <w:pStyle w:val="SingleTxtGR"/>
      </w:pPr>
      <w:r w:rsidRPr="00C8168C">
        <w:t>17.</w:t>
      </w:r>
      <w:r w:rsidRPr="00C8168C">
        <w:tab/>
        <w:t>WP.30/GE.2 провела свои четвертую и пятую сессии 16 и 17 мая и 30 и</w:t>
      </w:r>
      <w:r w:rsidR="00AC162B">
        <w:t> </w:t>
      </w:r>
      <w:r w:rsidRPr="00C8168C">
        <w:t>31</w:t>
      </w:r>
      <w:r w:rsidR="00AC162B">
        <w:t> </w:t>
      </w:r>
      <w:r w:rsidRPr="00C8168C">
        <w:t>октября 2017 года в Женеве. В соответствии со своим мандатом GE.2 ра</w:t>
      </w:r>
      <w:r w:rsidRPr="00C8168C">
        <w:t>з</w:t>
      </w:r>
      <w:r w:rsidRPr="00C8168C">
        <w:t>работала проект нормативно-правовой базы для внедрения компьютеризова</w:t>
      </w:r>
      <w:r w:rsidRPr="00C8168C">
        <w:t>н</w:t>
      </w:r>
      <w:r w:rsidRPr="00C8168C">
        <w:t>ной процедуры МДП (eTIR). Проект нормативно-правовой базы состоит, гла</w:t>
      </w:r>
      <w:r w:rsidRPr="00C8168C">
        <w:t>в</w:t>
      </w:r>
      <w:r w:rsidRPr="00C8168C">
        <w:t>ным образом, из нового приложения 11 к Конвенции, которое в настоящее вр</w:t>
      </w:r>
      <w:r w:rsidRPr="00C8168C">
        <w:t>е</w:t>
      </w:r>
      <w:r w:rsidRPr="00C8168C">
        <w:t xml:space="preserve">мя находится на обсуждении WP.30. </w:t>
      </w:r>
    </w:p>
    <w:p w:rsidR="00C8168C" w:rsidRPr="00C8168C" w:rsidRDefault="00C8168C" w:rsidP="00C8168C">
      <w:pPr>
        <w:pStyle w:val="SingleTxtGR"/>
      </w:pPr>
      <w:r w:rsidRPr="00C8168C">
        <w:t>18.</w:t>
      </w:r>
      <w:r w:rsidRPr="00C8168C">
        <w:tab/>
        <w:t>Форма нового приложения позволяет Договаривающимся сторонам пр</w:t>
      </w:r>
      <w:r w:rsidRPr="00C8168C">
        <w:t>о</w:t>
      </w:r>
      <w:r w:rsidRPr="00C8168C">
        <w:t>двигаться вперед в деле компьютеризации, а те, кто еще не готов, могут отк</w:t>
      </w:r>
      <w:r w:rsidRPr="00C8168C">
        <w:t>а</w:t>
      </w:r>
      <w:r w:rsidRPr="00C8168C">
        <w:t xml:space="preserve">заться от участия и присоединиться к eTIR на более позднем этапе. Кроме того, поступили предложения о внесении четырех поправок в </w:t>
      </w:r>
      <w:r w:rsidR="00AC162B" w:rsidRPr="00C8168C">
        <w:t>текст</w:t>
      </w:r>
      <w:r w:rsidRPr="00C8168C">
        <w:t xml:space="preserve"> существующих статей основной части Конвенции МДП, а также о включении двух новых ст</w:t>
      </w:r>
      <w:r w:rsidRPr="00C8168C">
        <w:t>а</w:t>
      </w:r>
      <w:r w:rsidRPr="00C8168C">
        <w:t>тей.</w:t>
      </w:r>
    </w:p>
    <w:p w:rsidR="00C8168C" w:rsidRPr="00C8168C" w:rsidRDefault="00C8168C" w:rsidP="00C8168C">
      <w:pPr>
        <w:pStyle w:val="SingleTxtGR"/>
      </w:pPr>
      <w:r w:rsidRPr="00C8168C">
        <w:t>19.</w:t>
      </w:r>
      <w:r w:rsidRPr="00C8168C">
        <w:tab/>
        <w:t xml:space="preserve">Завершив работу над новым приложением 11, WP.30/GE.2 выполнила свой мандат. </w:t>
      </w:r>
      <w:r w:rsidR="00AC162B">
        <w:t>В силу этого</w:t>
      </w:r>
      <w:r w:rsidRPr="00C8168C">
        <w:t xml:space="preserve"> WP.30 на своей 147-й сессии решила, что нет необх</w:t>
      </w:r>
      <w:r w:rsidRPr="00C8168C">
        <w:t>о</w:t>
      </w:r>
      <w:r w:rsidRPr="00C8168C">
        <w:t>димости запрашивать продление ее мандата.</w:t>
      </w:r>
    </w:p>
    <w:p w:rsidR="00C8168C" w:rsidRPr="00C8168C" w:rsidRDefault="00C8168C" w:rsidP="00C15CAD">
      <w:pPr>
        <w:pStyle w:val="HChGR"/>
      </w:pPr>
      <w:r w:rsidRPr="00C8168C">
        <w:tab/>
        <w:t>VI.</w:t>
      </w:r>
      <w:r w:rsidRPr="00C8168C">
        <w:tab/>
        <w:t>Международная конвенция об облегчении условий железнодорожной перевозки пассажиров и багажа через границы от 10 января 1952 года</w:t>
      </w:r>
    </w:p>
    <w:p w:rsidR="00C8168C" w:rsidRPr="00C8168C" w:rsidRDefault="00C8168C" w:rsidP="00C8168C">
      <w:pPr>
        <w:pStyle w:val="SingleTxtGR"/>
      </w:pPr>
      <w:r w:rsidRPr="00C8168C">
        <w:t>20.</w:t>
      </w:r>
      <w:r w:rsidRPr="00C8168C">
        <w:tab/>
        <w:t>В 2017 году в соответствии с планом работы, подготовленным Рабочей группой по железнодорожному транспорту (SC.2) на ее семидесятой сессии (ноябрь 2016 года), Рабочая группа продолжила обсуждение проекта текста н</w:t>
      </w:r>
      <w:r w:rsidRPr="00C8168C">
        <w:t>о</w:t>
      </w:r>
      <w:r w:rsidRPr="00C8168C">
        <w:t>вой конвенции об облегчении условий пересечения государственных границ при международной железнодорожной перевозке пассажиров, багажа и тов</w:t>
      </w:r>
      <w:r w:rsidRPr="00C8168C">
        <w:t>а</w:t>
      </w:r>
      <w:r w:rsidRPr="00C8168C">
        <w:t>робагажа. На различных сессиях делегация Европейского Союза (ЕС) заявляла, что вряд ли ЕС или его государства-члены присоединятся к проекту конвенции, поскольку этот проект, по всей видимости, не предусматривает никаких пр</w:t>
      </w:r>
      <w:r w:rsidRPr="00C8168C">
        <w:t>е</w:t>
      </w:r>
      <w:r w:rsidRPr="00C8168C">
        <w:t>имуществ для политики ЕС, касающейся железных дорог и таможенных вопр</w:t>
      </w:r>
      <w:r w:rsidRPr="00C8168C">
        <w:t>о</w:t>
      </w:r>
      <w:r w:rsidRPr="00C8168C">
        <w:t>сов, и даже может противоречить действующему законодательству ЕС в области осуществления пограничного контроля. Кроме того, Болгария (с точки зрения таможенных вопросов), Латвия и Чешская Республика, которые являются гос</w:t>
      </w:r>
      <w:r w:rsidRPr="00C8168C">
        <w:t>у</w:t>
      </w:r>
      <w:r w:rsidRPr="00C8168C">
        <w:t>дарствами – членами ЕС и членами ОСЖД, заявили, что, хотя они поддержив</w:t>
      </w:r>
      <w:r w:rsidRPr="00C8168C">
        <w:t>а</w:t>
      </w:r>
      <w:r w:rsidRPr="00C8168C">
        <w:t>ют концепцию облегчения пассажирских железнодорожных перевозок, по их мнению</w:t>
      </w:r>
      <w:r w:rsidR="004A6664">
        <w:t>,</w:t>
      </w:r>
      <w:r w:rsidRPr="00C8168C">
        <w:t xml:space="preserve"> принятие нынешнего текста не принесет этим странам никакой выг</w:t>
      </w:r>
      <w:r w:rsidRPr="00C8168C">
        <w:t>о</w:t>
      </w:r>
      <w:r w:rsidRPr="00C8168C">
        <w:t>ды или пользы. С другой стороны, ОСЖД по-прежнему выступает за необход</w:t>
      </w:r>
      <w:r w:rsidRPr="00C8168C">
        <w:t>и</w:t>
      </w:r>
      <w:r w:rsidRPr="00C8168C">
        <w:t>мость разработки новой конвенции, главным образом в силу того, что действ</w:t>
      </w:r>
      <w:r w:rsidRPr="00C8168C">
        <w:t>у</w:t>
      </w:r>
      <w:r w:rsidRPr="00C8168C">
        <w:lastRenderedPageBreak/>
        <w:t>ющая конвенция 1952 года устарела и не соответствует современным требов</w:t>
      </w:r>
      <w:r w:rsidRPr="00C8168C">
        <w:t>а</w:t>
      </w:r>
      <w:r w:rsidRPr="00C8168C">
        <w:t>ниям железнодорожных перевозок. Представитель ОСЖД отметил произоше</w:t>
      </w:r>
      <w:r w:rsidRPr="00C8168C">
        <w:t>д</w:t>
      </w:r>
      <w:r w:rsidRPr="00C8168C">
        <w:t>шее за последнее время сокращение объема железнодорожных перевозок па</w:t>
      </w:r>
      <w:r w:rsidRPr="00C8168C">
        <w:t>с</w:t>
      </w:r>
      <w:r w:rsidRPr="00C8168C">
        <w:t>сажиров и багажа с Востока на Запад и подчеркнул, что одной из причин этого являются административные барьеры при пересечении границ. Проект конве</w:t>
      </w:r>
      <w:r w:rsidRPr="00C8168C">
        <w:t>н</w:t>
      </w:r>
      <w:r w:rsidRPr="00C8168C">
        <w:t>ции направлен на исправление такого положения. Он далее упомянул о том, что, хотя предусмотренная в нем концепция актуальна для европейских гос</w:t>
      </w:r>
      <w:r w:rsidRPr="00C8168C">
        <w:t>у</w:t>
      </w:r>
      <w:r w:rsidRPr="00C8168C">
        <w:t>дарств, она также служит конкретным интересам таких стран, как Казахстан, Китай, Монголия и другие страны Центральной Азии. Делегация Российской Федерации поддержала позицию ОСЖД, подчеркнув важность конвен</w:t>
      </w:r>
      <w:r w:rsidR="004A6664">
        <w:t>ции для евразийского континента</w:t>
      </w:r>
      <w:r w:rsidRPr="00C8168C">
        <w:t xml:space="preserve"> в целом. По ее мнению, проект конвенции мог бы служить в качестве базового документа для заключения многосторонних и дв</w:t>
      </w:r>
      <w:r w:rsidRPr="00C8168C">
        <w:t>у</w:t>
      </w:r>
      <w:r w:rsidRPr="00C8168C">
        <w:t>сторонних соглашений.</w:t>
      </w:r>
    </w:p>
    <w:p w:rsidR="00C8168C" w:rsidRPr="00C8168C" w:rsidRDefault="00C8168C" w:rsidP="00C8168C">
      <w:pPr>
        <w:pStyle w:val="SingleTxtGR"/>
      </w:pPr>
      <w:r w:rsidRPr="00C8168C">
        <w:t>21.</w:t>
      </w:r>
      <w:r w:rsidRPr="00C8168C">
        <w:tab/>
        <w:t>На своей сессии в октябре Рабочая группа сочла, что дальнейшая разр</w:t>
      </w:r>
      <w:r w:rsidRPr="00C8168C">
        <w:t>а</w:t>
      </w:r>
      <w:r w:rsidRPr="00C8168C">
        <w:t>ботка проекта этой конвенции позволит повысить качество его текста с учетом ряда правовых вопросов, затронутых секретариатом в связи с юридическим значением некоторых положений. В целях дальнейшего продвижения в этом направлении к составителям конвенции была обращена просьба передать око</w:t>
      </w:r>
      <w:r w:rsidRPr="00C8168C">
        <w:t>н</w:t>
      </w:r>
      <w:r w:rsidRPr="00C8168C">
        <w:t>чательно сформулированный текст конвенции в секретариат до 25 ноября 2017</w:t>
      </w:r>
      <w:r w:rsidR="004A6664">
        <w:t> </w:t>
      </w:r>
      <w:r w:rsidRPr="00C8168C">
        <w:t>года, с тем чтобы его можно было включить в повестку дня 148-й сессии. Рабочая группа поручила секретариату сообщить о своих выводах Рабочей группе по железнодорожному транспорту (SC.2) на ее следующей сессии (Ж</w:t>
      </w:r>
      <w:r w:rsidRPr="00C8168C">
        <w:t>е</w:t>
      </w:r>
      <w:r w:rsidRPr="00C8168C">
        <w:t>нева, 27–29 ноября 2017 года). Окончательный текст проекта конвенции соде</w:t>
      </w:r>
      <w:r w:rsidRPr="00C8168C">
        <w:t>р</w:t>
      </w:r>
      <w:r w:rsidRPr="00C8168C">
        <w:t>жится в документе ECE/TRANS/WP.30/2018/6. При условии принятия этого текста Рабочей группой КВТ предлагается рассмотреть и, по возможности, одобрить текст новой конвенции об облегчении условий пересечения госуда</w:t>
      </w:r>
      <w:r w:rsidRPr="00C8168C">
        <w:t>р</w:t>
      </w:r>
      <w:r w:rsidRPr="00C8168C">
        <w:t>ственных границ при международной железнодорожной перевозке пассажиров, багажа и товаробагажа и обратиться к секретариату с просьбой препроводить его Генеральному секретарю Организации Объединенных Наций в его качестве депозитария.</w:t>
      </w:r>
    </w:p>
    <w:p w:rsidR="00C8168C" w:rsidRPr="00C8168C" w:rsidRDefault="00C8168C" w:rsidP="00C15CAD">
      <w:pPr>
        <w:pStyle w:val="HChGR"/>
      </w:pPr>
      <w:r w:rsidRPr="00C8168C">
        <w:tab/>
        <w:t>VII.</w:t>
      </w:r>
      <w:r w:rsidRPr="00C8168C">
        <w:tab/>
        <w:t>Таможенные конвенции о временном ввозе частных дорожных перевозочных средств (1954 год) и</w:t>
      </w:r>
      <w:r w:rsidR="004A6664">
        <w:t> </w:t>
      </w:r>
      <w:r w:rsidRPr="00C8168C">
        <w:t>коммерческих дорожных перевозочных средств (1956 год)</w:t>
      </w:r>
    </w:p>
    <w:p w:rsidR="00C8168C" w:rsidRPr="00C8168C" w:rsidRDefault="00C8168C" w:rsidP="00C8168C">
      <w:pPr>
        <w:pStyle w:val="SingleTxtGR"/>
      </w:pPr>
      <w:r w:rsidRPr="00C8168C">
        <w:t>22.</w:t>
      </w:r>
      <w:r w:rsidRPr="00C8168C">
        <w:tab/>
        <w:t>Комитет, возможно, пожелает отметить, что в 2017 году не произошло никаких изменений в статусе таможенных конвенций о временном ввозе час</w:t>
      </w:r>
      <w:r w:rsidRPr="00C8168C">
        <w:t>т</w:t>
      </w:r>
      <w:r w:rsidRPr="00C8168C">
        <w:t>ных (1954 год) и коммерческих (1956 год) дорожных перевозочных средств и что в настоящее время участниками этих конвенций являются 80 и 26 Догов</w:t>
      </w:r>
      <w:r w:rsidRPr="00C8168C">
        <w:t>а</w:t>
      </w:r>
      <w:r w:rsidRPr="00C8168C">
        <w:t>ривающихся сторон, соответственно.</w:t>
      </w:r>
    </w:p>
    <w:p w:rsidR="00C8168C" w:rsidRPr="00C8168C" w:rsidRDefault="00C8168C" w:rsidP="00C8168C">
      <w:pPr>
        <w:pStyle w:val="SingleTxtGR"/>
      </w:pPr>
      <w:r w:rsidRPr="00C8168C">
        <w:t>23.</w:t>
      </w:r>
      <w:r w:rsidRPr="00C8168C">
        <w:tab/>
        <w:t>В 2017 году Рабочая группа столкнулась с текущими вопросами прим</w:t>
      </w:r>
      <w:r w:rsidRPr="00C8168C">
        <w:t>е</w:t>
      </w:r>
      <w:r w:rsidRPr="00C8168C">
        <w:t>нения Конвенции 1954 года в Египте и Иордании, в частности по причине того, что таможенные органы, как представляется, не соблюдают сроки и процедуры, установленные в Конвенции. По мнению Рабочей группы</w:t>
      </w:r>
      <w:r w:rsidR="00C059C4">
        <w:t>,</w:t>
      </w:r>
      <w:r w:rsidRPr="00C8168C">
        <w:t xml:space="preserve"> компетентным нац</w:t>
      </w:r>
      <w:r w:rsidRPr="00C8168C">
        <w:t>и</w:t>
      </w:r>
      <w:r w:rsidRPr="00C8168C">
        <w:t>ональным органам следует строго соблюдать сроки, предусмотренные Конве</w:t>
      </w:r>
      <w:r w:rsidRPr="00C8168C">
        <w:t>н</w:t>
      </w:r>
      <w:r w:rsidRPr="00C8168C">
        <w:t xml:space="preserve">цией, в частности статьей 26, в которой прямо указано, что </w:t>
      </w:r>
      <w:r w:rsidR="002D57AE">
        <w:t>«</w:t>
      </w:r>
      <w:r w:rsidRPr="00C8168C">
        <w:t>таможенные вл</w:t>
      </w:r>
      <w:r w:rsidRPr="00C8168C">
        <w:t>а</w:t>
      </w:r>
      <w:r w:rsidRPr="00C8168C">
        <w:t>сти не вправе требовать от гарантирующей ассоциации уплаты ввозных пошлин и налогов на временно ввезенные перевозочные средства или запасные части, если эта гарантирующая ассоциация не была уведомлена о непогашении док</w:t>
      </w:r>
      <w:r w:rsidRPr="00C8168C">
        <w:t>у</w:t>
      </w:r>
      <w:r w:rsidRPr="00C8168C">
        <w:t>ментов на временный ввоз в течение года со дня истечения срока действител</w:t>
      </w:r>
      <w:r w:rsidRPr="00C8168C">
        <w:t>ь</w:t>
      </w:r>
      <w:r w:rsidRPr="00C8168C">
        <w:t>ности этих документов. Таможенные власти представляют гарантирующим а</w:t>
      </w:r>
      <w:r w:rsidRPr="00C8168C">
        <w:t>с</w:t>
      </w:r>
      <w:r w:rsidRPr="00C8168C">
        <w:t>социациям подробные сведения о размере ввозных пошлин и налогов в течение одного года после уведомления о непогашении. Ответственность гарантиру</w:t>
      </w:r>
      <w:r w:rsidRPr="00C8168C">
        <w:t>ю</w:t>
      </w:r>
      <w:r w:rsidRPr="00C8168C">
        <w:t>щих ассоциаций по этим суммам прекращается, если такая информация не была представлена в течение одного года</w:t>
      </w:r>
      <w:r w:rsidR="002D57AE">
        <w:t>»</w:t>
      </w:r>
      <w:r w:rsidRPr="00C8168C">
        <w:t>. Правильное применение этого и других положений Конвенции должно быть первым пунктом, подлежащим рассмотр</w:t>
      </w:r>
      <w:r w:rsidRPr="00C8168C">
        <w:t>е</w:t>
      </w:r>
      <w:r w:rsidRPr="00C8168C">
        <w:lastRenderedPageBreak/>
        <w:t>нию в исковых претензиях, предъявленных таможенными администрациями национальным объединениям, что тем самым позволит избежать передачи в с</w:t>
      </w:r>
      <w:r w:rsidRPr="00C8168C">
        <w:t>у</w:t>
      </w:r>
      <w:r w:rsidRPr="00C8168C">
        <w:t>ды претензий спустя много времени после истечения срока их юридического действия. Рабочая группа поручила секретариату довести эти поднятые вопр</w:t>
      </w:r>
      <w:r w:rsidRPr="00C8168C">
        <w:t>о</w:t>
      </w:r>
      <w:r w:rsidRPr="00C8168C">
        <w:t>сы до сведения правительств Египта и Иордании, а также представить свою предварительную оценку, с тем чтобы получить их разъяснения и отзывы по поводу сложившейся ситуации. Несмотря на напоминания, которые были направлены в сентябре 2017 года, до сих пор отзывы не поступили ни от одной из этих стран.</w:t>
      </w:r>
    </w:p>
    <w:p w:rsidR="00C8168C" w:rsidRPr="00C8168C" w:rsidRDefault="00C8168C" w:rsidP="00C15CAD">
      <w:pPr>
        <w:pStyle w:val="HChGR"/>
      </w:pPr>
      <w:r w:rsidRPr="00C8168C">
        <w:tab/>
        <w:t>VIII.</w:t>
      </w:r>
      <w:r w:rsidRPr="00C8168C">
        <w:tab/>
        <w:t>Пути повышения влияния Комитета и его руководящих органов в решении текущих проблем и</w:t>
      </w:r>
      <w:r w:rsidR="00C059C4">
        <w:t> </w:t>
      </w:r>
      <w:r w:rsidRPr="00C8168C">
        <w:t>использовании возможностей в глобальном контексте</w:t>
      </w:r>
    </w:p>
    <w:p w:rsidR="00C8168C" w:rsidRPr="00C8168C" w:rsidRDefault="00C8168C" w:rsidP="00C8168C">
      <w:pPr>
        <w:pStyle w:val="SingleTxtGR"/>
      </w:pPr>
      <w:r w:rsidRPr="00C8168C">
        <w:t>24.</w:t>
      </w:r>
      <w:r w:rsidRPr="00C8168C">
        <w:tab/>
        <w:t>На своей 146-й сессии (июнь 2017 года) Рабочая группа приняла к свед</w:t>
      </w:r>
      <w:r w:rsidRPr="00C8168C">
        <w:t>е</w:t>
      </w:r>
      <w:r w:rsidRPr="00C8168C">
        <w:t xml:space="preserve">нию решение № 6 КВТ, в котором он </w:t>
      </w:r>
      <w:r w:rsidR="002D57AE">
        <w:t>«</w:t>
      </w:r>
      <w:r w:rsidRPr="00C8168C">
        <w:t>приветствовал обсуждение вопросов п</w:t>
      </w:r>
      <w:r w:rsidRPr="00C8168C">
        <w:t>о</w:t>
      </w:r>
      <w:r w:rsidRPr="00C8168C">
        <w:t>вышения роли Комитета на заседании председателей его рабочих органов в быстро меняющейся глобальной окружающей среде; рассмотрел пути повыш</w:t>
      </w:r>
      <w:r w:rsidRPr="00C8168C">
        <w:t>е</w:t>
      </w:r>
      <w:r w:rsidRPr="00C8168C">
        <w:t>ния влияния Комитета и его рабочих органов в реагировании на современные вызовы и возможности в глобальном контексте в соответствии с резолюцией министров семьдесят девятой сессии Комитета от 21 февраля 2017 года, в том числе путем включения в мандаты рабочих групп вопросов, связанных с реал</w:t>
      </w:r>
      <w:r w:rsidRPr="00C8168C">
        <w:t>и</w:t>
      </w:r>
      <w:r w:rsidRPr="00C8168C">
        <w:t>зацией транспортно-ориентированных целей устойчивого развития</w:t>
      </w:r>
      <w:r w:rsidR="002D57AE">
        <w:t>»</w:t>
      </w:r>
      <w:r w:rsidRPr="00C8168C">
        <w:t xml:space="preserve">. Рабочая группа признала актуальность своей работы в контексте достижения различных </w:t>
      </w:r>
      <w:r w:rsidR="00672BEF" w:rsidRPr="00C8168C">
        <w:t>Ц</w:t>
      </w:r>
      <w:r w:rsidRPr="00C8168C">
        <w:t xml:space="preserve">елей устойчивого развития (ЦУР), в частности </w:t>
      </w:r>
      <w:r w:rsidR="00672BEF" w:rsidRPr="00C8168C">
        <w:t>Ц</w:t>
      </w:r>
      <w:r w:rsidRPr="00C8168C">
        <w:t xml:space="preserve">ели 9 – Промышленность, инновации и инфраструктура (присоединение к Конвенции МДП и Конвенции о согласовании, осуществление МДП, eTIR и процедур согласования); </w:t>
      </w:r>
      <w:r w:rsidR="00672BEF" w:rsidRPr="00C8168C">
        <w:t>Ц</w:t>
      </w:r>
      <w:r w:rsidRPr="00C8168C">
        <w:t xml:space="preserve">ели 12 – Ответственное потребление и производство (укрепление производственно-сбытовой цепочки путем наращивания мер по облегчению пересечения границ); а также </w:t>
      </w:r>
      <w:r w:rsidR="00672BEF" w:rsidRPr="00C8168C">
        <w:t>Ц</w:t>
      </w:r>
      <w:r w:rsidRPr="00C8168C">
        <w:t>ели 17 – Партнерство в интересах устойчивого развития (применение международной системы гарантий МДП). Что касается Повестки дня на период до 2030 года, то Рабочая группа полностью поддержала стремление Отдела устойчивого транспорта ЕЭК ООН создать согласованную на глобальном уровне регулятивную систему для внутреннего транспорта, которая послужит основой для устойчивых транспортных систем и мобильности. Рабочая группа далее подтвердила заявление, сделанное ею в ходе 143-й сессии, в поддержку любой деятельности секретариата ЕЭК ООН по наращиванию потенциала, св</w:t>
      </w:r>
      <w:r w:rsidRPr="00C8168C">
        <w:t>я</w:t>
      </w:r>
      <w:r w:rsidRPr="00C8168C">
        <w:t>занной с правовыми документами, относящимися к ведению WP.30, за пред</w:t>
      </w:r>
      <w:r w:rsidRPr="00C8168C">
        <w:t>е</w:t>
      </w:r>
      <w:r w:rsidRPr="00C8168C">
        <w:t>лами региона ЕЭК при условии, что в самом регионе ЕЭК мероприятиям по укреплению потенциала по-прежнему уделяется достаточное внимание (см.</w:t>
      </w:r>
      <w:r w:rsidR="00672BEF">
        <w:t> </w:t>
      </w:r>
      <w:r w:rsidRPr="00C8168C">
        <w:t>ECE/TRANS/WP.30/286, пункт 14). Наконец, WP.30 поддержала компьют</w:t>
      </w:r>
      <w:r w:rsidRPr="00C8168C">
        <w:t>е</w:t>
      </w:r>
      <w:r w:rsidRPr="00C8168C">
        <w:t>ризацию в сфере внутреннего транспорта, заявив, что проект eTIR необходимо реализовать в кратчайшие сроки. С этой целью и с учетом хода разработки пр</w:t>
      </w:r>
      <w:r w:rsidRPr="00C8168C">
        <w:t>а</w:t>
      </w:r>
      <w:r w:rsidRPr="00C8168C">
        <w:t>вовых рамок проекта eTIR Рабочая группа настоятельно призвала Договарив</w:t>
      </w:r>
      <w:r w:rsidRPr="00C8168C">
        <w:t>а</w:t>
      </w:r>
      <w:r w:rsidRPr="00C8168C">
        <w:t>ющиеся стороны предусмотреть в своих национальных бюджетах на цели ра</w:t>
      </w:r>
      <w:r w:rsidRPr="00C8168C">
        <w:t>з</w:t>
      </w:r>
      <w:r w:rsidRPr="00C8168C">
        <w:t>вития ИТ необходимые финансовые средства, которые позволили бы этим стр</w:t>
      </w:r>
      <w:r w:rsidRPr="00C8168C">
        <w:t>а</w:t>
      </w:r>
      <w:r w:rsidRPr="00C8168C">
        <w:t>нам максимально быстро внедрить eTIR в национальные таможенные системы. В этом контексте Рабочая группа подтвердила рекомендацию GE.1 и GE.2, в с</w:t>
      </w:r>
      <w:r w:rsidRPr="00C8168C">
        <w:t>о</w:t>
      </w:r>
      <w:r w:rsidRPr="00C8168C">
        <w:t>ответствии с которой эксплуатационные расходы, возможно, могли бы покр</w:t>
      </w:r>
      <w:r w:rsidRPr="00C8168C">
        <w:t>ы</w:t>
      </w:r>
      <w:r w:rsidRPr="00C8168C">
        <w:t>ваться за счет суммы, взимаемой за каждую перевозку. Вместе с тем, хотя п</w:t>
      </w:r>
      <w:r w:rsidRPr="00C8168C">
        <w:t>о</w:t>
      </w:r>
      <w:r w:rsidRPr="00C8168C">
        <w:t>крытие первоначальных расходов, необходимых для разработки и внедрения системы, играет критически важную роль для запуска проекта eTIR, соотве</w:t>
      </w:r>
      <w:r w:rsidRPr="00C8168C">
        <w:t>т</w:t>
      </w:r>
      <w:r w:rsidRPr="00C8168C">
        <w:t xml:space="preserve">ствующий источник финансирования еще не найден. </w:t>
      </w:r>
    </w:p>
    <w:p w:rsidR="00C8168C" w:rsidRPr="00C8168C" w:rsidRDefault="00C8168C" w:rsidP="00C8168C">
      <w:pPr>
        <w:pStyle w:val="SingleTxtGR"/>
      </w:pPr>
      <w:r w:rsidRPr="00C8168C">
        <w:t>25.</w:t>
      </w:r>
      <w:r w:rsidRPr="00C8168C">
        <w:tab/>
        <w:t>На своей 147-й сессии (октябрь 2017 года) Рабочая группа приняла пре</w:t>
      </w:r>
      <w:r w:rsidRPr="00C8168C">
        <w:t>д</w:t>
      </w:r>
      <w:r w:rsidRPr="00C8168C">
        <w:t xml:space="preserve">ложение о внесении поправок в свой круг ведения, с тем чтобы способствовать продвижению </w:t>
      </w:r>
      <w:r w:rsidR="00546490" w:rsidRPr="00C8168C">
        <w:t>П</w:t>
      </w:r>
      <w:r w:rsidRPr="00C8168C">
        <w:t>овестки дня в области устойчивого развития и соответству</w:t>
      </w:r>
      <w:r w:rsidRPr="00C8168C">
        <w:t>ю</w:t>
      </w:r>
      <w:r w:rsidRPr="00C8168C">
        <w:lastRenderedPageBreak/>
        <w:t xml:space="preserve">щих </w:t>
      </w:r>
      <w:r w:rsidR="00546490" w:rsidRPr="00C8168C">
        <w:t>Ц</w:t>
      </w:r>
      <w:r w:rsidRPr="00C8168C">
        <w:t xml:space="preserve">елей в области устойчивого развития. Обновленное положение теперь сформулировано следующим образом: </w:t>
      </w:r>
      <w:r w:rsidR="002D57AE">
        <w:t>«</w:t>
      </w:r>
      <w:r w:rsidRPr="00C8168C">
        <w:t xml:space="preserve">a) </w:t>
      </w:r>
      <w:r w:rsidR="00546490" w:rsidRPr="00C8168C">
        <w:t>И</w:t>
      </w:r>
      <w:r w:rsidRPr="00C8168C">
        <w:t>нициирует и осуществляет меры, направленные на гармонизацию и упрощение правил, предписаний и докуме</w:t>
      </w:r>
      <w:r w:rsidRPr="00C8168C">
        <w:t>н</w:t>
      </w:r>
      <w:r w:rsidRPr="00C8168C">
        <w:t>тации для процедур пересечения границ различными видами внутреннего транспорта, по возможности уделяя особое внимание содействию продвижению Повестки дня Организации Объединенных Наций в области устойчивого разв</w:t>
      </w:r>
      <w:r w:rsidRPr="00C8168C">
        <w:t>и</w:t>
      </w:r>
      <w:r w:rsidRPr="00C8168C">
        <w:t xml:space="preserve">тия на период до 2030 года (резолюция Генеральной Ассамблеи A/RES/70/1) и соответствующих </w:t>
      </w:r>
      <w:r w:rsidR="00546490" w:rsidRPr="00C8168C">
        <w:t>Ц</w:t>
      </w:r>
      <w:r w:rsidRPr="00C8168C">
        <w:t>елей в области устойчивого развития</w:t>
      </w:r>
      <w:r w:rsidR="002D57AE">
        <w:t>»</w:t>
      </w:r>
      <w:r w:rsidR="00546490">
        <w:t>.</w:t>
      </w:r>
    </w:p>
    <w:p w:rsidR="00C8168C" w:rsidRPr="00C8168C" w:rsidRDefault="00C8168C" w:rsidP="00C8168C">
      <w:pPr>
        <w:pStyle w:val="SingleTxtGR"/>
      </w:pPr>
      <w:r w:rsidRPr="00C8168C">
        <w:t>26.</w:t>
      </w:r>
      <w:r w:rsidRPr="00C8168C">
        <w:tab/>
        <w:t>Рабочая группа поручила секретариату передать свои выводы КВТ для рассмотрения и принятия в ходе его сессии в феврале 2018 года.</w:t>
      </w:r>
    </w:p>
    <w:p w:rsidR="00C8168C" w:rsidRPr="00C8168C" w:rsidRDefault="00C8168C" w:rsidP="00C15CAD">
      <w:pPr>
        <w:pStyle w:val="HChGR"/>
      </w:pPr>
      <w:r w:rsidRPr="00C8168C">
        <w:tab/>
        <w:t>IX.</w:t>
      </w:r>
      <w:r w:rsidRPr="00C8168C">
        <w:tab/>
        <w:t>Рассмотрение Комитетом</w:t>
      </w:r>
    </w:p>
    <w:p w:rsidR="00C8168C" w:rsidRDefault="00C8168C" w:rsidP="00C8168C">
      <w:pPr>
        <w:pStyle w:val="SingleTxtGR"/>
      </w:pPr>
      <w:r w:rsidRPr="00C8168C">
        <w:t>27.</w:t>
      </w:r>
      <w:r w:rsidRPr="00C8168C">
        <w:tab/>
        <w:t>Комитет, возможно, пожелает принять к сведению информацию о выш</w:t>
      </w:r>
      <w:r w:rsidRPr="00C8168C">
        <w:t>е</w:t>
      </w:r>
      <w:r w:rsidRPr="00C8168C">
        <w:t>указанных мероприятиях Договаривающихся сторон, WP.30 и секретариата и одобрить их. Кроме того, ему предлагается поддержать усилия по продолжению реализации проекта eTIR, продлить мандат WP.30/GE.1 на 2018 год, обратиться к Договаривающимся сторонам с настоятельным призывом принять необход</w:t>
      </w:r>
      <w:r w:rsidRPr="00C8168C">
        <w:t>и</w:t>
      </w:r>
      <w:r w:rsidRPr="00C8168C">
        <w:t>мые меры по осуществлению модернизации их национальных систем управл</w:t>
      </w:r>
      <w:r w:rsidRPr="00C8168C">
        <w:t>е</w:t>
      </w:r>
      <w:r w:rsidRPr="00C8168C">
        <w:t>ния таможенными ИКТ в целях обеспечения функционирования полностью компьютеризованной процедуры МДП, рассмотреть и, по возможности, одо</w:t>
      </w:r>
      <w:r w:rsidRPr="00C8168C">
        <w:t>б</w:t>
      </w:r>
      <w:r w:rsidRPr="00C8168C">
        <w:t>рить текст новой конвенции об облегчении условий пересечения государстве</w:t>
      </w:r>
      <w:r w:rsidRPr="00C8168C">
        <w:t>н</w:t>
      </w:r>
      <w:r w:rsidRPr="00C8168C">
        <w:t>ных границ при международной железнодорожной перевозке пассажиров, б</w:t>
      </w:r>
      <w:r w:rsidRPr="00C8168C">
        <w:t>а</w:t>
      </w:r>
      <w:r w:rsidRPr="00C8168C">
        <w:t>гажа и товаробагажа и принять пересмотренный вариант круга ведения WP.30.</w:t>
      </w:r>
    </w:p>
    <w:p w:rsidR="00C15CAD" w:rsidRPr="00C15CAD" w:rsidRDefault="00C15CAD" w:rsidP="00C15CAD">
      <w:pPr>
        <w:pStyle w:val="SingleTxtGR"/>
        <w:spacing w:before="240" w:after="0"/>
        <w:jc w:val="center"/>
        <w:rPr>
          <w:u w:val="single"/>
        </w:rPr>
      </w:pPr>
      <w:r>
        <w:rPr>
          <w:u w:val="single"/>
        </w:rPr>
        <w:tab/>
      </w:r>
      <w:r>
        <w:rPr>
          <w:u w:val="single"/>
        </w:rPr>
        <w:tab/>
      </w:r>
      <w:r>
        <w:rPr>
          <w:u w:val="single"/>
        </w:rPr>
        <w:tab/>
      </w:r>
    </w:p>
    <w:p w:rsidR="00E12C5F" w:rsidRPr="008D53B6" w:rsidRDefault="00E12C5F" w:rsidP="00C8168C">
      <w:pPr>
        <w:pStyle w:val="SingleTxtGR"/>
      </w:pPr>
    </w:p>
    <w:sectPr w:rsidR="00E12C5F" w:rsidRPr="008D53B6" w:rsidSect="000D3E1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DA" w:rsidRPr="00A312BC" w:rsidRDefault="001C0CDA" w:rsidP="00A312BC"/>
  </w:endnote>
  <w:endnote w:type="continuationSeparator" w:id="0">
    <w:p w:rsidR="001C0CDA" w:rsidRPr="00A312BC" w:rsidRDefault="001C0CD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14" w:rsidRPr="000D3E14" w:rsidRDefault="000D3E14">
    <w:pPr>
      <w:pStyle w:val="Footer"/>
    </w:pPr>
    <w:r w:rsidRPr="000D3E14">
      <w:rPr>
        <w:b/>
        <w:sz w:val="18"/>
      </w:rPr>
      <w:fldChar w:fldCharType="begin"/>
    </w:r>
    <w:r w:rsidRPr="000D3E14">
      <w:rPr>
        <w:b/>
        <w:sz w:val="18"/>
      </w:rPr>
      <w:instrText xml:space="preserve"> PAGE  \* MERGEFORMAT </w:instrText>
    </w:r>
    <w:r w:rsidRPr="000D3E14">
      <w:rPr>
        <w:b/>
        <w:sz w:val="18"/>
      </w:rPr>
      <w:fldChar w:fldCharType="separate"/>
    </w:r>
    <w:r w:rsidR="00E53755">
      <w:rPr>
        <w:b/>
        <w:noProof/>
        <w:sz w:val="18"/>
      </w:rPr>
      <w:t>10</w:t>
    </w:r>
    <w:r w:rsidRPr="000D3E14">
      <w:rPr>
        <w:b/>
        <w:sz w:val="18"/>
      </w:rPr>
      <w:fldChar w:fldCharType="end"/>
    </w:r>
    <w:r>
      <w:rPr>
        <w:b/>
        <w:sz w:val="18"/>
      </w:rPr>
      <w:tab/>
    </w:r>
    <w:r>
      <w:t>GE.17-22053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14" w:rsidRPr="000D3E14" w:rsidRDefault="000D3E14" w:rsidP="000D3E14">
    <w:pPr>
      <w:pStyle w:val="Footer"/>
      <w:tabs>
        <w:tab w:val="clear" w:pos="9639"/>
        <w:tab w:val="right" w:pos="9638"/>
      </w:tabs>
      <w:rPr>
        <w:b/>
        <w:sz w:val="18"/>
      </w:rPr>
    </w:pPr>
    <w:r>
      <w:t>GE.17-22053</w:t>
    </w:r>
    <w:r>
      <w:tab/>
    </w:r>
    <w:r w:rsidRPr="000D3E14">
      <w:rPr>
        <w:b/>
        <w:sz w:val="18"/>
      </w:rPr>
      <w:fldChar w:fldCharType="begin"/>
    </w:r>
    <w:r w:rsidRPr="000D3E14">
      <w:rPr>
        <w:b/>
        <w:sz w:val="18"/>
      </w:rPr>
      <w:instrText xml:space="preserve"> PAGE  \* MERGEFORMAT </w:instrText>
    </w:r>
    <w:r w:rsidRPr="000D3E14">
      <w:rPr>
        <w:b/>
        <w:sz w:val="18"/>
      </w:rPr>
      <w:fldChar w:fldCharType="separate"/>
    </w:r>
    <w:r w:rsidR="00E53755">
      <w:rPr>
        <w:b/>
        <w:noProof/>
        <w:sz w:val="18"/>
      </w:rPr>
      <w:t>9</w:t>
    </w:r>
    <w:r w:rsidRPr="000D3E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D3E14" w:rsidRDefault="000D3E14" w:rsidP="000D3E14">
    <w:pPr>
      <w:spacing w:before="120" w:line="240" w:lineRule="auto"/>
    </w:pPr>
    <w:r>
      <w:t>GE.</w:t>
    </w:r>
    <w:r w:rsidR="00DF71B9">
      <w:rPr>
        <w:b/>
        <w:noProof/>
        <w:lang w:val="en-US" w:eastAsia="en-US"/>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17-22053  (R)</w:t>
    </w:r>
    <w:r w:rsidR="00C15CAD">
      <w:rPr>
        <w:lang w:val="en-US"/>
      </w:rPr>
      <w:t xml:space="preserve">  211217  221217</w:t>
    </w:r>
    <w:r>
      <w:br/>
    </w:r>
    <w:r w:rsidRPr="000D3E14">
      <w:rPr>
        <w:rFonts w:ascii="C39T30Lfz" w:hAnsi="C39T30Lfz"/>
        <w:spacing w:val="0"/>
        <w:w w:val="100"/>
        <w:sz w:val="56"/>
      </w:rPr>
      <w:t></w:t>
    </w:r>
    <w:r w:rsidRPr="000D3E14">
      <w:rPr>
        <w:rFonts w:ascii="C39T30Lfz" w:hAnsi="C39T30Lfz"/>
        <w:spacing w:val="0"/>
        <w:w w:val="100"/>
        <w:sz w:val="56"/>
      </w:rPr>
      <w:t></w:t>
    </w:r>
    <w:r w:rsidRPr="000D3E14">
      <w:rPr>
        <w:rFonts w:ascii="C39T30Lfz" w:hAnsi="C39T30Lfz"/>
        <w:spacing w:val="0"/>
        <w:w w:val="100"/>
        <w:sz w:val="56"/>
      </w:rPr>
      <w:t></w:t>
    </w:r>
    <w:r w:rsidRPr="000D3E14">
      <w:rPr>
        <w:rFonts w:ascii="C39T30Lfz" w:hAnsi="C39T30Lfz"/>
        <w:spacing w:val="0"/>
        <w:w w:val="100"/>
        <w:sz w:val="56"/>
      </w:rPr>
      <w:t></w:t>
    </w:r>
    <w:r w:rsidRPr="000D3E14">
      <w:rPr>
        <w:rFonts w:ascii="C39T30Lfz" w:hAnsi="C39T30Lfz"/>
        <w:spacing w:val="0"/>
        <w:w w:val="100"/>
        <w:sz w:val="56"/>
      </w:rPr>
      <w:t></w:t>
    </w:r>
    <w:r w:rsidRPr="000D3E14">
      <w:rPr>
        <w:rFonts w:ascii="C39T30Lfz" w:hAnsi="C39T30Lfz"/>
        <w:spacing w:val="0"/>
        <w:w w:val="100"/>
        <w:sz w:val="56"/>
      </w:rPr>
      <w:t></w:t>
    </w:r>
    <w:r w:rsidRPr="000D3E14">
      <w:rPr>
        <w:rFonts w:ascii="C39T30Lfz" w:hAnsi="C39T30Lfz"/>
        <w:spacing w:val="0"/>
        <w:w w:val="100"/>
        <w:sz w:val="56"/>
      </w:rPr>
      <w:t></w:t>
    </w:r>
    <w:r w:rsidRPr="000D3E14">
      <w:rPr>
        <w:rFonts w:ascii="C39T30Lfz" w:hAnsi="C39T30Lfz"/>
        <w:spacing w:val="0"/>
        <w:w w:val="100"/>
        <w:sz w:val="56"/>
      </w:rPr>
      <w:t></w:t>
    </w:r>
    <w:r w:rsidRPr="000D3E14">
      <w:rPr>
        <w:rFonts w:ascii="C39T30Lfz" w:hAnsi="C39T30Lfz"/>
        <w:spacing w:val="0"/>
        <w:w w:val="100"/>
        <w:sz w:val="56"/>
      </w:rPr>
      <w:t></w:t>
    </w:r>
    <w:r>
      <w:rPr>
        <w:noProof/>
        <w:w w:val="100"/>
        <w:lang w:val="en-US" w:eastAsia="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018/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DA" w:rsidRPr="001075E9" w:rsidRDefault="001C0CDA" w:rsidP="001075E9">
      <w:pPr>
        <w:tabs>
          <w:tab w:val="right" w:pos="2155"/>
        </w:tabs>
        <w:spacing w:after="80" w:line="240" w:lineRule="auto"/>
        <w:ind w:left="680"/>
        <w:rPr>
          <w:u w:val="single"/>
        </w:rPr>
      </w:pPr>
      <w:r>
        <w:rPr>
          <w:u w:val="single"/>
        </w:rPr>
        <w:tab/>
      </w:r>
    </w:p>
  </w:footnote>
  <w:footnote w:type="continuationSeparator" w:id="0">
    <w:p w:rsidR="001C0CDA" w:rsidRDefault="001C0CD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14" w:rsidRPr="000D3E14" w:rsidRDefault="00E53755">
    <w:pPr>
      <w:pStyle w:val="Header"/>
    </w:pPr>
    <w:r>
      <w:fldChar w:fldCharType="begin"/>
    </w:r>
    <w:r>
      <w:instrText xml:space="preserve"> TITLE  \* MERGEFORMAT </w:instrText>
    </w:r>
    <w:r>
      <w:fldChar w:fldCharType="separate"/>
    </w:r>
    <w:r w:rsidR="00B142CC">
      <w:t>ECE/TRANS/2018/16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14" w:rsidRPr="000D3E14" w:rsidRDefault="00E53755" w:rsidP="000D3E14">
    <w:pPr>
      <w:pStyle w:val="Header"/>
      <w:jc w:val="right"/>
    </w:pPr>
    <w:r>
      <w:fldChar w:fldCharType="begin"/>
    </w:r>
    <w:r>
      <w:instrText xml:space="preserve"> TITLE  \* MERGEFORMAT </w:instrText>
    </w:r>
    <w:r>
      <w:fldChar w:fldCharType="separate"/>
    </w:r>
    <w:r w:rsidR="00B142CC">
      <w:t>ECE/TRANS/2018/16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DA"/>
    <w:rsid w:val="000148A7"/>
    <w:rsid w:val="00033EE1"/>
    <w:rsid w:val="00042B72"/>
    <w:rsid w:val="000558BD"/>
    <w:rsid w:val="000B57E7"/>
    <w:rsid w:val="000B6373"/>
    <w:rsid w:val="000D3E14"/>
    <w:rsid w:val="000E4E5B"/>
    <w:rsid w:val="000F09DF"/>
    <w:rsid w:val="000F61B2"/>
    <w:rsid w:val="001075E9"/>
    <w:rsid w:val="0014152F"/>
    <w:rsid w:val="00180183"/>
    <w:rsid w:val="0018024D"/>
    <w:rsid w:val="0018649F"/>
    <w:rsid w:val="00196389"/>
    <w:rsid w:val="001B3EF6"/>
    <w:rsid w:val="001C0CDA"/>
    <w:rsid w:val="001C2007"/>
    <w:rsid w:val="001C7A89"/>
    <w:rsid w:val="00255343"/>
    <w:rsid w:val="0027151D"/>
    <w:rsid w:val="002A2EFC"/>
    <w:rsid w:val="002B0106"/>
    <w:rsid w:val="002B74B1"/>
    <w:rsid w:val="002C0E18"/>
    <w:rsid w:val="002D57AE"/>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321A2"/>
    <w:rsid w:val="00452493"/>
    <w:rsid w:val="00453318"/>
    <w:rsid w:val="00454AF2"/>
    <w:rsid w:val="00454E07"/>
    <w:rsid w:val="00472C5C"/>
    <w:rsid w:val="004A6664"/>
    <w:rsid w:val="004E05B7"/>
    <w:rsid w:val="0050108D"/>
    <w:rsid w:val="00513081"/>
    <w:rsid w:val="00517901"/>
    <w:rsid w:val="00526683"/>
    <w:rsid w:val="00546490"/>
    <w:rsid w:val="005639C1"/>
    <w:rsid w:val="005709E0"/>
    <w:rsid w:val="00572E19"/>
    <w:rsid w:val="005961C8"/>
    <w:rsid w:val="005966F1"/>
    <w:rsid w:val="005D7914"/>
    <w:rsid w:val="005E2B41"/>
    <w:rsid w:val="005F0B42"/>
    <w:rsid w:val="006345DB"/>
    <w:rsid w:val="00640F49"/>
    <w:rsid w:val="00672BEF"/>
    <w:rsid w:val="00680D03"/>
    <w:rsid w:val="00681A10"/>
    <w:rsid w:val="006978D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029E"/>
    <w:rsid w:val="009D398F"/>
    <w:rsid w:val="009D7E7D"/>
    <w:rsid w:val="00A1030A"/>
    <w:rsid w:val="00A14DA8"/>
    <w:rsid w:val="00A312BC"/>
    <w:rsid w:val="00A84021"/>
    <w:rsid w:val="00A84D35"/>
    <w:rsid w:val="00A917B3"/>
    <w:rsid w:val="00AB4B51"/>
    <w:rsid w:val="00AC162B"/>
    <w:rsid w:val="00B10CC7"/>
    <w:rsid w:val="00B142CC"/>
    <w:rsid w:val="00B36DF7"/>
    <w:rsid w:val="00B539E7"/>
    <w:rsid w:val="00B62458"/>
    <w:rsid w:val="00B8410F"/>
    <w:rsid w:val="00BC18B2"/>
    <w:rsid w:val="00BD33EE"/>
    <w:rsid w:val="00BE1CC7"/>
    <w:rsid w:val="00C059C4"/>
    <w:rsid w:val="00C106D6"/>
    <w:rsid w:val="00C119AE"/>
    <w:rsid w:val="00C15CAD"/>
    <w:rsid w:val="00C15EBA"/>
    <w:rsid w:val="00C60F0C"/>
    <w:rsid w:val="00C805C9"/>
    <w:rsid w:val="00C8168C"/>
    <w:rsid w:val="00C92939"/>
    <w:rsid w:val="00CA1679"/>
    <w:rsid w:val="00CB151C"/>
    <w:rsid w:val="00CE5A1A"/>
    <w:rsid w:val="00CF55F6"/>
    <w:rsid w:val="00D33D63"/>
    <w:rsid w:val="00D402B5"/>
    <w:rsid w:val="00D5253A"/>
    <w:rsid w:val="00D90028"/>
    <w:rsid w:val="00D90138"/>
    <w:rsid w:val="00DD78D1"/>
    <w:rsid w:val="00DE32CD"/>
    <w:rsid w:val="00DF5767"/>
    <w:rsid w:val="00DF71B9"/>
    <w:rsid w:val="00E12C5F"/>
    <w:rsid w:val="00E53755"/>
    <w:rsid w:val="00E73F76"/>
    <w:rsid w:val="00EA2C9F"/>
    <w:rsid w:val="00EA420E"/>
    <w:rsid w:val="00ED0BDA"/>
    <w:rsid w:val="00EE142A"/>
    <w:rsid w:val="00EF1360"/>
    <w:rsid w:val="00EF3220"/>
    <w:rsid w:val="00F2523A"/>
    <w:rsid w:val="00F43903"/>
    <w:rsid w:val="00F94155"/>
    <w:rsid w:val="00F9783F"/>
    <w:rsid w:val="00FC3CD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4483</Words>
  <Characters>25558</Characters>
  <Application>Microsoft Office Word</Application>
  <DocSecurity>4</DocSecurity>
  <Lines>212</Lines>
  <Paragraphs>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ECE/TRANS/2018/16</vt:lpstr>
      <vt:lpstr>ECE/TRANS/2018/16</vt:lpstr>
      <vt:lpstr>A/</vt:lpstr>
    </vt:vector>
  </TitlesOfParts>
  <Company>DCM</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ECE/TRANS/2018/16</dc:title>
  <dc:creator>Sharkina</dc:creator>
  <cp:lastModifiedBy>31/08/2016</cp:lastModifiedBy>
  <cp:revision>2</cp:revision>
  <cp:lastPrinted>2017-12-22T09:30:00Z</cp:lastPrinted>
  <dcterms:created xsi:type="dcterms:W3CDTF">2017-12-22T10:49:00Z</dcterms:created>
  <dcterms:modified xsi:type="dcterms:W3CDTF">2017-12-22T10:49:00Z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