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B421E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B421E5" w:rsidP="00B421E5">
            <w:pPr>
              <w:jc w:val="right"/>
            </w:pPr>
            <w:r w:rsidRPr="00B421E5">
              <w:rPr>
                <w:sz w:val="40"/>
              </w:rPr>
              <w:t>ECE</w:t>
            </w:r>
            <w:r>
              <w:t>/TRANS/2018/14</w:t>
            </w:r>
          </w:p>
        </w:tc>
      </w:tr>
      <w:tr w:rsidR="002D5AAC" w:rsidRPr="004037DB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B421E5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B421E5" w:rsidRDefault="00B421E5" w:rsidP="00B421E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12 December 2017</w:t>
            </w:r>
          </w:p>
          <w:p w:rsidR="00B421E5" w:rsidRDefault="00B421E5" w:rsidP="00B421E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B421E5" w:rsidRPr="008D53B6" w:rsidRDefault="00B421E5" w:rsidP="00B421E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B421E5" w:rsidRPr="005C7F5A" w:rsidRDefault="00B421E5" w:rsidP="005C7F5A">
      <w:pPr>
        <w:spacing w:before="120" w:after="120"/>
        <w:rPr>
          <w:sz w:val="28"/>
        </w:rPr>
      </w:pPr>
      <w:r w:rsidRPr="005C7F5A">
        <w:rPr>
          <w:sz w:val="28"/>
        </w:rPr>
        <w:t>Комитет по внутреннему транспорту</w:t>
      </w:r>
    </w:p>
    <w:p w:rsidR="00B421E5" w:rsidRPr="00B421E5" w:rsidRDefault="00B421E5" w:rsidP="00B421E5">
      <w:pPr>
        <w:rPr>
          <w:b/>
          <w:bCs/>
        </w:rPr>
      </w:pPr>
      <w:r w:rsidRPr="00B421E5">
        <w:rPr>
          <w:b/>
          <w:bCs/>
        </w:rPr>
        <w:t>Восьмидесятая сессия</w:t>
      </w:r>
    </w:p>
    <w:p w:rsidR="00B421E5" w:rsidRPr="00B421E5" w:rsidRDefault="00B421E5" w:rsidP="00B421E5">
      <w:r w:rsidRPr="00B421E5">
        <w:t xml:space="preserve">Женева, 20−23 февраля 2018 года </w:t>
      </w:r>
    </w:p>
    <w:p w:rsidR="00B421E5" w:rsidRPr="00B421E5" w:rsidRDefault="00B421E5" w:rsidP="00B421E5">
      <w:r w:rsidRPr="00B421E5">
        <w:t xml:space="preserve">Пункт 5 е) предварительной повестки дня </w:t>
      </w:r>
    </w:p>
    <w:p w:rsidR="00B421E5" w:rsidRPr="00B421E5" w:rsidRDefault="00B421E5" w:rsidP="00B421E5">
      <w:pPr>
        <w:rPr>
          <w:b/>
          <w:bCs/>
        </w:rPr>
      </w:pPr>
      <w:r w:rsidRPr="00B421E5">
        <w:rPr>
          <w:b/>
          <w:bCs/>
        </w:rPr>
        <w:t xml:space="preserve">Стратегические вопросы, связанные с разными </w:t>
      </w:r>
      <w:r w:rsidR="005C7F5A" w:rsidRPr="005C7F5A">
        <w:rPr>
          <w:b/>
          <w:bCs/>
        </w:rPr>
        <w:br/>
      </w:r>
      <w:r w:rsidRPr="00B421E5">
        <w:rPr>
          <w:b/>
          <w:bCs/>
        </w:rPr>
        <w:t>видами транспорта и тематическими направлениями:</w:t>
      </w:r>
    </w:p>
    <w:p w:rsidR="00E12C5F" w:rsidRPr="005C7F5A" w:rsidRDefault="00B421E5" w:rsidP="00B421E5">
      <w:pPr>
        <w:rPr>
          <w:b/>
          <w:bCs/>
        </w:rPr>
      </w:pPr>
      <w:r w:rsidRPr="00B421E5">
        <w:rPr>
          <w:b/>
          <w:bCs/>
        </w:rPr>
        <w:t>железнодорожный транспорт</w:t>
      </w:r>
    </w:p>
    <w:p w:rsidR="00B421E5" w:rsidRPr="00B421E5" w:rsidRDefault="005C7F5A" w:rsidP="005C7F5A">
      <w:pPr>
        <w:pStyle w:val="HChGR"/>
      </w:pPr>
      <w:r w:rsidRPr="008F2EAB">
        <w:tab/>
      </w:r>
      <w:r w:rsidRPr="008F2EAB">
        <w:tab/>
      </w:r>
      <w:r w:rsidR="00B421E5" w:rsidRPr="00B421E5">
        <w:t xml:space="preserve">Стратегические элементы для Рабочей группы </w:t>
      </w:r>
      <w:r w:rsidRPr="005C7F5A">
        <w:br/>
      </w:r>
      <w:r w:rsidR="00B421E5" w:rsidRPr="00B421E5">
        <w:t xml:space="preserve">по </w:t>
      </w:r>
      <w:proofErr w:type="spellStart"/>
      <w:r w:rsidR="00B421E5" w:rsidRPr="00B421E5">
        <w:t>интермодальным</w:t>
      </w:r>
      <w:proofErr w:type="spellEnd"/>
      <w:r w:rsidR="00B421E5" w:rsidRPr="00B421E5">
        <w:t xml:space="preserve"> перевозкам и логистике </w:t>
      </w:r>
    </w:p>
    <w:p w:rsidR="00B421E5" w:rsidRPr="005C7F5A" w:rsidRDefault="00B421E5" w:rsidP="005C7F5A">
      <w:pPr>
        <w:pStyle w:val="H1GR"/>
      </w:pPr>
      <w:r w:rsidRPr="00B421E5">
        <w:tab/>
      </w:r>
      <w:r w:rsidRPr="00B421E5">
        <w:tab/>
        <w:t>Записка секретариата</w:t>
      </w:r>
    </w:p>
    <w:tbl>
      <w:tblPr>
        <w:tblStyle w:val="TableGrid"/>
        <w:tblW w:w="0" w:type="auto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637"/>
      </w:tblGrid>
      <w:tr w:rsidR="005C7F5A" w:rsidRPr="005C7F5A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:rsidR="005C7F5A" w:rsidRPr="005C7F5A" w:rsidRDefault="005C7F5A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5C7F5A">
              <w:rPr>
                <w:rFonts w:cs="Times New Roman"/>
              </w:rPr>
              <w:tab/>
            </w:r>
            <w:r w:rsidRPr="005C7F5A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5C7F5A" w:rsidRPr="005C7F5A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5C7F5A" w:rsidRPr="005C7F5A" w:rsidRDefault="005C7F5A" w:rsidP="005C7F5A">
            <w:pPr>
              <w:pStyle w:val="SingleTxtGR"/>
            </w:pPr>
            <w:r w:rsidRPr="008F2EAB">
              <w:tab/>
            </w:r>
            <w:r w:rsidRPr="005C7F5A">
              <w:t xml:space="preserve">В настоящей записке представлены ключевые стратегические элементы разработки стратегии на 2019–2023 годы для Рабочей группы по </w:t>
            </w:r>
            <w:proofErr w:type="spellStart"/>
            <w:r w:rsidRPr="005C7F5A">
              <w:t>интермодал</w:t>
            </w:r>
            <w:r w:rsidRPr="005C7F5A">
              <w:t>ь</w:t>
            </w:r>
            <w:r w:rsidRPr="005C7F5A">
              <w:t>ным</w:t>
            </w:r>
            <w:proofErr w:type="spellEnd"/>
            <w:r w:rsidRPr="005C7F5A">
              <w:t xml:space="preserve"> перевозкам и логистике (WP.24), с </w:t>
            </w:r>
            <w:proofErr w:type="gramStart"/>
            <w:r w:rsidRPr="005C7F5A">
              <w:t>тем</w:t>
            </w:r>
            <w:proofErr w:type="gramEnd"/>
            <w:r w:rsidRPr="005C7F5A">
              <w:t xml:space="preserve"> чтобы эта Рабочая группа и затем КВТ приняли их, по возможности в 2019 году. Основными задачами этой стр</w:t>
            </w:r>
            <w:r w:rsidRPr="005C7F5A">
              <w:t>а</w:t>
            </w:r>
            <w:r w:rsidRPr="005C7F5A">
              <w:t>тегии должны стать активизация деятельности Рабочей группы, обусловлив</w:t>
            </w:r>
            <w:r w:rsidRPr="005C7F5A">
              <w:t>а</w:t>
            </w:r>
            <w:r w:rsidRPr="005C7F5A">
              <w:t>ющая увеличение общего числа стран и делегатов, участвующих в сессиях Р</w:t>
            </w:r>
            <w:r w:rsidRPr="005C7F5A">
              <w:t>а</w:t>
            </w:r>
            <w:r w:rsidRPr="005C7F5A">
              <w:t>бочей группы, подготовка конкретных итоговых документов и признание роли Рабочей группы в деле реализации и достижения Целей в области устойчивого развития.</w:t>
            </w:r>
          </w:p>
        </w:tc>
      </w:tr>
      <w:tr w:rsidR="005C7F5A" w:rsidRPr="005C7F5A" w:rsidTr="005C7F5A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</w:tcPr>
          <w:p w:rsidR="005C7F5A" w:rsidRPr="005C7F5A" w:rsidRDefault="005C7F5A" w:rsidP="005C7F5A">
            <w:pPr>
              <w:pStyle w:val="SingleTxtGR"/>
            </w:pPr>
            <w:r w:rsidRPr="008F2EAB">
              <w:tab/>
            </w:r>
            <w:r w:rsidRPr="005C7F5A">
              <w:t xml:space="preserve">Комитет, возможно, пожелает </w:t>
            </w:r>
            <w:r w:rsidRPr="005C7F5A">
              <w:rPr>
                <w:b/>
                <w:bCs/>
              </w:rPr>
              <w:t xml:space="preserve">принять к сведению </w:t>
            </w:r>
            <w:r w:rsidRPr="005C7F5A">
              <w:t>настоящий документ и дать руководящие указания по подготовке стратегии Рабочей группы.</w:t>
            </w:r>
          </w:p>
        </w:tc>
      </w:tr>
      <w:tr w:rsidR="005C7F5A" w:rsidRPr="005C7F5A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:rsidR="005C7F5A" w:rsidRPr="005C7F5A" w:rsidRDefault="005C7F5A" w:rsidP="00850215">
            <w:pPr>
              <w:rPr>
                <w:rFonts w:cs="Times New Roman"/>
              </w:rPr>
            </w:pPr>
          </w:p>
        </w:tc>
      </w:tr>
    </w:tbl>
    <w:p w:rsidR="00B421E5" w:rsidRPr="00B421E5" w:rsidRDefault="00B421E5" w:rsidP="005C7F5A">
      <w:pPr>
        <w:pStyle w:val="HChGR"/>
      </w:pPr>
      <w:r w:rsidRPr="00B421E5">
        <w:tab/>
        <w:t>I.</w:t>
      </w:r>
      <w:r w:rsidRPr="00B421E5">
        <w:tab/>
        <w:t>Введение</w:t>
      </w:r>
    </w:p>
    <w:p w:rsidR="00B421E5" w:rsidRPr="00B421E5" w:rsidRDefault="00B421E5" w:rsidP="005C7F5A">
      <w:pPr>
        <w:pStyle w:val="H1GR"/>
      </w:pPr>
      <w:r w:rsidRPr="00B421E5">
        <w:tab/>
        <w:t>A.</w:t>
      </w:r>
      <w:r w:rsidRPr="00B421E5">
        <w:tab/>
        <w:t xml:space="preserve">Сфера охвата </w:t>
      </w:r>
    </w:p>
    <w:p w:rsidR="00B421E5" w:rsidRPr="00B421E5" w:rsidRDefault="00B421E5" w:rsidP="00B421E5">
      <w:pPr>
        <w:pStyle w:val="SingleTxtGR"/>
      </w:pPr>
      <w:r w:rsidRPr="00B421E5">
        <w:t>1.</w:t>
      </w:r>
      <w:r w:rsidRPr="00B421E5">
        <w:tab/>
        <w:t xml:space="preserve">В контексте определения ключевых стратегических элементов следует оценить основные цели Рабочей группы по </w:t>
      </w:r>
      <w:proofErr w:type="spellStart"/>
      <w:r w:rsidRPr="00B421E5">
        <w:t>интермодальным</w:t>
      </w:r>
      <w:proofErr w:type="spellEnd"/>
      <w:r w:rsidRPr="00B421E5">
        <w:t xml:space="preserve"> перевозкам и л</w:t>
      </w:r>
      <w:r w:rsidRPr="00B421E5">
        <w:t>о</w:t>
      </w:r>
      <w:r w:rsidRPr="00B421E5">
        <w:t xml:space="preserve">гистике, заключающиеся в укреплении основы для устойчивых </w:t>
      </w:r>
      <w:proofErr w:type="spellStart"/>
      <w:r w:rsidRPr="00B421E5">
        <w:t>интермодал</w:t>
      </w:r>
      <w:r w:rsidRPr="00B421E5">
        <w:t>ь</w:t>
      </w:r>
      <w:r w:rsidRPr="00B421E5">
        <w:t>ных</w:t>
      </w:r>
      <w:proofErr w:type="spellEnd"/>
      <w:r w:rsidRPr="00B421E5">
        <w:t xml:space="preserve"> транспортно-логистических операций и стратегий в регионе ЕЭК и разв</w:t>
      </w:r>
      <w:r w:rsidRPr="00B421E5">
        <w:t>и</w:t>
      </w:r>
      <w:r w:rsidRPr="00B421E5">
        <w:t>тии сотрудничества стран-членов при решении этих вопросов посредством о</w:t>
      </w:r>
      <w:r w:rsidRPr="00B421E5">
        <w:t>б</w:t>
      </w:r>
      <w:r w:rsidRPr="00B421E5">
        <w:t>мена опытом и примерами оптимальной практики. Речь идет о вопросах инфр</w:t>
      </w:r>
      <w:r w:rsidRPr="00B421E5">
        <w:t>а</w:t>
      </w:r>
      <w:r w:rsidRPr="00B421E5">
        <w:lastRenderedPageBreak/>
        <w:t>структуры и пересечения границ, а также о мониторинге и обновлении соотве</w:t>
      </w:r>
      <w:r w:rsidRPr="00B421E5">
        <w:t>т</w:t>
      </w:r>
      <w:r w:rsidRPr="00B421E5">
        <w:t>ствующих правовых документов, включая Европейское соглашение о важне</w:t>
      </w:r>
      <w:r w:rsidRPr="00B421E5">
        <w:t>й</w:t>
      </w:r>
      <w:r w:rsidRPr="00B421E5">
        <w:t>ших линиях международных комбинированных перевозок и соответствующих объектах (СЛКП) и Протокол к этому Соглашению о перевозках по внутренним водным путям.</w:t>
      </w:r>
    </w:p>
    <w:p w:rsidR="00B421E5" w:rsidRPr="00B421E5" w:rsidRDefault="00B421E5" w:rsidP="00B421E5">
      <w:pPr>
        <w:pStyle w:val="SingleTxtGR"/>
      </w:pPr>
      <w:r w:rsidRPr="00B421E5">
        <w:t>2.</w:t>
      </w:r>
      <w:r w:rsidRPr="00B421E5">
        <w:tab/>
        <w:t>Приведенный ниже анализ основан на количественных и качественных данных за период 2010</w:t>
      </w:r>
      <w:r w:rsidR="005C7F5A" w:rsidRPr="005C7F5A">
        <w:t>–</w:t>
      </w:r>
      <w:r w:rsidRPr="00B421E5">
        <w:t xml:space="preserve">2017 годов. </w:t>
      </w:r>
      <w:proofErr w:type="gramStart"/>
      <w:r w:rsidRPr="00B421E5">
        <w:t>Этот период был выбран по той причине, что итоги деятельности Рабочей группы выражаются в основном в осуществл</w:t>
      </w:r>
      <w:r w:rsidRPr="00B421E5">
        <w:t>е</w:t>
      </w:r>
      <w:r w:rsidRPr="00B421E5">
        <w:t xml:space="preserve">нии аналитических и </w:t>
      </w:r>
      <w:proofErr w:type="spellStart"/>
      <w:r w:rsidRPr="00B421E5">
        <w:t>межстрановых</w:t>
      </w:r>
      <w:proofErr w:type="spellEnd"/>
      <w:r w:rsidRPr="00B421E5">
        <w:t xml:space="preserve"> мероприятий, т.е. в согласованном разв</w:t>
      </w:r>
      <w:r w:rsidRPr="00B421E5">
        <w:t>и</w:t>
      </w:r>
      <w:r w:rsidRPr="00B421E5">
        <w:t>тии сетей, разработке принципов, учреждении целевых групп, проведении р</w:t>
      </w:r>
      <w:r w:rsidRPr="00B421E5">
        <w:t>а</w:t>
      </w:r>
      <w:r w:rsidRPr="00B421E5">
        <w:t>бочих совещаний и т.д., а не в достижении статистически измеримых результ</w:t>
      </w:r>
      <w:r w:rsidRPr="00B421E5">
        <w:t>а</w:t>
      </w:r>
      <w:r w:rsidRPr="00B421E5">
        <w:t>тов; в данной связи для получения надежной информации необходимо рассмо</w:t>
      </w:r>
      <w:r w:rsidRPr="00B421E5">
        <w:t>т</w:t>
      </w:r>
      <w:r w:rsidRPr="00B421E5">
        <w:t>реть итоги работы за несколько лет.</w:t>
      </w:r>
      <w:proofErr w:type="gramEnd"/>
    </w:p>
    <w:p w:rsidR="00B421E5" w:rsidRPr="00B421E5" w:rsidRDefault="00B421E5" w:rsidP="005C7F5A">
      <w:pPr>
        <w:pStyle w:val="H1GR"/>
      </w:pPr>
      <w:r w:rsidRPr="00B421E5">
        <w:tab/>
        <w:t>B.</w:t>
      </w:r>
      <w:r w:rsidRPr="00B421E5">
        <w:tab/>
        <w:t>Методология</w:t>
      </w:r>
    </w:p>
    <w:p w:rsidR="00B421E5" w:rsidRPr="00B421E5" w:rsidRDefault="00B421E5" w:rsidP="00B421E5">
      <w:pPr>
        <w:pStyle w:val="SingleTxtGR"/>
      </w:pPr>
      <w:r w:rsidRPr="00B421E5">
        <w:t>3.</w:t>
      </w:r>
      <w:r w:rsidRPr="00B421E5">
        <w:tab/>
        <w:t>Методология, т.е. исторический обзор, включающий сбор данных, и стр</w:t>
      </w:r>
      <w:r w:rsidRPr="00B421E5">
        <w:t>а</w:t>
      </w:r>
      <w:r w:rsidR="008F2EAB">
        <w:t>тегический анализ</w:t>
      </w:r>
      <w:r w:rsidRPr="00B421E5">
        <w:t xml:space="preserve"> позволя</w:t>
      </w:r>
      <w:r w:rsidR="008F2EAB">
        <w:t>ю</w:t>
      </w:r>
      <w:r w:rsidRPr="00B421E5">
        <w:t>т параллельно оценить ту степень, в которой Раб</w:t>
      </w:r>
      <w:r w:rsidRPr="00B421E5">
        <w:t>о</w:t>
      </w:r>
      <w:r w:rsidRPr="00B421E5">
        <w:t>чая группа содействовала</w:t>
      </w:r>
      <w:r w:rsidR="008F2EAB">
        <w:t>:</w:t>
      </w:r>
      <w:r w:rsidRPr="00B421E5">
        <w:t xml:space="preserve"> a) укреплению основы для устойчивых </w:t>
      </w:r>
      <w:proofErr w:type="spellStart"/>
      <w:r w:rsidRPr="00B421E5">
        <w:t>интерм</w:t>
      </w:r>
      <w:r w:rsidRPr="00B421E5">
        <w:t>о</w:t>
      </w:r>
      <w:r w:rsidRPr="00B421E5">
        <w:t>дальных</w:t>
      </w:r>
      <w:proofErr w:type="spellEnd"/>
      <w:r w:rsidRPr="00B421E5">
        <w:t xml:space="preserve"> транспортно-логистических операций и стратегий в регионе; и b) ра</w:t>
      </w:r>
      <w:r w:rsidRPr="00B421E5">
        <w:t>з</w:t>
      </w:r>
      <w:r w:rsidRPr="00B421E5">
        <w:t>витию сотрудничества между странами</w:t>
      </w:r>
      <w:r w:rsidR="008F2EAB">
        <w:t xml:space="preserve"> – </w:t>
      </w:r>
      <w:r w:rsidRPr="00B421E5">
        <w:t>членами ЕЭК в области обмена оп</w:t>
      </w:r>
      <w:r w:rsidRPr="00B421E5">
        <w:t>ы</w:t>
      </w:r>
      <w:r w:rsidRPr="00B421E5">
        <w:t xml:space="preserve">том и примерами оптимальной практики. </w:t>
      </w:r>
    </w:p>
    <w:p w:rsidR="00B421E5" w:rsidRPr="00B421E5" w:rsidRDefault="00B421E5" w:rsidP="00B421E5">
      <w:pPr>
        <w:pStyle w:val="SingleTxtGR"/>
      </w:pPr>
      <w:r w:rsidRPr="00B421E5">
        <w:t>4.</w:t>
      </w:r>
      <w:r w:rsidRPr="00B421E5">
        <w:tab/>
        <w:t>Данная методология характеризуется следующими двумя основными преимуществами: a) анализом внешних условий, в которых WP.24 функцион</w:t>
      </w:r>
      <w:r w:rsidRPr="00B421E5">
        <w:t>и</w:t>
      </w:r>
      <w:r w:rsidRPr="00B421E5">
        <w:t>рует в течение последних семи лет, позволяющим обеспечить стратегическое позиционирование Рабочей группы и оценить степень ее воздействия на клие</w:t>
      </w:r>
      <w:r w:rsidRPr="00B421E5">
        <w:t>н</w:t>
      </w:r>
      <w:r w:rsidRPr="00B421E5">
        <w:t>тов (правительства); и b) определением результатов, достигнутых Рабочей группой за эти семь лет, и, следовательно, получением информации из первых рук относительно оперативных ограничений с целью проведения исчерпыва</w:t>
      </w:r>
      <w:r w:rsidRPr="00B421E5">
        <w:t>ю</w:t>
      </w:r>
      <w:r w:rsidRPr="00B421E5">
        <w:t>щей, справедливой и беспристрастной оценки.</w:t>
      </w:r>
    </w:p>
    <w:p w:rsidR="00B421E5" w:rsidRPr="00B421E5" w:rsidRDefault="00B421E5" w:rsidP="005C7F5A">
      <w:pPr>
        <w:pStyle w:val="HChGR"/>
      </w:pPr>
      <w:r w:rsidRPr="00B421E5">
        <w:tab/>
        <w:t>II.</w:t>
      </w:r>
      <w:r w:rsidRPr="00B421E5">
        <w:tab/>
        <w:t>Выводы</w:t>
      </w:r>
    </w:p>
    <w:p w:rsidR="00B421E5" w:rsidRPr="00B421E5" w:rsidRDefault="00B421E5" w:rsidP="005C7F5A">
      <w:pPr>
        <w:pStyle w:val="H1GR"/>
      </w:pPr>
      <w:r w:rsidRPr="00B421E5">
        <w:tab/>
        <w:t>A.</w:t>
      </w:r>
      <w:r w:rsidRPr="00B421E5">
        <w:tab/>
        <w:t>Исторический обзор</w:t>
      </w:r>
    </w:p>
    <w:p w:rsidR="00B421E5" w:rsidRPr="00B421E5" w:rsidRDefault="00B421E5" w:rsidP="00B421E5">
      <w:pPr>
        <w:pStyle w:val="SingleTxtGR"/>
      </w:pPr>
      <w:r w:rsidRPr="00B421E5">
        <w:t>5.</w:t>
      </w:r>
      <w:r w:rsidRPr="00B421E5">
        <w:tab/>
        <w:t xml:space="preserve">В контексте исторического обзора произведена оценка соответствия </w:t>
      </w:r>
      <w:proofErr w:type="spellStart"/>
      <w:r w:rsidRPr="00B421E5">
        <w:t>о</w:t>
      </w:r>
      <w:r w:rsidRPr="00B421E5">
        <w:t>б</w:t>
      </w:r>
      <w:r w:rsidRPr="00B421E5">
        <w:t>суждавшихся</w:t>
      </w:r>
      <w:proofErr w:type="spellEnd"/>
      <w:r w:rsidRPr="00B421E5">
        <w:t xml:space="preserve"> WP.24 тем общеевропейским тенденциям в области </w:t>
      </w:r>
      <w:proofErr w:type="spellStart"/>
      <w:r w:rsidRPr="00B421E5">
        <w:t>интермодал</w:t>
      </w:r>
      <w:r w:rsidRPr="00B421E5">
        <w:t>ь</w:t>
      </w:r>
      <w:r w:rsidRPr="00B421E5">
        <w:t>ных</w:t>
      </w:r>
      <w:proofErr w:type="spellEnd"/>
      <w:r w:rsidRPr="00B421E5">
        <w:t xml:space="preserve"> перевозок, выявленным за период 2010</w:t>
      </w:r>
      <w:r w:rsidR="005C7F5A" w:rsidRPr="005C7F5A">
        <w:t>–</w:t>
      </w:r>
      <w:r w:rsidRPr="00B421E5">
        <w:t>2017 годов. Были оценены мер</w:t>
      </w:r>
      <w:r w:rsidRPr="00B421E5">
        <w:t>о</w:t>
      </w:r>
      <w:r w:rsidRPr="00B421E5">
        <w:t xml:space="preserve">приятия, проводившиеся по решению Рабочей группы, и реакция стран на эти мероприятия. Цели этого исторического обзора состояли </w:t>
      </w:r>
      <w:proofErr w:type="gramStart"/>
      <w:r w:rsidRPr="00B421E5">
        <w:t>в</w:t>
      </w:r>
      <w:proofErr w:type="gramEnd"/>
      <w:r w:rsidR="008F2EAB">
        <w:t>:</w:t>
      </w:r>
      <w:r w:rsidRPr="00B421E5">
        <w:t xml:space="preserve"> </w:t>
      </w:r>
    </w:p>
    <w:p w:rsidR="00B421E5" w:rsidRPr="00B421E5" w:rsidRDefault="00B421E5" w:rsidP="00B421E5">
      <w:pPr>
        <w:pStyle w:val="SingleTxtGR"/>
      </w:pPr>
      <w:r w:rsidRPr="00B421E5">
        <w:tab/>
        <w:t>a)</w:t>
      </w:r>
      <w:r w:rsidRPr="00B421E5">
        <w:tab/>
        <w:t xml:space="preserve">оценке той степени, в которой WP.24 удалось выявить текущие тенденции и изменения в области </w:t>
      </w:r>
      <w:proofErr w:type="spellStart"/>
      <w:r w:rsidRPr="00B421E5">
        <w:t>интермодальных</w:t>
      </w:r>
      <w:proofErr w:type="spellEnd"/>
      <w:r w:rsidRPr="00B421E5">
        <w:t xml:space="preserve"> перевозок; </w:t>
      </w:r>
    </w:p>
    <w:p w:rsidR="00B421E5" w:rsidRPr="00B421E5" w:rsidRDefault="00B421E5" w:rsidP="00B421E5">
      <w:pPr>
        <w:pStyle w:val="SingleTxtGR"/>
      </w:pPr>
      <w:r w:rsidRPr="00B421E5">
        <w:tab/>
        <w:t>b)</w:t>
      </w:r>
      <w:r w:rsidRPr="00B421E5">
        <w:tab/>
        <w:t>оценке реакции WP.24 на эти тенденции и изменения; и</w:t>
      </w:r>
    </w:p>
    <w:p w:rsidR="00B421E5" w:rsidRPr="00B421E5" w:rsidRDefault="00B421E5" w:rsidP="00B421E5">
      <w:pPr>
        <w:pStyle w:val="SingleTxtGR"/>
      </w:pPr>
      <w:r w:rsidRPr="00B421E5">
        <w:tab/>
        <w:t>с)</w:t>
      </w:r>
      <w:r w:rsidRPr="00B421E5">
        <w:tab/>
      </w:r>
      <w:proofErr w:type="gramStart"/>
      <w:r w:rsidRPr="00B421E5">
        <w:t>проведении</w:t>
      </w:r>
      <w:proofErr w:type="gramEnd"/>
      <w:r w:rsidRPr="00B421E5">
        <w:t xml:space="preserve"> количественного и качественного анализа принятых мер и проведенных мероприятий.</w:t>
      </w:r>
    </w:p>
    <w:p w:rsidR="00B421E5" w:rsidRPr="00B421E5" w:rsidRDefault="00B421E5" w:rsidP="00B421E5">
      <w:pPr>
        <w:pStyle w:val="SingleTxtGR"/>
      </w:pPr>
      <w:r w:rsidRPr="00B421E5">
        <w:t>6.</w:t>
      </w:r>
      <w:r w:rsidRPr="00B421E5">
        <w:tab/>
        <w:t xml:space="preserve">На диаграмме 1 представлены тенденции в области общеевропейских </w:t>
      </w:r>
      <w:proofErr w:type="spellStart"/>
      <w:r w:rsidRPr="00B421E5">
        <w:t>и</w:t>
      </w:r>
      <w:r w:rsidRPr="00B421E5">
        <w:t>н</w:t>
      </w:r>
      <w:r w:rsidRPr="00B421E5">
        <w:t>термодальных</w:t>
      </w:r>
      <w:proofErr w:type="spellEnd"/>
      <w:r w:rsidRPr="00B421E5">
        <w:t xml:space="preserve"> перевозок и темы, </w:t>
      </w:r>
      <w:proofErr w:type="spellStart"/>
      <w:r w:rsidRPr="00B421E5">
        <w:t>рассматривавшиеся</w:t>
      </w:r>
      <w:proofErr w:type="spellEnd"/>
      <w:r w:rsidRPr="00B421E5">
        <w:t xml:space="preserve"> на рабочих совещаниях WP.24 в этот период.</w:t>
      </w:r>
    </w:p>
    <w:p w:rsidR="00B421E5" w:rsidRPr="005C7F5A" w:rsidRDefault="005C7F5A" w:rsidP="005C7F5A">
      <w:pPr>
        <w:pStyle w:val="H23GR"/>
        <w:rPr>
          <w:bCs/>
        </w:rPr>
      </w:pPr>
      <w:r w:rsidRPr="008F2EAB">
        <w:lastRenderedPageBreak/>
        <w:tab/>
      </w:r>
      <w:r w:rsidRPr="008F2EAB">
        <w:rPr>
          <w:b w:val="0"/>
        </w:rPr>
        <w:tab/>
      </w:r>
      <w:r w:rsidR="00B421E5" w:rsidRPr="005C7F5A">
        <w:rPr>
          <w:b w:val="0"/>
        </w:rPr>
        <w:t>Диаграмма 1</w:t>
      </w:r>
      <w:r w:rsidR="00B421E5" w:rsidRPr="00B421E5">
        <w:t xml:space="preserve"> </w:t>
      </w:r>
      <w:r w:rsidRPr="005C7F5A">
        <w:br/>
      </w:r>
      <w:r w:rsidR="00B421E5" w:rsidRPr="00B421E5">
        <w:rPr>
          <w:bCs/>
        </w:rPr>
        <w:t xml:space="preserve">Общеевропейские тенденции в области </w:t>
      </w:r>
      <w:proofErr w:type="spellStart"/>
      <w:r w:rsidR="00B421E5" w:rsidRPr="00B421E5">
        <w:rPr>
          <w:bCs/>
        </w:rPr>
        <w:t>интермодальных</w:t>
      </w:r>
      <w:proofErr w:type="spellEnd"/>
      <w:r w:rsidR="00B421E5" w:rsidRPr="00B421E5">
        <w:rPr>
          <w:bCs/>
        </w:rPr>
        <w:t xml:space="preserve"> перевозок </w:t>
      </w:r>
      <w:r w:rsidR="008F2EAB">
        <w:rPr>
          <w:bCs/>
        </w:rPr>
        <w:br/>
      </w:r>
      <w:r w:rsidR="00B421E5" w:rsidRPr="00B421E5">
        <w:rPr>
          <w:bCs/>
        </w:rPr>
        <w:t>и рабочие совещания, организованные WP.24</w:t>
      </w:r>
    </w:p>
    <w:p w:rsidR="00BD3482" w:rsidRDefault="001D0ECC" w:rsidP="00B421E5">
      <w:pPr>
        <w:pStyle w:val="SingleTxtGR"/>
        <w:rPr>
          <w:noProof/>
          <w:lang w:val="en-US" w:eastAsia="ru-RU"/>
        </w:rPr>
      </w:pPr>
      <w:r w:rsidRPr="001D0ECC">
        <w:rPr>
          <w:noProof/>
          <w:lang w:val="en-GB" w:eastAsia="en-GB"/>
        </w:rPr>
        <w:drawing>
          <wp:inline distT="0" distB="0" distL="0" distR="0" wp14:anchorId="08A165F2" wp14:editId="32D0A013">
            <wp:extent cx="5390707" cy="1607920"/>
            <wp:effectExtent l="0" t="0" r="63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96637" cy="1609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1E5" w:rsidRPr="001D0ECC" w:rsidRDefault="00B421E5" w:rsidP="001D0ECC">
      <w:pPr>
        <w:pStyle w:val="SingleTxtGR"/>
        <w:spacing w:line="220" w:lineRule="exact"/>
        <w:ind w:firstLine="142"/>
        <w:rPr>
          <w:sz w:val="18"/>
        </w:rPr>
      </w:pPr>
      <w:r w:rsidRPr="001D0ECC">
        <w:rPr>
          <w:i/>
          <w:iCs/>
          <w:sz w:val="18"/>
        </w:rPr>
        <w:t>Источник</w:t>
      </w:r>
      <w:r w:rsidRPr="001D0ECC">
        <w:rPr>
          <w:sz w:val="18"/>
        </w:rPr>
        <w:t>: Отдел транспорта ЕЭК ООН</w:t>
      </w:r>
      <w:r w:rsidR="001D0ECC">
        <w:rPr>
          <w:sz w:val="18"/>
        </w:rPr>
        <w:t>.</w:t>
      </w:r>
    </w:p>
    <w:p w:rsidR="00B421E5" w:rsidRPr="00B421E5" w:rsidRDefault="00B421E5" w:rsidP="00B421E5">
      <w:pPr>
        <w:pStyle w:val="SingleTxtGR"/>
      </w:pPr>
      <w:r w:rsidRPr="00B421E5">
        <w:t>7.</w:t>
      </w:r>
      <w:r w:rsidRPr="00B421E5">
        <w:tab/>
        <w:t xml:space="preserve">Синяя (левая) часть диаграммы иллюстрирует основные темы в области </w:t>
      </w:r>
      <w:proofErr w:type="spellStart"/>
      <w:r w:rsidRPr="00B421E5">
        <w:t>интермодальных</w:t>
      </w:r>
      <w:proofErr w:type="spellEnd"/>
      <w:r w:rsidRPr="00B421E5">
        <w:t xml:space="preserve"> перевозок за период 2010</w:t>
      </w:r>
      <w:r w:rsidR="00F40AC7">
        <w:t>–</w:t>
      </w:r>
      <w:r w:rsidRPr="00B421E5">
        <w:t>2017 годов на общеевропейском уровне. Они обсуждались на совещаниях, организованных соответствующими основными международными и региональными транспортными организациями. Поскольку следовало обеспечить объективный отбор тем, которые могут ра</w:t>
      </w:r>
      <w:r w:rsidRPr="00B421E5">
        <w:t>с</w:t>
      </w:r>
      <w:r w:rsidRPr="00B421E5">
        <w:t xml:space="preserve">сматриваться в качестве </w:t>
      </w:r>
      <w:r w:rsidR="001D0ECC">
        <w:t>«</w:t>
      </w:r>
      <w:r w:rsidRPr="00B421E5">
        <w:t xml:space="preserve">основных в контексте </w:t>
      </w:r>
      <w:proofErr w:type="spellStart"/>
      <w:r w:rsidRPr="00B421E5">
        <w:t>интермодальных</w:t>
      </w:r>
      <w:proofErr w:type="spellEnd"/>
      <w:r w:rsidRPr="00B421E5">
        <w:t xml:space="preserve"> перевозок на общеевропейском уровне</w:t>
      </w:r>
      <w:r w:rsidR="001D0ECC">
        <w:t>»</w:t>
      </w:r>
      <w:r w:rsidRPr="00B421E5">
        <w:t>, именно вышеупомянутый метод был признан наиболее надежным.</w:t>
      </w:r>
    </w:p>
    <w:p w:rsidR="00B421E5" w:rsidRPr="00B421E5" w:rsidRDefault="00B421E5" w:rsidP="00B421E5">
      <w:pPr>
        <w:pStyle w:val="SingleTxtGR"/>
      </w:pPr>
      <w:r w:rsidRPr="00B421E5">
        <w:t>8.</w:t>
      </w:r>
      <w:r w:rsidRPr="00B421E5">
        <w:tab/>
        <w:t xml:space="preserve">Зеленая (правая) часть диаграммы иллюстрирует основные темы, </w:t>
      </w:r>
      <w:proofErr w:type="spellStart"/>
      <w:r w:rsidRPr="00B421E5">
        <w:t>обсу</w:t>
      </w:r>
      <w:r w:rsidRPr="00B421E5">
        <w:t>ж</w:t>
      </w:r>
      <w:r w:rsidRPr="00B421E5">
        <w:t>давшиеся</w:t>
      </w:r>
      <w:proofErr w:type="spellEnd"/>
      <w:r w:rsidRPr="00B421E5">
        <w:t xml:space="preserve"> на рабочих совещаниях WP.24, орг</w:t>
      </w:r>
      <w:r w:rsidR="008F2EAB">
        <w:t>анизованных в тот же период. Во </w:t>
      </w:r>
      <w:r w:rsidRPr="00B421E5">
        <w:t>всех случаях (или во все годы) Рабочая группа затрагивала и рассматривала вопросы, которые были в той или иной степени связаны с наиболее актуальн</w:t>
      </w:r>
      <w:r w:rsidRPr="00B421E5">
        <w:t>ы</w:t>
      </w:r>
      <w:r w:rsidRPr="00B421E5">
        <w:t xml:space="preserve">ми тенденциями и темами в контексте </w:t>
      </w:r>
      <w:proofErr w:type="spellStart"/>
      <w:r w:rsidRPr="00B421E5">
        <w:t>интермодальных</w:t>
      </w:r>
      <w:proofErr w:type="spellEnd"/>
      <w:r w:rsidRPr="00B421E5">
        <w:t xml:space="preserve"> перевозок в конкретный период времени. Некоторые темы, как, например, взимание платы за пользов</w:t>
      </w:r>
      <w:r w:rsidRPr="00B421E5">
        <w:t>а</w:t>
      </w:r>
      <w:r w:rsidRPr="00B421E5">
        <w:t xml:space="preserve">ние инфраструктурой, электронный обмен данными, </w:t>
      </w:r>
      <w:proofErr w:type="spellStart"/>
      <w:r w:rsidRPr="00B421E5">
        <w:t>интермодальные</w:t>
      </w:r>
      <w:proofErr w:type="spellEnd"/>
      <w:r w:rsidRPr="00B421E5">
        <w:t xml:space="preserve"> тран</w:t>
      </w:r>
      <w:r w:rsidRPr="00B421E5">
        <w:t>с</w:t>
      </w:r>
      <w:r w:rsidRPr="00B421E5">
        <w:t xml:space="preserve">портные коридоры и комплексная инфраструктура, вообще не рассматривались. </w:t>
      </w:r>
    </w:p>
    <w:p w:rsidR="00B421E5" w:rsidRPr="00B421E5" w:rsidRDefault="00B421E5" w:rsidP="00B421E5">
      <w:pPr>
        <w:pStyle w:val="SingleTxtGR"/>
      </w:pPr>
      <w:r w:rsidRPr="00B421E5">
        <w:t>9.</w:t>
      </w:r>
      <w:r w:rsidRPr="00B421E5">
        <w:tab/>
        <w:t>На диаграмме 2 указано число стран, общее число делегатов и число ор</w:t>
      </w:r>
      <w:r w:rsidRPr="00B421E5">
        <w:t>а</w:t>
      </w:r>
      <w:r w:rsidRPr="00B421E5">
        <w:t>торов, принявших участие в рабочих совещаниях, организованных Рабочей группой за этот период.</w:t>
      </w:r>
    </w:p>
    <w:p w:rsidR="00B421E5" w:rsidRPr="00B421E5" w:rsidRDefault="001D0ECC" w:rsidP="001D0ECC">
      <w:pPr>
        <w:pStyle w:val="H23GR"/>
        <w:rPr>
          <w:bCs/>
        </w:rPr>
      </w:pPr>
      <w:r w:rsidRPr="008F2EAB">
        <w:tab/>
      </w:r>
      <w:r w:rsidRPr="008F2EAB">
        <w:tab/>
      </w:r>
      <w:r w:rsidR="00B421E5" w:rsidRPr="001D0ECC">
        <w:rPr>
          <w:b w:val="0"/>
        </w:rPr>
        <w:t>Диаграмма 2</w:t>
      </w:r>
      <w:r w:rsidR="00B421E5" w:rsidRPr="00B421E5">
        <w:t xml:space="preserve"> </w:t>
      </w:r>
      <w:r w:rsidRPr="001D0ECC">
        <w:br/>
      </w:r>
      <w:r w:rsidR="00B421E5" w:rsidRPr="00B421E5">
        <w:rPr>
          <w:bCs/>
        </w:rPr>
        <w:t>Число стран, общее число делегатов и число ораторов, принявших участие в сессиях WP.24</w:t>
      </w:r>
    </w:p>
    <w:p w:rsidR="001D0ECC" w:rsidRDefault="00B421E5" w:rsidP="001D0ECC">
      <w:pPr>
        <w:pStyle w:val="SingleTxtGR"/>
        <w:spacing w:after="0"/>
        <w:rPr>
          <w:i/>
          <w:iCs/>
          <w:sz w:val="18"/>
        </w:rPr>
      </w:pPr>
      <w:r>
        <w:rPr>
          <w:noProof/>
          <w:lang w:val="en-GB" w:eastAsia="en-GB"/>
        </w:rPr>
        <w:drawing>
          <wp:inline distT="0" distB="0" distL="0" distR="0" wp14:anchorId="67E6B46B" wp14:editId="18A4534D">
            <wp:extent cx="4242390" cy="2716618"/>
            <wp:effectExtent l="0" t="0" r="25400" b="26670"/>
            <wp:docPr id="37" name="Диаграмма 37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5AD331A9-358D-460A-B88F-DA0F375AD5A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421E5" w:rsidRPr="001D0ECC" w:rsidRDefault="00B421E5" w:rsidP="001D0ECC">
      <w:pPr>
        <w:pStyle w:val="SingleTxtGR"/>
        <w:rPr>
          <w:sz w:val="18"/>
        </w:rPr>
      </w:pPr>
      <w:r w:rsidRPr="001D0ECC">
        <w:rPr>
          <w:i/>
          <w:iCs/>
          <w:sz w:val="18"/>
        </w:rPr>
        <w:t>Источник</w:t>
      </w:r>
      <w:r w:rsidRPr="001D0ECC">
        <w:rPr>
          <w:sz w:val="18"/>
        </w:rPr>
        <w:t>: Отдел транспорта ЕЭК ООН</w:t>
      </w:r>
      <w:r w:rsidR="001D0ECC" w:rsidRPr="001D0ECC">
        <w:rPr>
          <w:sz w:val="18"/>
        </w:rPr>
        <w:t>.</w:t>
      </w:r>
    </w:p>
    <w:p w:rsidR="00B421E5" w:rsidRPr="00B421E5" w:rsidRDefault="00B421E5" w:rsidP="00B421E5">
      <w:pPr>
        <w:pStyle w:val="SingleTxtGR"/>
      </w:pPr>
      <w:r w:rsidRPr="00B421E5">
        <w:lastRenderedPageBreak/>
        <w:t>10.</w:t>
      </w:r>
      <w:r w:rsidRPr="00B421E5">
        <w:tab/>
        <w:t>Как следует из диаграммы 2, в 2017 году, когда секретариатом были предприняты усилия по активизации сессий Рабочей группы, правительства п</w:t>
      </w:r>
      <w:r w:rsidRPr="00B421E5">
        <w:t>о</w:t>
      </w:r>
      <w:r w:rsidRPr="00B421E5">
        <w:t>зитивно отреагировали на эти усилия. Число стран, принявших участие в раб</w:t>
      </w:r>
      <w:r w:rsidRPr="00B421E5">
        <w:t>о</w:t>
      </w:r>
      <w:r w:rsidRPr="00B421E5">
        <w:t>те сессии нынешнего года, возросло на 80% (восемнадцать по сравнению в среднем с десятью за последние три года). Кроме того, число участников се</w:t>
      </w:r>
      <w:r w:rsidRPr="00B421E5">
        <w:t>с</w:t>
      </w:r>
      <w:r w:rsidRPr="00B421E5">
        <w:t>сии возросло на 70% (54 в нынешнем году по сравнению в среднем с 31 за п</w:t>
      </w:r>
      <w:r w:rsidRPr="00B421E5">
        <w:t>о</w:t>
      </w:r>
      <w:r w:rsidRPr="00B421E5">
        <w:t xml:space="preserve">следние три года). Наряду с этим на 95% возросло число ораторов на рабочих совещаниях (13 в нынешнем году по сравнению в среднем с </w:t>
      </w:r>
      <w:r w:rsidR="008F2EAB">
        <w:t>6</w:t>
      </w:r>
      <w:r w:rsidRPr="00B421E5">
        <w:t xml:space="preserve"> за последние три года). Однако</w:t>
      </w:r>
      <w:r w:rsidR="00F40AC7">
        <w:t xml:space="preserve"> </w:t>
      </w:r>
      <w:r w:rsidRPr="00B421E5">
        <w:t>секретариат отметил, что необходимы дальнейшие усилия для дальнейшего увеличения числа стран и общего числа участников работы се</w:t>
      </w:r>
      <w:r w:rsidRPr="00B421E5">
        <w:t>с</w:t>
      </w:r>
      <w:r w:rsidRPr="00B421E5">
        <w:t>сий. К числу некоторых из предложенных секретариатом мер относится дост</w:t>
      </w:r>
      <w:r w:rsidRPr="00B421E5">
        <w:t>и</w:t>
      </w:r>
      <w:r w:rsidRPr="00B421E5">
        <w:t>жение конкретных результатов, введение новых пунктов повестки дня, пров</w:t>
      </w:r>
      <w:r w:rsidRPr="00B421E5">
        <w:t>е</w:t>
      </w:r>
      <w:r w:rsidRPr="00B421E5">
        <w:t>дение ежедневных рабочих совещаний, а также трехдневной сессии.</w:t>
      </w:r>
    </w:p>
    <w:p w:rsidR="00B421E5" w:rsidRPr="00B421E5" w:rsidRDefault="00B421E5" w:rsidP="001D0ECC">
      <w:pPr>
        <w:pStyle w:val="H1GR"/>
      </w:pPr>
      <w:r w:rsidRPr="00B421E5">
        <w:tab/>
        <w:t>B.</w:t>
      </w:r>
      <w:r w:rsidRPr="00B421E5">
        <w:tab/>
        <w:t>Анализ ПЭСТ</w:t>
      </w:r>
    </w:p>
    <w:p w:rsidR="00B421E5" w:rsidRPr="00B421E5" w:rsidRDefault="00B421E5" w:rsidP="00B421E5">
      <w:pPr>
        <w:pStyle w:val="SingleTxtGR"/>
      </w:pPr>
      <w:r w:rsidRPr="00B421E5">
        <w:t>11.</w:t>
      </w:r>
      <w:r w:rsidRPr="00B421E5">
        <w:tab/>
        <w:t>Политический, экономический, социальный и технологический анализ поможет определить условия, в которых функционирует WP.24, и факторы, вл</w:t>
      </w:r>
      <w:r w:rsidRPr="00B421E5">
        <w:t>и</w:t>
      </w:r>
      <w:r w:rsidRPr="00B421E5">
        <w:t>яющие на работу и изменения.</w:t>
      </w:r>
    </w:p>
    <w:p w:rsidR="00B421E5" w:rsidRPr="00B421E5" w:rsidRDefault="00B421E5" w:rsidP="00B421E5">
      <w:pPr>
        <w:pStyle w:val="SingleTxtGR"/>
      </w:pPr>
      <w:r w:rsidRPr="00B421E5">
        <w:t>12.</w:t>
      </w:r>
      <w:r w:rsidRPr="00B421E5">
        <w:tab/>
        <w:t>Политические условия: Рабочая группа функционирует в рамках Комит</w:t>
      </w:r>
      <w:r w:rsidRPr="00B421E5">
        <w:t>е</w:t>
      </w:r>
      <w:r w:rsidRPr="00B421E5">
        <w:t xml:space="preserve">та по внутреннему транспорту, для которого Отдел транспорта </w:t>
      </w:r>
      <w:proofErr w:type="gramStart"/>
      <w:r w:rsidRPr="00B421E5">
        <w:t>выполняет роль</w:t>
      </w:r>
      <w:proofErr w:type="gramEnd"/>
      <w:r w:rsidRPr="00B421E5">
        <w:t xml:space="preserve"> секретариата. </w:t>
      </w:r>
      <w:proofErr w:type="gramStart"/>
      <w:r w:rsidRPr="00B421E5">
        <w:t xml:space="preserve">Кроме того, в ЕЭК также входит Содружество Независимых </w:t>
      </w:r>
      <w:proofErr w:type="spellStart"/>
      <w:r w:rsidRPr="00B421E5">
        <w:t>Го</w:t>
      </w:r>
      <w:r w:rsidR="008F2EAB">
        <w:t>-</w:t>
      </w:r>
      <w:r w:rsidRPr="00B421E5">
        <w:t>сударств</w:t>
      </w:r>
      <w:proofErr w:type="spellEnd"/>
      <w:r w:rsidRPr="00B421E5">
        <w:t>, испытывающее острую потребность в облегчении перевозок и в те</w:t>
      </w:r>
      <w:r w:rsidRPr="00B421E5">
        <w:t>х</w:t>
      </w:r>
      <w:r w:rsidRPr="00B421E5">
        <w:t>нической помощи.</w:t>
      </w:r>
      <w:proofErr w:type="gramEnd"/>
      <w:r w:rsidRPr="00B421E5">
        <w:t xml:space="preserve"> Речь идет о географическом регионе, где активную роль в осуществлении различных проектов и инициатив, особенно в области </w:t>
      </w:r>
      <w:proofErr w:type="spellStart"/>
      <w:r w:rsidRPr="00B421E5">
        <w:t>интерм</w:t>
      </w:r>
      <w:r w:rsidRPr="00B421E5">
        <w:t>о</w:t>
      </w:r>
      <w:r w:rsidRPr="00B421E5">
        <w:t>дальных</w:t>
      </w:r>
      <w:proofErr w:type="spellEnd"/>
      <w:r w:rsidRPr="00B421E5">
        <w:t xml:space="preserve"> перевозок, включая соглашение о </w:t>
      </w:r>
      <w:r w:rsidR="001D0ECC">
        <w:t>«</w:t>
      </w:r>
      <w:r w:rsidRPr="00B421E5">
        <w:t>сухих портах</w:t>
      </w:r>
      <w:r w:rsidR="001D0ECC">
        <w:t>»</w:t>
      </w:r>
      <w:r w:rsidRPr="00B421E5">
        <w:t>, играет ЭСКАТО. Финансирование ЭСКАТО, по всей видимости, не является столь же огран</w:t>
      </w:r>
      <w:r w:rsidRPr="00B421E5">
        <w:t>и</w:t>
      </w:r>
      <w:r w:rsidRPr="00B421E5">
        <w:t xml:space="preserve">ченным, как в случае ЕЭК, и поэтому ЭСКАТО в большей степени </w:t>
      </w:r>
      <w:proofErr w:type="gramStart"/>
      <w:r w:rsidRPr="00B421E5">
        <w:t>ориентир</w:t>
      </w:r>
      <w:r w:rsidRPr="00B421E5">
        <w:t>о</w:t>
      </w:r>
      <w:r w:rsidRPr="00B421E5">
        <w:t>вана</w:t>
      </w:r>
      <w:proofErr w:type="gramEnd"/>
      <w:r w:rsidRPr="00B421E5">
        <w:t xml:space="preserve"> на реализацию проектов в этой области, чем ЕЭК.</w:t>
      </w:r>
    </w:p>
    <w:p w:rsidR="00B421E5" w:rsidRPr="00B421E5" w:rsidRDefault="00B421E5" w:rsidP="00B421E5">
      <w:pPr>
        <w:pStyle w:val="SingleTxtGR"/>
      </w:pPr>
      <w:r w:rsidRPr="00B421E5">
        <w:t>13.</w:t>
      </w:r>
      <w:r w:rsidRPr="00B421E5">
        <w:tab/>
        <w:t>Основным преимуществом Отдела транспорта ЕЭК перед другими по</w:t>
      </w:r>
      <w:r w:rsidRPr="00B421E5">
        <w:t>д</w:t>
      </w:r>
      <w:r w:rsidRPr="00B421E5">
        <w:t>разделениями являются 57 международных транспортных конвенций и согл</w:t>
      </w:r>
      <w:r w:rsidRPr="00B421E5">
        <w:t>а</w:t>
      </w:r>
      <w:r w:rsidRPr="00B421E5">
        <w:t>шений, находящихся в его ведении. Хотя WP.24 осуществляет функции секр</w:t>
      </w:r>
      <w:r w:rsidRPr="00B421E5">
        <w:t>е</w:t>
      </w:r>
      <w:r w:rsidRPr="00B421E5">
        <w:t>тариата для Административного комитета Соглашения СЛКП и Протокола к нему о перевозках по внутренним водным путям, лишь немногие из Договар</w:t>
      </w:r>
      <w:r w:rsidRPr="00B421E5">
        <w:t>и</w:t>
      </w:r>
      <w:r w:rsidRPr="00B421E5">
        <w:t>вающихся сторон участвуют в работе сессий этого Административного комит</w:t>
      </w:r>
      <w:r w:rsidRPr="00B421E5">
        <w:t>е</w:t>
      </w:r>
      <w:r w:rsidRPr="00B421E5">
        <w:t>та (7</w:t>
      </w:r>
      <w:r w:rsidR="001D0ECC">
        <w:t>–</w:t>
      </w:r>
      <w:r w:rsidRPr="00B421E5">
        <w:t xml:space="preserve">8 из 32 Договаривающихся сторон). </w:t>
      </w:r>
    </w:p>
    <w:p w:rsidR="00B421E5" w:rsidRPr="00B421E5" w:rsidRDefault="00B421E5" w:rsidP="00B421E5">
      <w:pPr>
        <w:pStyle w:val="SingleTxtGR"/>
      </w:pPr>
      <w:r w:rsidRPr="00B421E5">
        <w:t>14.</w:t>
      </w:r>
      <w:r w:rsidRPr="00B421E5">
        <w:tab/>
        <w:t>Экономические условия: сокращение бюджетных средств на всех уровнях как прямым, так и косвенным образом сказывается на работе WP.24; речь идет об уменьшении числа делегатов на совещаниях, сокращении средств, выделя</w:t>
      </w:r>
      <w:r w:rsidRPr="00B421E5">
        <w:t>е</w:t>
      </w:r>
      <w:r w:rsidRPr="00B421E5">
        <w:t xml:space="preserve">мых на реализацию проектов и поездки, сокращении публикаций и сужении возможностей для внешнего финансирования. </w:t>
      </w:r>
    </w:p>
    <w:p w:rsidR="00B421E5" w:rsidRPr="00B421E5" w:rsidRDefault="00B421E5" w:rsidP="00B421E5">
      <w:pPr>
        <w:pStyle w:val="SingleTxtGR"/>
      </w:pPr>
      <w:r w:rsidRPr="00B421E5">
        <w:t>15.</w:t>
      </w:r>
      <w:r w:rsidRPr="00B421E5">
        <w:tab/>
        <w:t>Социальные условия: государства</w:t>
      </w:r>
      <w:r w:rsidR="008F2EAB">
        <w:t xml:space="preserve"> – </w:t>
      </w:r>
      <w:r w:rsidRPr="00B421E5">
        <w:t>члены ЕЭК формируют красочную культурную, историческую, экономическую и эволюционную мозаику. Их п</w:t>
      </w:r>
      <w:r w:rsidRPr="00B421E5">
        <w:t>о</w:t>
      </w:r>
      <w:r w:rsidRPr="00B421E5">
        <w:t xml:space="preserve">требности, приоритеты и возможности весьма различаются. Например, речь идет о развитии </w:t>
      </w:r>
      <w:proofErr w:type="spellStart"/>
      <w:r w:rsidRPr="00B421E5">
        <w:t>интермодальных</w:t>
      </w:r>
      <w:proofErr w:type="spellEnd"/>
      <w:r w:rsidRPr="00B421E5">
        <w:t xml:space="preserve"> транспортных коридоров в Европе и Азии или о разработке национального генерального плана в области грузовых перевозок и логистики. К числу разнообразных вызовов, которыми надлежит заняться, о</w:t>
      </w:r>
      <w:r w:rsidRPr="00B421E5">
        <w:t>т</w:t>
      </w:r>
      <w:r w:rsidRPr="00B421E5">
        <w:t>носятся различающиеся потребности, методы работы, аспекты эксплуатацио</w:t>
      </w:r>
      <w:r w:rsidRPr="00B421E5">
        <w:t>н</w:t>
      </w:r>
      <w:r w:rsidRPr="00B421E5">
        <w:t xml:space="preserve">ной совместимости, а также технологические различия. </w:t>
      </w:r>
    </w:p>
    <w:p w:rsidR="00B421E5" w:rsidRPr="00B421E5" w:rsidRDefault="00B421E5" w:rsidP="00B421E5">
      <w:pPr>
        <w:pStyle w:val="SingleTxtGR"/>
      </w:pPr>
      <w:r w:rsidRPr="00B421E5">
        <w:t>16.</w:t>
      </w:r>
      <w:r w:rsidRPr="00B421E5">
        <w:tab/>
        <w:t>Технологические условия: технологические нововведения служат одним из ключевых факторов, стимулирующих перемены и повышение эффективн</w:t>
      </w:r>
      <w:r w:rsidRPr="00B421E5">
        <w:t>о</w:t>
      </w:r>
      <w:r w:rsidRPr="00B421E5">
        <w:t>сти работы. Единственным технологическим инструментом, используемым WP.24, служит веб-сайт. Никаких других технологических инструментов не и</w:t>
      </w:r>
      <w:r w:rsidRPr="00B421E5">
        <w:t>с</w:t>
      </w:r>
      <w:r w:rsidRPr="00B421E5">
        <w:t>пользуется. Для более успешного и эффективного функционирования Рабочей группе следует воспользоваться преимуществами специализированных прил</w:t>
      </w:r>
      <w:r w:rsidRPr="00B421E5">
        <w:t>о</w:t>
      </w:r>
      <w:r w:rsidRPr="00B421E5">
        <w:t xml:space="preserve">жений, причем в </w:t>
      </w:r>
      <w:proofErr w:type="gramStart"/>
      <w:r w:rsidRPr="00B421E5">
        <w:t>контексте</w:t>
      </w:r>
      <w:proofErr w:type="gramEnd"/>
      <w:r w:rsidRPr="00B421E5">
        <w:t xml:space="preserve"> как ее регулярной рабочей связи, так и администр</w:t>
      </w:r>
      <w:r w:rsidRPr="00B421E5">
        <w:t>а</w:t>
      </w:r>
      <w:r w:rsidRPr="00B421E5">
        <w:lastRenderedPageBreak/>
        <w:t xml:space="preserve">тивных процедур, которые до сих пор основываются на традиционных методах работы. </w:t>
      </w:r>
      <w:proofErr w:type="gramStart"/>
      <w:r w:rsidRPr="00B421E5">
        <w:t>Возможности для более широкого применения технических средств огромны, особенно в случае WP.24, стремящейся укрепить свои позиции в к</w:t>
      </w:r>
      <w:r w:rsidRPr="00B421E5">
        <w:t>а</w:t>
      </w:r>
      <w:r w:rsidRPr="00B421E5">
        <w:t>честве рабочей группы, объединяющей все другие рабочие группы, занима</w:t>
      </w:r>
      <w:r w:rsidRPr="00B421E5">
        <w:t>ю</w:t>
      </w:r>
      <w:r w:rsidRPr="00B421E5">
        <w:t xml:space="preserve">щиеся проблематикой инфраструктуры. </w:t>
      </w:r>
      <w:proofErr w:type="gramEnd"/>
    </w:p>
    <w:p w:rsidR="00B421E5" w:rsidRPr="00B421E5" w:rsidRDefault="00B421E5" w:rsidP="001D0ECC">
      <w:pPr>
        <w:pStyle w:val="H1GR"/>
      </w:pPr>
      <w:r w:rsidRPr="00B421E5">
        <w:tab/>
        <w:t>C.</w:t>
      </w:r>
      <w:r w:rsidRPr="00B421E5">
        <w:tab/>
        <w:t>Анализ ССВУ</w:t>
      </w:r>
    </w:p>
    <w:p w:rsidR="00B421E5" w:rsidRPr="00B421E5" w:rsidRDefault="00B421E5" w:rsidP="00B421E5">
      <w:pPr>
        <w:pStyle w:val="SingleTxtGR"/>
      </w:pPr>
      <w:r w:rsidRPr="00B421E5">
        <w:t>17.</w:t>
      </w:r>
      <w:r w:rsidRPr="00B421E5">
        <w:tab/>
        <w:t xml:space="preserve">Анализ ССВУ на данном этапе мог бы содействовать выявлению сильных и слабых сторон Рабочей группы, имеющихся у нее возможностей и стоящих перед ней угроз, с </w:t>
      </w:r>
      <w:proofErr w:type="gramStart"/>
      <w:r w:rsidRPr="00B421E5">
        <w:t>тем</w:t>
      </w:r>
      <w:proofErr w:type="gramEnd"/>
      <w:r w:rsidRPr="00B421E5">
        <w:t xml:space="preserve"> чтобы получить более четкое представление о текущих условиях и разработать стратегию, которая будет реально содействовать акт</w:t>
      </w:r>
      <w:r w:rsidRPr="00B421E5">
        <w:t>и</w:t>
      </w:r>
      <w:r w:rsidRPr="00B421E5">
        <w:t xml:space="preserve">визации деятельности Рабочей группы. </w:t>
      </w:r>
    </w:p>
    <w:tbl>
      <w:tblPr>
        <w:tblStyle w:val="TabTxt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4281"/>
        <w:gridCol w:w="3089"/>
      </w:tblGrid>
      <w:tr w:rsidR="00B421E5" w:rsidRPr="001D0ECC" w:rsidTr="008F2EAB">
        <w:tc>
          <w:tcPr>
            <w:tcW w:w="428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421E5" w:rsidRPr="001D0ECC" w:rsidRDefault="00B421E5" w:rsidP="008F2EAB">
            <w:pPr>
              <w:spacing w:before="80" w:after="80" w:line="200" w:lineRule="exact"/>
              <w:ind w:right="91"/>
              <w:rPr>
                <w:i/>
                <w:sz w:val="16"/>
              </w:rPr>
            </w:pPr>
            <w:r w:rsidRPr="001D0ECC">
              <w:rPr>
                <w:i/>
                <w:sz w:val="16"/>
              </w:rPr>
              <w:t>Сильные стороны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89" w:type="dxa"/>
            <w:tcBorders>
              <w:bottom w:val="single" w:sz="12" w:space="0" w:color="auto"/>
            </w:tcBorders>
            <w:shd w:val="clear" w:color="auto" w:fill="auto"/>
          </w:tcPr>
          <w:p w:rsidR="00B421E5" w:rsidRPr="001D0ECC" w:rsidRDefault="00B421E5" w:rsidP="001D0ECC">
            <w:pPr>
              <w:spacing w:before="80" w:after="80" w:line="200" w:lineRule="exact"/>
              <w:rPr>
                <w:i/>
                <w:sz w:val="16"/>
              </w:rPr>
            </w:pPr>
            <w:r w:rsidRPr="001D0ECC">
              <w:rPr>
                <w:i/>
                <w:sz w:val="16"/>
              </w:rPr>
              <w:t>Слабые стороны</w:t>
            </w:r>
          </w:p>
        </w:tc>
      </w:tr>
      <w:tr w:rsidR="00B421E5" w:rsidRPr="001D0ECC" w:rsidTr="008F2EAB">
        <w:tc>
          <w:tcPr>
            <w:tcW w:w="4281" w:type="dxa"/>
            <w:tcBorders>
              <w:top w:val="single" w:sz="12" w:space="0" w:color="auto"/>
              <w:bottom w:val="single" w:sz="4" w:space="0" w:color="auto"/>
            </w:tcBorders>
          </w:tcPr>
          <w:p w:rsidR="00B421E5" w:rsidRPr="001D0ECC" w:rsidRDefault="00B421E5" w:rsidP="00560D3F">
            <w:pPr>
              <w:tabs>
                <w:tab w:val="left" w:pos="273"/>
              </w:tabs>
              <w:ind w:right="91"/>
            </w:pPr>
            <w:r w:rsidRPr="001D0ECC">
              <w:t>a)</w:t>
            </w:r>
            <w:r w:rsidRPr="001D0ECC">
              <w:tab/>
              <w:t>Разнообразие государств</w:t>
            </w:r>
            <w:r w:rsidR="008F2EAB">
              <w:t xml:space="preserve"> – </w:t>
            </w:r>
            <w:r w:rsidRPr="001D0ECC">
              <w:t xml:space="preserve">членов </w:t>
            </w:r>
            <w:r w:rsidR="008F2EAB">
              <w:br/>
            </w:r>
            <w:r w:rsidRPr="001D0ECC">
              <w:t>ЕЭК ООН служит одним из значительных преимуществ не только по той причине, что позволяет использовать множество прим</w:t>
            </w:r>
            <w:r w:rsidRPr="001D0ECC">
              <w:t>е</w:t>
            </w:r>
            <w:r w:rsidRPr="001D0ECC">
              <w:t xml:space="preserve">ров оптимальной практики в области </w:t>
            </w:r>
            <w:proofErr w:type="spellStart"/>
            <w:r w:rsidRPr="001D0ECC">
              <w:t>инте</w:t>
            </w:r>
            <w:r w:rsidRPr="001D0ECC">
              <w:t>р</w:t>
            </w:r>
            <w:r w:rsidRPr="001D0ECC">
              <w:t>модальных</w:t>
            </w:r>
            <w:proofErr w:type="spellEnd"/>
            <w:r w:rsidRPr="001D0ECC">
              <w:t xml:space="preserve"> перевозок и логистики, но и в силу того, что имеются широкие возможн</w:t>
            </w:r>
            <w:r w:rsidRPr="001D0ECC">
              <w:t>о</w:t>
            </w:r>
            <w:r w:rsidRPr="001D0ECC">
              <w:t>сти для реализации такой оптимальной практики.</w:t>
            </w:r>
          </w:p>
          <w:p w:rsidR="00B421E5" w:rsidRPr="001D0ECC" w:rsidRDefault="00B421E5" w:rsidP="00560D3F">
            <w:pPr>
              <w:tabs>
                <w:tab w:val="left" w:pos="273"/>
              </w:tabs>
              <w:ind w:right="91"/>
            </w:pPr>
            <w:r w:rsidRPr="001D0ECC">
              <w:t>b)</w:t>
            </w:r>
            <w:r w:rsidRPr="001D0ECC">
              <w:tab/>
            </w:r>
            <w:proofErr w:type="spellStart"/>
            <w:r w:rsidRPr="001D0ECC">
              <w:t>Интермодальный</w:t>
            </w:r>
            <w:proofErr w:type="spellEnd"/>
            <w:r w:rsidRPr="001D0ECC">
              <w:t xml:space="preserve"> подход занимает це</w:t>
            </w:r>
            <w:r w:rsidRPr="001D0ECC">
              <w:t>н</w:t>
            </w:r>
            <w:r w:rsidRPr="001D0ECC">
              <w:t>тральное место в Целях в области устойч</w:t>
            </w:r>
            <w:r w:rsidRPr="001D0ECC">
              <w:t>и</w:t>
            </w:r>
            <w:r w:rsidRPr="001D0ECC">
              <w:t>вого развития и устойчивом развитии тран</w:t>
            </w:r>
            <w:r w:rsidRPr="001D0ECC">
              <w:t>с</w:t>
            </w:r>
            <w:r w:rsidRPr="001D0ECC">
              <w:t>порта. РГ еще не воспользовалась этим ун</w:t>
            </w:r>
            <w:r w:rsidRPr="001D0ECC">
              <w:t>и</w:t>
            </w:r>
            <w:r w:rsidRPr="001D0ECC">
              <w:t>кальным преимуществом.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89" w:type="dxa"/>
            <w:tcBorders>
              <w:top w:val="single" w:sz="12" w:space="0" w:color="auto"/>
              <w:bottom w:val="single" w:sz="4" w:space="0" w:color="auto"/>
            </w:tcBorders>
          </w:tcPr>
          <w:p w:rsidR="00B421E5" w:rsidRPr="001D0ECC" w:rsidRDefault="00B421E5" w:rsidP="00560D3F">
            <w:pPr>
              <w:tabs>
                <w:tab w:val="left" w:pos="273"/>
              </w:tabs>
            </w:pPr>
            <w:r w:rsidRPr="001D0ECC">
              <w:t>a)</w:t>
            </w:r>
            <w:r w:rsidRPr="001D0ECC">
              <w:tab/>
              <w:t>В отличие от</w:t>
            </w:r>
            <w:r w:rsidR="00F40AC7">
              <w:t xml:space="preserve"> </w:t>
            </w:r>
            <w:r w:rsidRPr="001D0ECC">
              <w:t>WP.24 некот</w:t>
            </w:r>
            <w:r w:rsidRPr="001D0ECC">
              <w:t>о</w:t>
            </w:r>
            <w:r w:rsidRPr="001D0ECC">
              <w:t>рые другие рабочие группы х</w:t>
            </w:r>
            <w:r w:rsidRPr="001D0ECC">
              <w:t>а</w:t>
            </w:r>
            <w:r w:rsidRPr="001D0ECC">
              <w:t>рактеризуются глобальным членским составом или призн</w:t>
            </w:r>
            <w:r w:rsidRPr="001D0ECC">
              <w:t>а</w:t>
            </w:r>
            <w:r w:rsidRPr="001D0ECC">
              <w:t>нием.</w:t>
            </w:r>
          </w:p>
          <w:p w:rsidR="00B421E5" w:rsidRPr="001D0ECC" w:rsidRDefault="00B421E5" w:rsidP="00560D3F">
            <w:pPr>
              <w:tabs>
                <w:tab w:val="left" w:pos="273"/>
              </w:tabs>
            </w:pPr>
            <w:r w:rsidRPr="001D0ECC">
              <w:t>b)</w:t>
            </w:r>
            <w:r w:rsidRPr="001D0ECC">
              <w:tab/>
              <w:t>Отсутствует систематическое сотрудничество с другими раб</w:t>
            </w:r>
            <w:r w:rsidRPr="001D0ECC">
              <w:t>о</w:t>
            </w:r>
            <w:r w:rsidRPr="001D0ECC">
              <w:t>чими группами Отдела, которое позволяло бы обеспечивать п</w:t>
            </w:r>
            <w:r w:rsidRPr="001D0ECC">
              <w:t>о</w:t>
            </w:r>
            <w:r w:rsidRPr="001D0ECC">
              <w:t>стоянную обратную связь в ко</w:t>
            </w:r>
            <w:r w:rsidRPr="001D0ECC">
              <w:t>н</w:t>
            </w:r>
            <w:r w:rsidRPr="001D0ECC">
              <w:t>тексте важнейших вопросов и вызовов в области их деятельн</w:t>
            </w:r>
            <w:r w:rsidRPr="001D0ECC">
              <w:t>о</w:t>
            </w:r>
            <w:r w:rsidRPr="001D0ECC">
              <w:t>сти.</w:t>
            </w:r>
          </w:p>
        </w:tc>
      </w:tr>
      <w:tr w:rsidR="00B421E5" w:rsidRPr="00F40AC7" w:rsidTr="00560D3F">
        <w:tc>
          <w:tcPr>
            <w:tcW w:w="428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421E5" w:rsidRPr="00F40AC7" w:rsidRDefault="00B421E5" w:rsidP="008F2EAB">
            <w:pPr>
              <w:tabs>
                <w:tab w:val="left" w:pos="273"/>
              </w:tabs>
              <w:spacing w:before="80" w:after="80" w:line="200" w:lineRule="exact"/>
              <w:ind w:right="91"/>
              <w:rPr>
                <w:i/>
                <w:sz w:val="16"/>
              </w:rPr>
            </w:pPr>
            <w:r w:rsidRPr="00F40AC7">
              <w:rPr>
                <w:i/>
                <w:sz w:val="16"/>
              </w:rPr>
              <w:t>Возможности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8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421E5" w:rsidRPr="00F40AC7" w:rsidRDefault="00B421E5" w:rsidP="00F40AC7">
            <w:pPr>
              <w:tabs>
                <w:tab w:val="left" w:pos="273"/>
              </w:tabs>
              <w:spacing w:before="80" w:after="80" w:line="200" w:lineRule="exact"/>
              <w:rPr>
                <w:i/>
                <w:sz w:val="16"/>
              </w:rPr>
            </w:pPr>
            <w:r w:rsidRPr="00F40AC7">
              <w:rPr>
                <w:i/>
                <w:sz w:val="16"/>
              </w:rPr>
              <w:t>Угрозы</w:t>
            </w:r>
          </w:p>
        </w:tc>
      </w:tr>
      <w:tr w:rsidR="00B421E5" w:rsidRPr="001D0ECC" w:rsidTr="00560D3F">
        <w:tc>
          <w:tcPr>
            <w:tcW w:w="4281" w:type="dxa"/>
            <w:tcBorders>
              <w:top w:val="single" w:sz="12" w:space="0" w:color="auto"/>
              <w:bottom w:val="nil"/>
            </w:tcBorders>
          </w:tcPr>
          <w:p w:rsidR="00B421E5" w:rsidRPr="001D0ECC" w:rsidRDefault="00B421E5" w:rsidP="00560D3F">
            <w:pPr>
              <w:tabs>
                <w:tab w:val="left" w:pos="273"/>
              </w:tabs>
              <w:ind w:right="91"/>
            </w:pPr>
            <w:r w:rsidRPr="001D0ECC">
              <w:t>a)</w:t>
            </w:r>
            <w:r w:rsidRPr="001D0ECC">
              <w:tab/>
              <w:t>Существует множество тем, которые во</w:t>
            </w:r>
            <w:r w:rsidRPr="001D0ECC">
              <w:t>с</w:t>
            </w:r>
            <w:r w:rsidRPr="001D0ECC">
              <w:t>принимаются рынком в качестве актуал</w:t>
            </w:r>
            <w:r w:rsidRPr="001D0ECC">
              <w:t>ь</w:t>
            </w:r>
            <w:r w:rsidRPr="001D0ECC">
              <w:t>ных, но пока не обсуждаются Рабочей гру</w:t>
            </w:r>
            <w:r w:rsidRPr="001D0ECC">
              <w:t>п</w:t>
            </w:r>
            <w:r w:rsidRPr="001D0ECC">
              <w:t>пой. Речь идет, например, об обязательствах по различным международным соглашен</w:t>
            </w:r>
            <w:r w:rsidRPr="001D0ECC">
              <w:t>и</w:t>
            </w:r>
            <w:r w:rsidRPr="001D0ECC">
              <w:t xml:space="preserve">ям, отсутствии единой конвенции по </w:t>
            </w:r>
            <w:proofErr w:type="spellStart"/>
            <w:r w:rsidRPr="001D0ECC">
              <w:t>инте</w:t>
            </w:r>
            <w:r w:rsidRPr="001D0ECC">
              <w:t>р</w:t>
            </w:r>
            <w:r w:rsidRPr="001D0ECC">
              <w:t>модальным</w:t>
            </w:r>
            <w:proofErr w:type="spellEnd"/>
            <w:r w:rsidRPr="001D0ECC">
              <w:t xml:space="preserve"> перевозкам, электронных док</w:t>
            </w:r>
            <w:r w:rsidRPr="001D0ECC">
              <w:t>у</w:t>
            </w:r>
            <w:r w:rsidRPr="001D0ECC">
              <w:t xml:space="preserve">ментах или электронном обмене данными, городской логистике, проблемах пассажиров в области </w:t>
            </w:r>
            <w:proofErr w:type="spellStart"/>
            <w:r w:rsidRPr="001D0ECC">
              <w:t>интермодальных</w:t>
            </w:r>
            <w:proofErr w:type="spellEnd"/>
            <w:r w:rsidRPr="001D0ECC">
              <w:t xml:space="preserve"> перевозок.</w:t>
            </w:r>
          </w:p>
          <w:p w:rsidR="00B421E5" w:rsidRPr="001D0ECC" w:rsidRDefault="00B421E5" w:rsidP="00560D3F">
            <w:pPr>
              <w:tabs>
                <w:tab w:val="left" w:pos="273"/>
              </w:tabs>
              <w:ind w:right="91"/>
            </w:pPr>
            <w:r w:rsidRPr="001D0ECC">
              <w:t>b)</w:t>
            </w:r>
            <w:r w:rsidRPr="001D0ECC">
              <w:tab/>
              <w:t>Кодекс ГТЕ мог бы стать инструментом, который позволил бы обеспечить более ш</w:t>
            </w:r>
            <w:r w:rsidRPr="001D0ECC">
              <w:t>и</w:t>
            </w:r>
            <w:r w:rsidRPr="001D0ECC">
              <w:t>рокое признание</w:t>
            </w:r>
            <w:r w:rsidR="00F40AC7">
              <w:t xml:space="preserve"> </w:t>
            </w:r>
            <w:r w:rsidRPr="001D0ECC">
              <w:t>Рабочей группы.</w:t>
            </w:r>
          </w:p>
          <w:p w:rsidR="00B421E5" w:rsidRPr="001D0ECC" w:rsidRDefault="00B421E5" w:rsidP="004037DB">
            <w:pPr>
              <w:tabs>
                <w:tab w:val="left" w:pos="273"/>
              </w:tabs>
              <w:spacing w:before="0" w:after="80"/>
              <w:ind w:right="91"/>
            </w:pPr>
            <w:r w:rsidRPr="001D0ECC">
              <w:t>с)</w:t>
            </w:r>
            <w:r w:rsidRPr="001D0ECC">
              <w:tab/>
              <w:t>Существуют возможности для увелич</w:t>
            </w:r>
            <w:r w:rsidRPr="001D0ECC">
              <w:t>е</w:t>
            </w:r>
            <w:r w:rsidRPr="001D0ECC">
              <w:t>ния синергии с результатами работы других рабочих групп Отдела, особенно в том, что касается стратегического развития в обл</w:t>
            </w:r>
            <w:r w:rsidRPr="001D0ECC">
              <w:t>а</w:t>
            </w:r>
            <w:r w:rsidRPr="001D0ECC">
              <w:t>стях их деятельности. WP.24 следует извлечь выгоду из этого и более эффективно испол</w:t>
            </w:r>
            <w:r w:rsidRPr="001D0ECC">
              <w:t>ь</w:t>
            </w:r>
            <w:r w:rsidRPr="001D0ECC">
              <w:t>зовать такие возможности.</w:t>
            </w:r>
          </w:p>
          <w:p w:rsidR="00B421E5" w:rsidRPr="001D0ECC" w:rsidRDefault="00B421E5" w:rsidP="004037DB">
            <w:pPr>
              <w:tabs>
                <w:tab w:val="left" w:pos="273"/>
              </w:tabs>
              <w:spacing w:before="0"/>
              <w:ind w:right="91"/>
            </w:pPr>
            <w:r w:rsidRPr="001D0ECC">
              <w:t>d)</w:t>
            </w:r>
            <w:r w:rsidRPr="001D0ECC">
              <w:tab/>
              <w:t>Накопленный WP.24 опыт следует и</w:t>
            </w:r>
            <w:r w:rsidRPr="001D0ECC">
              <w:t>с</w:t>
            </w:r>
            <w:r w:rsidRPr="001D0ECC">
              <w:t>пользовать и преобразовывать в новые пр</w:t>
            </w:r>
            <w:r w:rsidRPr="001D0ECC">
              <w:t>о</w:t>
            </w:r>
            <w:r w:rsidRPr="001D0ECC">
              <w:t>екты, публикации, исследовательские раб</w:t>
            </w:r>
            <w:r w:rsidRPr="001D0ECC">
              <w:t>о</w:t>
            </w:r>
            <w:r w:rsidRPr="001D0ECC">
              <w:t>ты и т.д.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89" w:type="dxa"/>
            <w:tcBorders>
              <w:top w:val="single" w:sz="12" w:space="0" w:color="auto"/>
            </w:tcBorders>
          </w:tcPr>
          <w:p w:rsidR="00B421E5" w:rsidRPr="001D0ECC" w:rsidRDefault="00B421E5" w:rsidP="00560D3F">
            <w:pPr>
              <w:tabs>
                <w:tab w:val="left" w:pos="273"/>
              </w:tabs>
            </w:pPr>
            <w:r w:rsidRPr="001D0ECC">
              <w:t>a)</w:t>
            </w:r>
            <w:r w:rsidRPr="001D0ECC">
              <w:tab/>
              <w:t>Опасность, выражающаяся в том, что с точки зрения прав</w:t>
            </w:r>
            <w:r w:rsidRPr="001D0ECC">
              <w:t>и</w:t>
            </w:r>
            <w:r w:rsidRPr="001D0ECC">
              <w:t>тель</w:t>
            </w:r>
            <w:r w:rsidR="00657F93">
              <w:t>ств</w:t>
            </w:r>
            <w:r w:rsidRPr="001D0ECC">
              <w:t xml:space="preserve"> повестка дня WP.24 н</w:t>
            </w:r>
            <w:r w:rsidRPr="001D0ECC">
              <w:t>е</w:t>
            </w:r>
            <w:r w:rsidRPr="001D0ECC">
              <w:t>достаточно актуальна для того, чтобы они могли ее поддержать.</w:t>
            </w:r>
          </w:p>
          <w:p w:rsidR="00B421E5" w:rsidRPr="001D0ECC" w:rsidRDefault="00B421E5" w:rsidP="00560D3F">
            <w:pPr>
              <w:tabs>
                <w:tab w:val="left" w:pos="273"/>
              </w:tabs>
            </w:pPr>
            <w:r w:rsidRPr="001D0ECC">
              <w:t>b)</w:t>
            </w:r>
            <w:r w:rsidRPr="001D0ECC">
              <w:tab/>
              <w:t>Отсутствует какая-либо раб</w:t>
            </w:r>
            <w:r w:rsidRPr="001D0ECC">
              <w:t>о</w:t>
            </w:r>
            <w:r w:rsidRPr="001D0ECC">
              <w:t>чая связь международных пр</w:t>
            </w:r>
            <w:r w:rsidRPr="001D0ECC">
              <w:t>а</w:t>
            </w:r>
            <w:r w:rsidRPr="001D0ECC">
              <w:t>вительственных и неправител</w:t>
            </w:r>
            <w:r w:rsidRPr="001D0ECC">
              <w:t>ь</w:t>
            </w:r>
            <w:r w:rsidRPr="001D0ECC">
              <w:t>ственных организаций с WP.24. Эта связь необходима для обе</w:t>
            </w:r>
            <w:r w:rsidRPr="001D0ECC">
              <w:t>с</w:t>
            </w:r>
            <w:r w:rsidRPr="001D0ECC">
              <w:t>печения интеллектуального вклада и проведения фундаме</w:t>
            </w:r>
            <w:r w:rsidRPr="001D0ECC">
              <w:t>н</w:t>
            </w:r>
            <w:r w:rsidRPr="001D0ECC">
              <w:t>тальных исследований с целью дальнейшего анализа и страт</w:t>
            </w:r>
            <w:r w:rsidRPr="001D0ECC">
              <w:t>е</w:t>
            </w:r>
            <w:r w:rsidRPr="001D0ECC">
              <w:t>гической дискуссии, а также расширения повестки дня Раб</w:t>
            </w:r>
            <w:r w:rsidRPr="001D0ECC">
              <w:t>о</w:t>
            </w:r>
            <w:r w:rsidRPr="001D0ECC">
              <w:t>чей группы.</w:t>
            </w:r>
          </w:p>
          <w:p w:rsidR="00B421E5" w:rsidRPr="001D0ECC" w:rsidRDefault="00B421E5" w:rsidP="004037DB">
            <w:pPr>
              <w:tabs>
                <w:tab w:val="left" w:pos="273"/>
              </w:tabs>
              <w:spacing w:after="0"/>
            </w:pPr>
            <w:r w:rsidRPr="001D0ECC">
              <w:t>с)</w:t>
            </w:r>
            <w:r w:rsidRPr="001D0ECC">
              <w:tab/>
              <w:t>Отсутствие достаточных средств может стать препятств</w:t>
            </w:r>
            <w:r w:rsidRPr="001D0ECC">
              <w:t>и</w:t>
            </w:r>
            <w:r w:rsidRPr="001D0ECC">
              <w:t>ем для WP.24 в деле организ</w:t>
            </w:r>
            <w:r w:rsidRPr="001D0ECC">
              <w:t>а</w:t>
            </w:r>
            <w:r w:rsidRPr="001D0ECC">
              <w:t>ции и реализации новых иссл</w:t>
            </w:r>
            <w:r w:rsidRPr="001D0ECC">
              <w:t>е</w:t>
            </w:r>
            <w:r w:rsidRPr="001D0ECC">
              <w:t>дований/инструментов/</w:t>
            </w:r>
            <w:proofErr w:type="spellStart"/>
            <w:proofErr w:type="gramStart"/>
            <w:r w:rsidRPr="001D0ECC">
              <w:t>публи</w:t>
            </w:r>
            <w:r w:rsidR="00657F93">
              <w:t>-</w:t>
            </w:r>
            <w:r w:rsidRPr="001D0ECC">
              <w:t>каций</w:t>
            </w:r>
            <w:proofErr w:type="spellEnd"/>
            <w:proofErr w:type="gramEnd"/>
            <w:r w:rsidRPr="001D0ECC">
              <w:t>,</w:t>
            </w:r>
            <w:r w:rsidR="00F40AC7">
              <w:t xml:space="preserve"> </w:t>
            </w:r>
            <w:r w:rsidRPr="001D0ECC">
              <w:t>приносящих дополн</w:t>
            </w:r>
            <w:r w:rsidRPr="001D0ECC">
              <w:t>и</w:t>
            </w:r>
            <w:r w:rsidRPr="001D0ECC">
              <w:t xml:space="preserve">тельную пользу правительствам </w:t>
            </w:r>
          </w:p>
        </w:tc>
      </w:tr>
      <w:tr w:rsidR="004037DB" w:rsidRPr="00F40AC7" w:rsidTr="001D60B0">
        <w:tc>
          <w:tcPr>
            <w:tcW w:w="428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037DB" w:rsidRPr="00F40AC7" w:rsidRDefault="004037DB" w:rsidP="001D60B0">
            <w:pPr>
              <w:tabs>
                <w:tab w:val="left" w:pos="273"/>
              </w:tabs>
              <w:spacing w:before="80" w:after="80" w:line="200" w:lineRule="exact"/>
              <w:ind w:right="91"/>
              <w:rPr>
                <w:i/>
                <w:sz w:val="16"/>
              </w:rPr>
            </w:pPr>
            <w:r w:rsidRPr="00F40AC7">
              <w:rPr>
                <w:i/>
                <w:sz w:val="16"/>
              </w:rPr>
              <w:lastRenderedPageBreak/>
              <w:t>Возможности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8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037DB" w:rsidRPr="00F40AC7" w:rsidRDefault="004037DB" w:rsidP="001D60B0">
            <w:pPr>
              <w:tabs>
                <w:tab w:val="left" w:pos="273"/>
              </w:tabs>
              <w:spacing w:before="80" w:after="80" w:line="200" w:lineRule="exact"/>
              <w:rPr>
                <w:i/>
                <w:sz w:val="16"/>
              </w:rPr>
            </w:pPr>
            <w:r w:rsidRPr="00F40AC7">
              <w:rPr>
                <w:i/>
                <w:sz w:val="16"/>
              </w:rPr>
              <w:t>Угрозы</w:t>
            </w:r>
          </w:p>
        </w:tc>
      </w:tr>
      <w:tr w:rsidR="00560D3F" w:rsidRPr="00560D3F" w:rsidTr="00560D3F">
        <w:tc>
          <w:tcPr>
            <w:tcW w:w="4281" w:type="dxa"/>
            <w:tcBorders>
              <w:top w:val="nil"/>
              <w:bottom w:val="nil"/>
            </w:tcBorders>
          </w:tcPr>
          <w:p w:rsidR="00560D3F" w:rsidRPr="00560D3F" w:rsidRDefault="00560D3F" w:rsidP="00560D3F">
            <w:pPr>
              <w:tabs>
                <w:tab w:val="left" w:pos="273"/>
              </w:tabs>
              <w:spacing w:after="0" w:line="80" w:lineRule="atLeast"/>
              <w:ind w:right="91"/>
              <w:rPr>
                <w:sz w:val="6"/>
                <w:szCs w:val="6"/>
              </w:rPr>
            </w:pPr>
            <w:r>
              <w:t>e)</w:t>
            </w:r>
            <w:r>
              <w:tab/>
              <w:t>Следует подготовить первоначальный анализ данных, а также экономический ан</w:t>
            </w:r>
            <w:r>
              <w:t>а</w:t>
            </w:r>
            <w:r>
              <w:t xml:space="preserve">лиз </w:t>
            </w:r>
            <w:proofErr w:type="spellStart"/>
            <w:r>
              <w:t>интермодальных</w:t>
            </w:r>
            <w:proofErr w:type="spellEnd"/>
            <w:r>
              <w:t xml:space="preserve"> перевозок. Следует опубликовать информацию о первоначал</w:t>
            </w:r>
            <w:r>
              <w:t>ь</w:t>
            </w:r>
            <w:r>
              <w:t>ных тенденциях. В этой связи следует учр</w:t>
            </w:r>
            <w:r>
              <w:t>е</w:t>
            </w:r>
            <w:r>
              <w:t>дить рабочие группы с участием экспертов по каждому вопросу для формирования и</w:t>
            </w:r>
            <w:r>
              <w:t>с</w:t>
            </w:r>
            <w:r>
              <w:t>точника самобытных идей и первоначальных данных.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89" w:type="dxa"/>
            <w:tcBorders>
              <w:top w:val="nil"/>
            </w:tcBorders>
          </w:tcPr>
          <w:p w:rsidR="00560D3F" w:rsidRPr="00560D3F" w:rsidRDefault="004037DB" w:rsidP="004037DB">
            <w:pPr>
              <w:tabs>
                <w:tab w:val="left" w:pos="273"/>
              </w:tabs>
              <w:spacing w:line="80" w:lineRule="atLeast"/>
              <w:rPr>
                <w:sz w:val="6"/>
                <w:szCs w:val="6"/>
              </w:rPr>
            </w:pPr>
            <w:r w:rsidRPr="001D0ECC">
              <w:t>и в конечном итоге позволя</w:t>
            </w:r>
            <w:r w:rsidRPr="001D0ECC">
              <w:t>ю</w:t>
            </w:r>
            <w:r w:rsidR="00560D3F" w:rsidRPr="001D0ECC">
              <w:t>щих расширить число участн</w:t>
            </w:r>
            <w:r w:rsidR="00560D3F" w:rsidRPr="001D0ECC">
              <w:t>и</w:t>
            </w:r>
            <w:r w:rsidR="00560D3F" w:rsidRPr="001D0ECC">
              <w:t>ков ее сессий.</w:t>
            </w:r>
          </w:p>
        </w:tc>
      </w:tr>
      <w:tr w:rsidR="00560D3F" w:rsidRPr="00560D3F" w:rsidTr="00560D3F">
        <w:tc>
          <w:tcPr>
            <w:tcW w:w="4281" w:type="dxa"/>
            <w:tcBorders>
              <w:top w:val="nil"/>
              <w:bottom w:val="single" w:sz="12" w:space="0" w:color="auto"/>
            </w:tcBorders>
          </w:tcPr>
          <w:p w:rsidR="00560D3F" w:rsidRPr="00560D3F" w:rsidRDefault="00560D3F" w:rsidP="001D60B0">
            <w:pPr>
              <w:tabs>
                <w:tab w:val="left" w:pos="273"/>
              </w:tabs>
              <w:spacing w:before="0" w:after="0" w:line="80" w:lineRule="atLeast"/>
              <w:ind w:right="91"/>
              <w:rPr>
                <w:sz w:val="6"/>
                <w:szCs w:val="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89" w:type="dxa"/>
            <w:tcBorders>
              <w:top w:val="nil"/>
            </w:tcBorders>
          </w:tcPr>
          <w:p w:rsidR="00560D3F" w:rsidRPr="00560D3F" w:rsidRDefault="00560D3F" w:rsidP="001D60B0">
            <w:pPr>
              <w:tabs>
                <w:tab w:val="left" w:pos="273"/>
              </w:tabs>
              <w:spacing w:before="0" w:after="0" w:line="80" w:lineRule="atLeast"/>
              <w:rPr>
                <w:sz w:val="6"/>
                <w:szCs w:val="6"/>
              </w:rPr>
            </w:pPr>
          </w:p>
        </w:tc>
      </w:tr>
    </w:tbl>
    <w:p w:rsidR="00B421E5" w:rsidRPr="00B421E5" w:rsidRDefault="00F40AC7" w:rsidP="00F40AC7">
      <w:pPr>
        <w:pStyle w:val="HChGR"/>
      </w:pPr>
      <w:r>
        <w:tab/>
      </w:r>
      <w:r w:rsidR="00B421E5" w:rsidRPr="00B421E5">
        <w:t>III.</w:t>
      </w:r>
      <w:r w:rsidR="00B421E5" w:rsidRPr="00B421E5">
        <w:tab/>
        <w:t xml:space="preserve">Вызовы в области </w:t>
      </w:r>
      <w:proofErr w:type="spellStart"/>
      <w:r w:rsidR="00B421E5" w:rsidRPr="00B421E5">
        <w:t>интермодальных</w:t>
      </w:r>
      <w:proofErr w:type="spellEnd"/>
      <w:r w:rsidR="00B421E5" w:rsidRPr="00B421E5">
        <w:t xml:space="preserve"> перевозок </w:t>
      </w:r>
      <w:r>
        <w:br/>
      </w:r>
      <w:r w:rsidR="00B421E5" w:rsidRPr="00B421E5">
        <w:t>в различных местах региона ЕЭК</w:t>
      </w:r>
      <w:r w:rsidR="00B421E5" w:rsidRPr="00F40AC7">
        <w:rPr>
          <w:b w:val="0"/>
          <w:sz w:val="18"/>
          <w:vertAlign w:val="superscript"/>
        </w:rPr>
        <w:footnoteReference w:id="1"/>
      </w:r>
      <w:r w:rsidRPr="00F40AC7">
        <w:rPr>
          <w:b w:val="0"/>
          <w:sz w:val="20"/>
          <w:vertAlign w:val="superscript"/>
        </w:rPr>
        <w:t>,</w:t>
      </w:r>
      <w:r>
        <w:rPr>
          <w:b w:val="0"/>
          <w:sz w:val="18"/>
          <w:vertAlign w:val="superscript"/>
        </w:rPr>
        <w:t xml:space="preserve"> </w:t>
      </w:r>
      <w:r w:rsidR="00B421E5" w:rsidRPr="00F40AC7">
        <w:rPr>
          <w:b w:val="0"/>
          <w:sz w:val="18"/>
          <w:vertAlign w:val="superscript"/>
        </w:rPr>
        <w:footnoteReference w:id="2"/>
      </w:r>
      <w:r w:rsidRPr="00F40AC7">
        <w:rPr>
          <w:b w:val="0"/>
          <w:sz w:val="20"/>
          <w:vertAlign w:val="superscript"/>
        </w:rPr>
        <w:t>,</w:t>
      </w:r>
      <w:r>
        <w:rPr>
          <w:b w:val="0"/>
          <w:sz w:val="20"/>
          <w:vertAlign w:val="superscript"/>
        </w:rPr>
        <w:t xml:space="preserve"> </w:t>
      </w:r>
      <w:r w:rsidR="00B421E5" w:rsidRPr="00F40AC7">
        <w:rPr>
          <w:b w:val="0"/>
          <w:sz w:val="18"/>
          <w:vertAlign w:val="superscript"/>
        </w:rPr>
        <w:footnoteReference w:id="3"/>
      </w:r>
      <w:r w:rsidR="00B421E5" w:rsidRPr="00B421E5">
        <w:t xml:space="preserve"> </w:t>
      </w:r>
    </w:p>
    <w:p w:rsidR="00B421E5" w:rsidRPr="00B421E5" w:rsidRDefault="00B421E5" w:rsidP="00B421E5">
      <w:pPr>
        <w:pStyle w:val="SingleTxtGR"/>
      </w:pPr>
      <w:r w:rsidRPr="00B421E5">
        <w:t>18.</w:t>
      </w:r>
      <w:r w:rsidRPr="00B421E5">
        <w:tab/>
        <w:t>В зависимости от региона и его инфраструктуры, нормативных полож</w:t>
      </w:r>
      <w:r w:rsidRPr="00B421E5">
        <w:t>е</w:t>
      </w:r>
      <w:r w:rsidRPr="00B421E5">
        <w:t xml:space="preserve">ний и структуры рынка </w:t>
      </w:r>
      <w:proofErr w:type="spellStart"/>
      <w:r w:rsidRPr="00B421E5">
        <w:t>интермодальные</w:t>
      </w:r>
      <w:proofErr w:type="spellEnd"/>
      <w:r w:rsidRPr="00B421E5">
        <w:t xml:space="preserve"> перевозки характеризуются различн</w:t>
      </w:r>
      <w:r w:rsidRPr="00B421E5">
        <w:t>ы</w:t>
      </w:r>
      <w:r w:rsidRPr="00B421E5">
        <w:t>ми вызовами и возможностями. Ниже приведен перечень вызовов и возможн</w:t>
      </w:r>
      <w:r w:rsidRPr="00B421E5">
        <w:t>о</w:t>
      </w:r>
      <w:r w:rsidRPr="00B421E5">
        <w:t>стей, которые могли бы либо рассматриваться в качестве стратегических целей в контексте стратегии Рабочей группы, либо обсуждаться на регулярной основе в рамках повестки дня Рабочей группы, рабочих совещаний и т.д.</w:t>
      </w:r>
    </w:p>
    <w:p w:rsidR="00B421E5" w:rsidRPr="00B421E5" w:rsidRDefault="00B421E5" w:rsidP="00B421E5">
      <w:pPr>
        <w:pStyle w:val="SingleTxtGR"/>
      </w:pPr>
      <w:r w:rsidRPr="00B421E5">
        <w:t>19.</w:t>
      </w:r>
      <w:r w:rsidRPr="00B421E5">
        <w:tab/>
        <w:t xml:space="preserve">К числу основных вызовов в области </w:t>
      </w:r>
      <w:proofErr w:type="spellStart"/>
      <w:r w:rsidRPr="00B421E5">
        <w:t>интермодальных</w:t>
      </w:r>
      <w:proofErr w:type="spellEnd"/>
      <w:r w:rsidRPr="00B421E5">
        <w:t xml:space="preserve"> перевозок, кот</w:t>
      </w:r>
      <w:r w:rsidRPr="00B421E5">
        <w:t>о</w:t>
      </w:r>
      <w:r w:rsidRPr="00B421E5">
        <w:t>рые актуальны для государств-членов в регионе ЕЭК, относятся:</w:t>
      </w:r>
    </w:p>
    <w:p w:rsidR="00B421E5" w:rsidRPr="00B421E5" w:rsidRDefault="00B421E5" w:rsidP="00B421E5">
      <w:pPr>
        <w:pStyle w:val="SingleTxtGR"/>
      </w:pPr>
      <w:r w:rsidRPr="00B421E5">
        <w:tab/>
        <w:t>a)</w:t>
      </w:r>
      <w:r w:rsidRPr="00B421E5">
        <w:tab/>
        <w:t>успешный пересмотр директивы Европейского союза 92/106;</w:t>
      </w:r>
    </w:p>
    <w:p w:rsidR="00B421E5" w:rsidRPr="00B421E5" w:rsidRDefault="00B421E5" w:rsidP="00B421E5">
      <w:pPr>
        <w:pStyle w:val="SingleTxtGR"/>
      </w:pPr>
      <w:r w:rsidRPr="00B421E5">
        <w:tab/>
      </w:r>
      <w:proofErr w:type="gramStart"/>
      <w:r w:rsidRPr="00B421E5">
        <w:t>b)</w:t>
      </w:r>
      <w:r w:rsidRPr="00B421E5">
        <w:tab/>
        <w:t xml:space="preserve">успешное принятие пакета мер </w:t>
      </w:r>
      <w:r w:rsidR="001D0ECC">
        <w:t>«</w:t>
      </w:r>
      <w:r w:rsidRPr="00B421E5">
        <w:t>Европа в движении</w:t>
      </w:r>
      <w:r w:rsidR="001D0ECC">
        <w:t>»</w:t>
      </w:r>
      <w:r w:rsidRPr="00B421E5">
        <w:t xml:space="preserve"> </w:t>
      </w:r>
      <w:r w:rsidR="00F40AC7">
        <w:t>–</w:t>
      </w:r>
      <w:r w:rsidRPr="00B421E5">
        <w:t xml:space="preserve"> пересмотр правил грузовых автомобильных перевозок в целях эффективного устранения регулятивных различий, которые ставят автомобильных перевозчиков в пр</w:t>
      </w:r>
      <w:r w:rsidRPr="00B421E5">
        <w:t>е</w:t>
      </w:r>
      <w:r w:rsidRPr="00B421E5">
        <w:t>имущественное положение [устранение лазеек, используемых автомобильными перевозчиками для снижения издержек, в сфере регулирования, которые связ</w:t>
      </w:r>
      <w:r w:rsidRPr="00B421E5">
        <w:t>а</w:t>
      </w:r>
      <w:r w:rsidRPr="00B421E5">
        <w:t xml:space="preserve">ны с социальным обеспечением и рабочим временем, а также с </w:t>
      </w:r>
      <w:proofErr w:type="spellStart"/>
      <w:r w:rsidRPr="00B421E5">
        <w:t>правопримен</w:t>
      </w:r>
      <w:r w:rsidRPr="00B421E5">
        <w:t>е</w:t>
      </w:r>
      <w:r w:rsidRPr="00B421E5">
        <w:t>нием</w:t>
      </w:r>
      <w:proofErr w:type="spellEnd"/>
      <w:r w:rsidRPr="00B421E5">
        <w:t xml:space="preserve"> + эффективная реализация принципа </w:t>
      </w:r>
      <w:r w:rsidR="001D0ECC">
        <w:t>«</w:t>
      </w:r>
      <w:r w:rsidRPr="00B421E5">
        <w:t>платит пользователь</w:t>
      </w:r>
      <w:r w:rsidR="001D0ECC">
        <w:t>»</w:t>
      </w:r>
      <w:r w:rsidRPr="00B421E5">
        <w:t xml:space="preserve"> при взимании платы за проезд];</w:t>
      </w:r>
      <w:proofErr w:type="gramEnd"/>
    </w:p>
    <w:p w:rsidR="00B421E5" w:rsidRPr="00B421E5" w:rsidRDefault="00B421E5" w:rsidP="00B421E5">
      <w:pPr>
        <w:pStyle w:val="SingleTxtGR"/>
      </w:pPr>
      <w:r w:rsidRPr="00B421E5">
        <w:tab/>
        <w:t>с)</w:t>
      </w:r>
      <w:r w:rsidRPr="00B421E5">
        <w:tab/>
        <w:t>внесение эффективных поправок в директиву 2003/96, касающуюся налогов на энергоносители,</w:t>
      </w:r>
      <w:r w:rsidR="00F40AC7">
        <w:t xml:space="preserve"> </w:t>
      </w:r>
      <w:r w:rsidRPr="00B421E5">
        <w:t xml:space="preserve">с целью реализации принципа </w:t>
      </w:r>
      <w:r w:rsidR="001D0ECC">
        <w:t>«</w:t>
      </w:r>
      <w:r w:rsidRPr="00B421E5">
        <w:t>платит загрязн</w:t>
      </w:r>
      <w:r w:rsidRPr="00B421E5">
        <w:t>и</w:t>
      </w:r>
      <w:r w:rsidRPr="00B421E5">
        <w:t>тель</w:t>
      </w:r>
      <w:r w:rsidR="001D0ECC">
        <w:t>»</w:t>
      </w:r>
      <w:r w:rsidRPr="00B421E5">
        <w:t>;</w:t>
      </w:r>
    </w:p>
    <w:p w:rsidR="00B421E5" w:rsidRPr="00B421E5" w:rsidRDefault="00B421E5" w:rsidP="00B421E5">
      <w:pPr>
        <w:pStyle w:val="SingleTxtGR"/>
      </w:pPr>
      <w:r w:rsidRPr="00B421E5">
        <w:tab/>
        <w:t>d)</w:t>
      </w:r>
      <w:r w:rsidRPr="00B421E5">
        <w:tab/>
        <w:t>успешные инициативы по внедрению таких цифровых технологий на транспорте, как единый цифровой документ ЕС для грузовых перевозок, разработка веб-портала для услуг, связанных с железнодорожными перевозк</w:t>
      </w:r>
      <w:r w:rsidRPr="00B421E5">
        <w:t>а</w:t>
      </w:r>
      <w:r w:rsidRPr="00B421E5">
        <w:t>ми, эффективное применение обновленного таможенного кодекса и т.д.;</w:t>
      </w:r>
    </w:p>
    <w:p w:rsidR="00B421E5" w:rsidRPr="00B421E5" w:rsidRDefault="00B421E5" w:rsidP="00B421E5">
      <w:pPr>
        <w:pStyle w:val="SingleTxtGR"/>
      </w:pPr>
      <w:r w:rsidRPr="00B421E5">
        <w:tab/>
        <w:t>e)</w:t>
      </w:r>
      <w:r w:rsidRPr="00B421E5">
        <w:tab/>
        <w:t>подготовка планов управления рисками и планов действий в чре</w:t>
      </w:r>
      <w:r w:rsidRPr="00B421E5">
        <w:t>з</w:t>
      </w:r>
      <w:r w:rsidRPr="00B421E5">
        <w:t xml:space="preserve">вычайных ситуациях, в том числе по управлению кризисными ситуациями. Например, железнодорожный коллапс в городе </w:t>
      </w:r>
      <w:proofErr w:type="spellStart"/>
      <w:r w:rsidRPr="00B421E5">
        <w:t>Раштатт</w:t>
      </w:r>
      <w:proofErr w:type="spellEnd"/>
      <w:r w:rsidR="00F40AC7">
        <w:t xml:space="preserve"> </w:t>
      </w:r>
      <w:r w:rsidRPr="00B421E5">
        <w:t>свидетельствует о том, что существует необходимость в разработке планов действий в чрезвычайных ситуациях на основе надежного управления рисками. По каждой основной л</w:t>
      </w:r>
      <w:r w:rsidRPr="00B421E5">
        <w:t>и</w:t>
      </w:r>
      <w:r w:rsidRPr="00B421E5">
        <w:t>нии необходимо заранее определить альтернативные маршруты, которые дол</w:t>
      </w:r>
      <w:r w:rsidRPr="00B421E5">
        <w:t>ж</w:t>
      </w:r>
      <w:r w:rsidRPr="00B421E5">
        <w:lastRenderedPageBreak/>
        <w:t xml:space="preserve">ны разрабатываться и постоянно обновляться совместно с железнодорожными предприятиями и партнерами в области </w:t>
      </w:r>
      <w:proofErr w:type="spellStart"/>
      <w:r w:rsidRPr="00B421E5">
        <w:t>мультимодальных</w:t>
      </w:r>
      <w:proofErr w:type="spellEnd"/>
      <w:r w:rsidRPr="00B421E5">
        <w:t xml:space="preserve"> перевозок;</w:t>
      </w:r>
    </w:p>
    <w:p w:rsidR="00B421E5" w:rsidRPr="00B421E5" w:rsidRDefault="00B421E5" w:rsidP="00B421E5">
      <w:pPr>
        <w:pStyle w:val="SingleTxtGR"/>
      </w:pPr>
      <w:r w:rsidRPr="00B421E5">
        <w:tab/>
        <w:t>f)</w:t>
      </w:r>
      <w:r w:rsidRPr="00B421E5">
        <w:tab/>
        <w:t>преодоление препятствий на национальном уровне: несоответствия между национальными железнодорожными системами и их особенности и</w:t>
      </w:r>
      <w:r w:rsidRPr="00B421E5">
        <w:t>с</w:t>
      </w:r>
      <w:r w:rsidRPr="00B421E5">
        <w:t>ключают возможность использования имеющегося потенциала железнодоро</w:t>
      </w:r>
      <w:r w:rsidRPr="00B421E5">
        <w:t>ж</w:t>
      </w:r>
      <w:r w:rsidRPr="00B421E5">
        <w:t>ных сетей соседних стран. Необходимо повысить эксплуатационную совмест</w:t>
      </w:r>
      <w:r w:rsidRPr="00B421E5">
        <w:t>и</w:t>
      </w:r>
      <w:r w:rsidRPr="00B421E5">
        <w:t>мость железнодорожных сетей;</w:t>
      </w:r>
    </w:p>
    <w:p w:rsidR="00B421E5" w:rsidRPr="00B421E5" w:rsidRDefault="00B421E5" w:rsidP="00B421E5">
      <w:pPr>
        <w:pStyle w:val="SingleTxtGR"/>
      </w:pPr>
      <w:r w:rsidRPr="00B421E5">
        <w:tab/>
        <w:t>g)</w:t>
      </w:r>
      <w:r w:rsidRPr="00B421E5">
        <w:tab/>
        <w:t>международная координация инфраструктурных работ: перекрытие линий или ограничение движения по ним</w:t>
      </w:r>
      <w:r w:rsidR="00F40AC7">
        <w:t xml:space="preserve"> – </w:t>
      </w:r>
      <w:r w:rsidRPr="00B421E5">
        <w:t>как плановое, так и внеплановое</w:t>
      </w:r>
      <w:r w:rsidR="00F40AC7">
        <w:t xml:space="preserve"> – </w:t>
      </w:r>
      <w:r w:rsidRPr="00B421E5">
        <w:t xml:space="preserve">должны осуществляться таким образом, чтобы принимались жизнеспособные решения в отношении существующих </w:t>
      </w:r>
      <w:proofErr w:type="gramStart"/>
      <w:r w:rsidRPr="00B421E5">
        <w:t>перевозок</w:t>
      </w:r>
      <w:proofErr w:type="gramEnd"/>
      <w:r w:rsidRPr="00B421E5">
        <w:t xml:space="preserve"> и ограничивалось негативное воздействие на качество услуг, предоставляемых конечному потребителю;</w:t>
      </w:r>
    </w:p>
    <w:p w:rsidR="00B421E5" w:rsidRPr="00B421E5" w:rsidRDefault="00B421E5" w:rsidP="00B421E5">
      <w:pPr>
        <w:pStyle w:val="SingleTxtGR"/>
      </w:pPr>
      <w:r w:rsidRPr="00B421E5">
        <w:tab/>
        <w:t>h)</w:t>
      </w:r>
      <w:r w:rsidRPr="00B421E5">
        <w:tab/>
        <w:t>оперативное трансграничное управление: железнодорожные груз</w:t>
      </w:r>
      <w:r w:rsidRPr="00B421E5">
        <w:t>о</w:t>
      </w:r>
      <w:r w:rsidRPr="00B421E5">
        <w:t>вые коридоры</w:t>
      </w:r>
      <w:r w:rsidR="00F40AC7">
        <w:t xml:space="preserve"> – </w:t>
      </w:r>
      <w:r w:rsidRPr="00B421E5">
        <w:t>как европейские, так и азиатско-европейские</w:t>
      </w:r>
      <w:r w:rsidR="00F40AC7">
        <w:t xml:space="preserve"> – </w:t>
      </w:r>
      <w:r w:rsidRPr="00B421E5">
        <w:t xml:space="preserve">служат </w:t>
      </w:r>
      <w:proofErr w:type="spellStart"/>
      <w:proofErr w:type="gramStart"/>
      <w:r w:rsidRPr="00B421E5">
        <w:t>бе</w:t>
      </w:r>
      <w:r w:rsidR="00657F93">
        <w:t>-</w:t>
      </w:r>
      <w:r w:rsidRPr="00B421E5">
        <w:t>зупречной</w:t>
      </w:r>
      <w:proofErr w:type="spellEnd"/>
      <w:proofErr w:type="gramEnd"/>
      <w:r w:rsidRPr="00B421E5">
        <w:t xml:space="preserve"> основой для международного сотрудничества в области железнод</w:t>
      </w:r>
      <w:r w:rsidRPr="00B421E5">
        <w:t>о</w:t>
      </w:r>
      <w:r w:rsidRPr="00B421E5">
        <w:t>рожных грузовых перевозок, однако в настоящее время основные оперативные навыки для обеспечения конкурентоспособности железнодорожного сообщения отсутствуют. Возможно, для действенного управления железнодорожными гр</w:t>
      </w:r>
      <w:r w:rsidRPr="00B421E5">
        <w:t>у</w:t>
      </w:r>
      <w:r w:rsidRPr="00B421E5">
        <w:t>зовыми перевозками на большие расстояния в рамках различных сетей следует создать по одному эффективному оперативному центру в каждом коридоре;</w:t>
      </w:r>
    </w:p>
    <w:p w:rsidR="00B421E5" w:rsidRPr="00B421E5" w:rsidRDefault="00B421E5" w:rsidP="00B421E5">
      <w:pPr>
        <w:pStyle w:val="SingleTxtGR"/>
      </w:pPr>
      <w:r w:rsidRPr="00B421E5">
        <w:tab/>
        <w:t>i)</w:t>
      </w:r>
      <w:r w:rsidRPr="00B421E5">
        <w:tab/>
        <w:t>стимулы для сведения к минимуму последствий сбоев в железн</w:t>
      </w:r>
      <w:r w:rsidRPr="00B421E5">
        <w:t>о</w:t>
      </w:r>
      <w:r w:rsidRPr="00B421E5">
        <w:t>дорожном сообщении. Управляющий железнодорожной инфраструктурой до</w:t>
      </w:r>
      <w:r w:rsidRPr="00B421E5">
        <w:t>л</w:t>
      </w:r>
      <w:r w:rsidRPr="00B421E5">
        <w:t>жен быть материально заинтересован в обеспечении более четкого планиров</w:t>
      </w:r>
      <w:r w:rsidRPr="00B421E5">
        <w:t>а</w:t>
      </w:r>
      <w:r w:rsidRPr="00B421E5">
        <w:t>ния инфраструктурных работ и изыскании возможностей для минимизации п</w:t>
      </w:r>
      <w:r w:rsidRPr="00B421E5">
        <w:t>о</w:t>
      </w:r>
      <w:r w:rsidRPr="00B421E5">
        <w:t>следствий для железнодорожных перевозок и, таким образом, для снижения экономических последствий для своей организации;</w:t>
      </w:r>
    </w:p>
    <w:p w:rsidR="00B421E5" w:rsidRPr="00B421E5" w:rsidRDefault="00B421E5" w:rsidP="00B421E5">
      <w:pPr>
        <w:pStyle w:val="SingleTxtGR"/>
      </w:pPr>
      <w:r w:rsidRPr="00B421E5">
        <w:tab/>
        <w:t>j)</w:t>
      </w:r>
      <w:r w:rsidRPr="00B421E5">
        <w:tab/>
        <w:t xml:space="preserve">одним из основных вызовов в деле организации </w:t>
      </w:r>
      <w:proofErr w:type="spellStart"/>
      <w:r w:rsidRPr="00B421E5">
        <w:t>интермодальных</w:t>
      </w:r>
      <w:proofErr w:type="spellEnd"/>
      <w:r w:rsidRPr="00B421E5">
        <w:t xml:space="preserve"> перевозок на евро-азиатском направлении является совершенствование системы трансграничного обмена юридически значимыми электронными документами. При выполнении этой задачи возникают следующие проблемы: неодинаковый уровень развития систем информационных технологий в различных странах, участвующих в </w:t>
      </w:r>
      <w:proofErr w:type="spellStart"/>
      <w:r w:rsidRPr="00B421E5">
        <w:t>интермодальных</w:t>
      </w:r>
      <w:proofErr w:type="spellEnd"/>
      <w:r w:rsidRPr="00B421E5">
        <w:t xml:space="preserve"> перевозках. Не все заинтересованные стороны готовы перейти на безбумажные технологии. Такой подход стимулирует разрыв в цепочке электронного документооборота. В соответствии с нынешней практ</w:t>
      </w:r>
      <w:r w:rsidRPr="00B421E5">
        <w:t>и</w:t>
      </w:r>
      <w:r w:rsidRPr="00B421E5">
        <w:t xml:space="preserve">кой при смене видов транспорта в рамках </w:t>
      </w:r>
      <w:proofErr w:type="spellStart"/>
      <w:r w:rsidRPr="00B421E5">
        <w:t>интермодальной</w:t>
      </w:r>
      <w:proofErr w:type="spellEnd"/>
      <w:r w:rsidRPr="00B421E5">
        <w:t xml:space="preserve"> цепочки значител</w:t>
      </w:r>
      <w:r w:rsidRPr="00B421E5">
        <w:t>ь</w:t>
      </w:r>
      <w:r w:rsidRPr="00B421E5">
        <w:t>ная часть операций по-прежнему осуществляется с использованием бумажных документов. В то же время каждая страна развивает собственную систему эле</w:t>
      </w:r>
      <w:r w:rsidRPr="00B421E5">
        <w:t>к</w:t>
      </w:r>
      <w:r w:rsidRPr="00B421E5">
        <w:t>тронного документооборота и разрабатывает программы, направленные на п</w:t>
      </w:r>
      <w:r w:rsidRPr="00B421E5">
        <w:t>о</w:t>
      </w:r>
      <w:r w:rsidRPr="00B421E5">
        <w:t>вышение эффективности процедур обработки и утверждения документов. Необходима хорошо отлаженная система взаимодействия всех участников пер</w:t>
      </w:r>
      <w:r w:rsidRPr="00B421E5">
        <w:t>е</w:t>
      </w:r>
      <w:r w:rsidRPr="00B421E5">
        <w:t>возочного процесса;</w:t>
      </w:r>
    </w:p>
    <w:p w:rsidR="00B421E5" w:rsidRPr="00B421E5" w:rsidRDefault="00B421E5" w:rsidP="00B421E5">
      <w:pPr>
        <w:pStyle w:val="SingleTxtGR"/>
      </w:pPr>
      <w:r w:rsidRPr="00B421E5">
        <w:tab/>
        <w:t>k)</w:t>
      </w:r>
      <w:r w:rsidRPr="00B421E5">
        <w:tab/>
        <w:t xml:space="preserve">развитие </w:t>
      </w:r>
      <w:proofErr w:type="spellStart"/>
      <w:r w:rsidRPr="00B421E5">
        <w:t>интермодальных</w:t>
      </w:r>
      <w:proofErr w:type="spellEnd"/>
      <w:r w:rsidRPr="00B421E5">
        <w:t xml:space="preserve"> перевозок в контексте международных почтовых отправлений и товаров электронной торговли на направлении Китай</w:t>
      </w:r>
      <w:r w:rsidR="00657F93">
        <w:t>–</w:t>
      </w:r>
      <w:r w:rsidRPr="00B421E5">
        <w:t>Европа;</w:t>
      </w:r>
    </w:p>
    <w:p w:rsidR="00B421E5" w:rsidRPr="00B421E5" w:rsidRDefault="00B421E5" w:rsidP="00B421E5">
      <w:pPr>
        <w:pStyle w:val="SingleTxtGR"/>
      </w:pPr>
      <w:r w:rsidRPr="00B421E5">
        <w:tab/>
        <w:t>l)</w:t>
      </w:r>
      <w:r w:rsidRPr="00B421E5">
        <w:tab/>
        <w:t>очевидна потребность в сокращении выбросов парниковых газов, и необходимы более устойчивые транспортные системы. Если устойчивость я</w:t>
      </w:r>
      <w:r w:rsidRPr="00B421E5">
        <w:t>в</w:t>
      </w:r>
      <w:r w:rsidRPr="00B421E5">
        <w:t>ляется одной из целей комбинированных перевозок, то надлежит исходить из того</w:t>
      </w:r>
      <w:r w:rsidR="00F40AC7">
        <w:t xml:space="preserve"> </w:t>
      </w:r>
      <w:r w:rsidRPr="00B421E5">
        <w:t>принципа, что груз следует перевозить на как можно более дальнее расст</w:t>
      </w:r>
      <w:r w:rsidRPr="00B421E5">
        <w:t>о</w:t>
      </w:r>
      <w:r w:rsidRPr="00B421E5">
        <w:t>яние железнодорожным/внутренним водным/морским транспортом, а затем п</w:t>
      </w:r>
      <w:r w:rsidRPr="00B421E5">
        <w:t>е</w:t>
      </w:r>
      <w:r w:rsidRPr="00B421E5">
        <w:t>рераспределять на автомобильный транспорт для перевозки на как можно более короткое расстояние;</w:t>
      </w:r>
    </w:p>
    <w:p w:rsidR="00B421E5" w:rsidRPr="00B421E5" w:rsidRDefault="00B421E5" w:rsidP="00B421E5">
      <w:pPr>
        <w:pStyle w:val="SingleTxtGR"/>
      </w:pPr>
      <w:r w:rsidRPr="00B421E5">
        <w:tab/>
        <w:t>m)</w:t>
      </w:r>
      <w:r w:rsidRPr="00B421E5">
        <w:tab/>
        <w:t>увязка различных видов транспорта в рамках единой комплексной системы позволяет синхронизировать использование различных видов тран</w:t>
      </w:r>
      <w:r w:rsidRPr="00B421E5">
        <w:t>с</w:t>
      </w:r>
      <w:r w:rsidRPr="00B421E5">
        <w:t xml:space="preserve">порта и </w:t>
      </w:r>
      <w:proofErr w:type="gramStart"/>
      <w:r w:rsidRPr="00B421E5">
        <w:t>контроль за</w:t>
      </w:r>
      <w:proofErr w:type="gramEnd"/>
      <w:r w:rsidRPr="00B421E5">
        <w:t xml:space="preserve"> ними. Такое взаимодействие осуществляется на </w:t>
      </w:r>
      <w:proofErr w:type="spellStart"/>
      <w:r w:rsidRPr="00B421E5">
        <w:t>интерм</w:t>
      </w:r>
      <w:r w:rsidRPr="00B421E5">
        <w:t>о</w:t>
      </w:r>
      <w:r w:rsidRPr="00B421E5">
        <w:t>дальных</w:t>
      </w:r>
      <w:proofErr w:type="spellEnd"/>
      <w:r w:rsidRPr="00B421E5">
        <w:t xml:space="preserve"> терминалах. Поэтому развитие </w:t>
      </w:r>
      <w:proofErr w:type="spellStart"/>
      <w:r w:rsidRPr="00B421E5">
        <w:t>интермодальных</w:t>
      </w:r>
      <w:proofErr w:type="spellEnd"/>
      <w:r w:rsidRPr="00B421E5">
        <w:t xml:space="preserve"> терминалов/</w:t>
      </w:r>
      <w:proofErr w:type="spellStart"/>
      <w:r w:rsidRPr="00B421E5">
        <w:t>логисти</w:t>
      </w:r>
      <w:r w:rsidR="00657F93">
        <w:t>-</w:t>
      </w:r>
      <w:r w:rsidRPr="00B421E5">
        <w:lastRenderedPageBreak/>
        <w:t>ческих</w:t>
      </w:r>
      <w:proofErr w:type="spellEnd"/>
      <w:r w:rsidRPr="00B421E5">
        <w:t xml:space="preserve"> центров имеет решающее значение для развития </w:t>
      </w:r>
      <w:proofErr w:type="spellStart"/>
      <w:r w:rsidRPr="00B421E5">
        <w:t>интермодальных</w:t>
      </w:r>
      <w:proofErr w:type="spellEnd"/>
      <w:r w:rsidRPr="00B421E5">
        <w:t xml:space="preserve"> пер</w:t>
      </w:r>
      <w:r w:rsidRPr="00B421E5">
        <w:t>е</w:t>
      </w:r>
      <w:r w:rsidRPr="00B421E5">
        <w:t>возок;</w:t>
      </w:r>
    </w:p>
    <w:p w:rsidR="00B421E5" w:rsidRPr="00B421E5" w:rsidRDefault="00B421E5" w:rsidP="00B421E5">
      <w:pPr>
        <w:pStyle w:val="SingleTxtGR"/>
      </w:pPr>
      <w:r w:rsidRPr="00B421E5">
        <w:tab/>
        <w:t>n)</w:t>
      </w:r>
      <w:r w:rsidRPr="00B421E5">
        <w:tab/>
        <w:t xml:space="preserve">минимизация логистических издержек и, следовательно, стоимости конечной продукции для потребителя. </w:t>
      </w:r>
      <w:proofErr w:type="spellStart"/>
      <w:r w:rsidRPr="00B421E5">
        <w:t>Интермодальные</w:t>
      </w:r>
      <w:proofErr w:type="spellEnd"/>
      <w:r w:rsidRPr="00B421E5">
        <w:t xml:space="preserve"> перевозки, а также </w:t>
      </w:r>
      <w:proofErr w:type="spellStart"/>
      <w:r w:rsidRPr="00B421E5">
        <w:t>и</w:t>
      </w:r>
      <w:r w:rsidRPr="00B421E5">
        <w:t>н</w:t>
      </w:r>
      <w:r w:rsidRPr="00B421E5">
        <w:t>термодальные</w:t>
      </w:r>
      <w:proofErr w:type="spellEnd"/>
      <w:r w:rsidRPr="00B421E5">
        <w:t xml:space="preserve"> терминалы/логистические центры обусловливают экономию масштаба на основе так называемого совместного управления грузовыми пер</w:t>
      </w:r>
      <w:r w:rsidRPr="00B421E5">
        <w:t>е</w:t>
      </w:r>
      <w:r w:rsidRPr="00B421E5">
        <w:t>возками, исключающего прогоны порожних грузовиков/автофургонов и позв</w:t>
      </w:r>
      <w:r w:rsidRPr="00B421E5">
        <w:t>о</w:t>
      </w:r>
      <w:r w:rsidRPr="00B421E5">
        <w:t>ляющего сводить к минимуму удельные транспортные расходы и снижать все такие другие косвенные транспортные издержки, как загрязнение воздуха, зат</w:t>
      </w:r>
      <w:r w:rsidRPr="00B421E5">
        <w:t>о</w:t>
      </w:r>
      <w:r w:rsidRPr="00B421E5">
        <w:t>ры на дорогах и т.д.</w:t>
      </w:r>
    </w:p>
    <w:p w:rsidR="00B421E5" w:rsidRPr="00B421E5" w:rsidRDefault="00B421E5" w:rsidP="00F40AC7">
      <w:pPr>
        <w:pStyle w:val="HChGR"/>
      </w:pPr>
      <w:r w:rsidRPr="00B421E5">
        <w:tab/>
        <w:t>IV.</w:t>
      </w:r>
      <w:r w:rsidRPr="00B421E5">
        <w:tab/>
        <w:t>Руководящие указания Комитета по внутреннему транспорту</w:t>
      </w:r>
    </w:p>
    <w:p w:rsidR="00F40AC7" w:rsidRDefault="00B421E5" w:rsidP="00B421E5">
      <w:pPr>
        <w:pStyle w:val="SingleTxtGR"/>
      </w:pPr>
      <w:r w:rsidRPr="00B421E5">
        <w:t>20.</w:t>
      </w:r>
      <w:r w:rsidRPr="00B421E5">
        <w:tab/>
        <w:t>Комитет по внутреннему транспорту, возможно, пожелает рассмотреть вышеизложенную информацию и дать секретариату руководящие указания в отношении дальнейшей работы и тех аспектов, которым следует уделить о</w:t>
      </w:r>
      <w:r w:rsidRPr="00B421E5">
        <w:t>с</w:t>
      </w:r>
      <w:r w:rsidRPr="00B421E5">
        <w:t>новное внимание в интересах подготовки всеобъемлющей стратегии для Раб</w:t>
      </w:r>
      <w:r w:rsidRPr="00B421E5">
        <w:t>о</w:t>
      </w:r>
      <w:r w:rsidRPr="00B421E5">
        <w:t>чей группы.</w:t>
      </w:r>
    </w:p>
    <w:p w:rsidR="00B421E5" w:rsidRPr="00F40AC7" w:rsidRDefault="00F40AC7" w:rsidP="00F40AC7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421E5" w:rsidRPr="00F40AC7" w:rsidSect="00B421E5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29E" w:rsidRPr="00A312BC" w:rsidRDefault="003E329E" w:rsidP="00A312BC"/>
  </w:endnote>
  <w:endnote w:type="continuationSeparator" w:id="0">
    <w:p w:rsidR="003E329E" w:rsidRPr="00A312BC" w:rsidRDefault="003E329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1E5" w:rsidRPr="00B421E5" w:rsidRDefault="00B421E5">
    <w:pPr>
      <w:pStyle w:val="Footer"/>
    </w:pPr>
    <w:r w:rsidRPr="00B421E5">
      <w:rPr>
        <w:b/>
        <w:sz w:val="18"/>
      </w:rPr>
      <w:fldChar w:fldCharType="begin"/>
    </w:r>
    <w:r w:rsidRPr="00B421E5">
      <w:rPr>
        <w:b/>
        <w:sz w:val="18"/>
      </w:rPr>
      <w:instrText xml:space="preserve"> PAGE  \* MERGEFORMAT </w:instrText>
    </w:r>
    <w:r w:rsidRPr="00B421E5">
      <w:rPr>
        <w:b/>
        <w:sz w:val="18"/>
      </w:rPr>
      <w:fldChar w:fldCharType="separate"/>
    </w:r>
    <w:r w:rsidR="00AB22FE">
      <w:rPr>
        <w:b/>
        <w:noProof/>
        <w:sz w:val="18"/>
      </w:rPr>
      <w:t>8</w:t>
    </w:r>
    <w:r w:rsidRPr="00B421E5">
      <w:rPr>
        <w:b/>
        <w:sz w:val="18"/>
      </w:rPr>
      <w:fldChar w:fldCharType="end"/>
    </w:r>
    <w:r>
      <w:rPr>
        <w:b/>
        <w:sz w:val="18"/>
      </w:rPr>
      <w:tab/>
    </w:r>
    <w:r>
      <w:t>GE.17-22269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1E5" w:rsidRPr="00B421E5" w:rsidRDefault="00B421E5" w:rsidP="00B421E5">
    <w:pPr>
      <w:pStyle w:val="Footer"/>
      <w:tabs>
        <w:tab w:val="clear" w:pos="9639"/>
        <w:tab w:val="right" w:pos="9638"/>
      </w:tabs>
      <w:rPr>
        <w:b/>
        <w:sz w:val="18"/>
      </w:rPr>
    </w:pPr>
    <w:r>
      <w:t>GE.17-22269</w:t>
    </w:r>
    <w:r>
      <w:tab/>
    </w:r>
    <w:r w:rsidRPr="00B421E5">
      <w:rPr>
        <w:b/>
        <w:sz w:val="18"/>
      </w:rPr>
      <w:fldChar w:fldCharType="begin"/>
    </w:r>
    <w:r w:rsidRPr="00B421E5">
      <w:rPr>
        <w:b/>
        <w:sz w:val="18"/>
      </w:rPr>
      <w:instrText xml:space="preserve"> PAGE  \* MERGEFORMAT </w:instrText>
    </w:r>
    <w:r w:rsidRPr="00B421E5">
      <w:rPr>
        <w:b/>
        <w:sz w:val="18"/>
      </w:rPr>
      <w:fldChar w:fldCharType="separate"/>
    </w:r>
    <w:r w:rsidR="00AB22FE">
      <w:rPr>
        <w:b/>
        <w:noProof/>
        <w:sz w:val="18"/>
      </w:rPr>
      <w:t>7</w:t>
    </w:r>
    <w:r w:rsidRPr="00B421E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B421E5" w:rsidRDefault="00B421E5" w:rsidP="00B421E5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264E8690" wp14:editId="2D8D0899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17-22269  (R)</w:t>
    </w:r>
    <w:r w:rsidR="005C7F5A">
      <w:rPr>
        <w:lang w:val="en-US"/>
      </w:rPr>
      <w:t xml:space="preserve">  271217  281217</w:t>
    </w:r>
    <w:r>
      <w:br/>
    </w:r>
    <w:r w:rsidRPr="00B421E5">
      <w:rPr>
        <w:rFonts w:ascii="C39T30Lfz" w:hAnsi="C39T30Lfz"/>
        <w:spacing w:val="0"/>
        <w:w w:val="100"/>
        <w:sz w:val="56"/>
      </w:rPr>
      <w:t></w:t>
    </w:r>
    <w:r w:rsidRPr="00B421E5">
      <w:rPr>
        <w:rFonts w:ascii="C39T30Lfz" w:hAnsi="C39T30Lfz"/>
        <w:spacing w:val="0"/>
        <w:w w:val="100"/>
        <w:sz w:val="56"/>
      </w:rPr>
      <w:t></w:t>
    </w:r>
    <w:r w:rsidRPr="00B421E5">
      <w:rPr>
        <w:rFonts w:ascii="C39T30Lfz" w:hAnsi="C39T30Lfz"/>
        <w:spacing w:val="0"/>
        <w:w w:val="100"/>
        <w:sz w:val="56"/>
      </w:rPr>
      <w:t></w:t>
    </w:r>
    <w:r w:rsidRPr="00B421E5">
      <w:rPr>
        <w:rFonts w:ascii="C39T30Lfz" w:hAnsi="C39T30Lfz"/>
        <w:spacing w:val="0"/>
        <w:w w:val="100"/>
        <w:sz w:val="56"/>
      </w:rPr>
      <w:t></w:t>
    </w:r>
    <w:r w:rsidRPr="00B421E5">
      <w:rPr>
        <w:rFonts w:ascii="C39T30Lfz" w:hAnsi="C39T30Lfz"/>
        <w:spacing w:val="0"/>
        <w:w w:val="100"/>
        <w:sz w:val="56"/>
      </w:rPr>
      <w:t></w:t>
    </w:r>
    <w:r w:rsidRPr="00B421E5">
      <w:rPr>
        <w:rFonts w:ascii="C39T30Lfz" w:hAnsi="C39T30Lfz"/>
        <w:spacing w:val="0"/>
        <w:w w:val="100"/>
        <w:sz w:val="56"/>
      </w:rPr>
      <w:t></w:t>
    </w:r>
    <w:r w:rsidRPr="00B421E5">
      <w:rPr>
        <w:rFonts w:ascii="C39T30Lfz" w:hAnsi="C39T30Lfz"/>
        <w:spacing w:val="0"/>
        <w:w w:val="100"/>
        <w:sz w:val="56"/>
      </w:rPr>
      <w:t></w:t>
    </w:r>
    <w:r w:rsidRPr="00B421E5">
      <w:rPr>
        <w:rFonts w:ascii="C39T30Lfz" w:hAnsi="C39T30Lfz"/>
        <w:spacing w:val="0"/>
        <w:w w:val="100"/>
        <w:sz w:val="56"/>
      </w:rPr>
      <w:t></w:t>
    </w:r>
    <w:r w:rsidRPr="00B421E5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7564" cy="637564"/>
          <wp:effectExtent l="0" t="0" r="0" b="0"/>
          <wp:wrapNone/>
          <wp:docPr id="1" name="Рисунок 1" descr="https://undocs.org/m2/QRCode.ashx?DS=ECE/TRANS/2018/1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2018/1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64" cy="637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29E" w:rsidRPr="001075E9" w:rsidRDefault="003E329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E329E" w:rsidRDefault="003E329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B421E5" w:rsidRPr="00F40AC7" w:rsidRDefault="00B421E5" w:rsidP="00B421E5">
      <w:pPr>
        <w:pStyle w:val="FootnoteText"/>
        <w:widowControl w:val="0"/>
        <w:tabs>
          <w:tab w:val="clear" w:pos="1021"/>
          <w:tab w:val="right" w:pos="1020"/>
        </w:tabs>
        <w:rPr>
          <w:lang w:val="ru-RU"/>
        </w:rPr>
      </w:pPr>
      <w:r>
        <w:rPr>
          <w:lang w:val="ru-RU"/>
        </w:rPr>
        <w:tab/>
      </w:r>
      <w:r>
        <w:rPr>
          <w:rStyle w:val="FootnoteReference"/>
          <w:lang w:val="ru-RU"/>
        </w:rPr>
        <w:footnoteRef/>
      </w:r>
      <w:r>
        <w:rPr>
          <w:lang w:val="ru-RU"/>
        </w:rPr>
        <w:tab/>
      </w:r>
      <w:r w:rsidRPr="00F40AC7">
        <w:rPr>
          <w:lang w:val="ru-RU"/>
        </w:rPr>
        <w:t xml:space="preserve">Г-н Ральф-Чарли Шульце, Председатель Международного союза компаний по комбинированным автомобильно-железнодорожным перевозкам (МСККП), </w:t>
      </w:r>
      <w:hyperlink r:id="rId1" w:history="1">
        <w:r w:rsidRPr="00F40AC7">
          <w:rPr>
            <w:rStyle w:val="Hyperlink"/>
            <w:color w:val="auto"/>
            <w:lang w:val="ru-RU"/>
          </w:rPr>
          <w:t>www.unece.org/fileadmin/DAM/trans/doc/2017/wp24/Schultze.pdf</w:t>
        </w:r>
      </w:hyperlink>
      <w:r w:rsidR="00F40AC7" w:rsidRPr="00F40AC7">
        <w:rPr>
          <w:lang w:val="ru-RU"/>
        </w:rPr>
        <w:t>.</w:t>
      </w:r>
    </w:p>
  </w:footnote>
  <w:footnote w:id="2">
    <w:p w:rsidR="00B421E5" w:rsidRPr="00F40AC7" w:rsidRDefault="00B421E5" w:rsidP="00B421E5">
      <w:pPr>
        <w:pStyle w:val="FootnoteText"/>
        <w:widowControl w:val="0"/>
        <w:tabs>
          <w:tab w:val="clear" w:pos="1021"/>
          <w:tab w:val="right" w:pos="1020"/>
        </w:tabs>
        <w:rPr>
          <w:lang w:val="ru-RU"/>
        </w:rPr>
      </w:pPr>
      <w:r w:rsidRPr="00F40AC7">
        <w:rPr>
          <w:lang w:val="ru-RU"/>
        </w:rPr>
        <w:tab/>
      </w:r>
      <w:r w:rsidRPr="00F40AC7">
        <w:rPr>
          <w:rStyle w:val="FootnoteReference"/>
          <w:lang w:val="ru-RU"/>
        </w:rPr>
        <w:footnoteRef/>
      </w:r>
      <w:r w:rsidRPr="00F40AC7">
        <w:rPr>
          <w:lang w:val="ru-RU"/>
        </w:rPr>
        <w:tab/>
        <w:t>Г-жа Наталья Степанова, заместитель Генерального секретаря Координационного совета по транссибирским перевозкам (КСТП)</w:t>
      </w:r>
      <w:r w:rsidR="00F40AC7" w:rsidRPr="00F40AC7">
        <w:rPr>
          <w:lang w:val="ru-RU"/>
        </w:rPr>
        <w:t>.</w:t>
      </w:r>
    </w:p>
  </w:footnote>
  <w:footnote w:id="3">
    <w:p w:rsidR="00B421E5" w:rsidRPr="00F40AC7" w:rsidRDefault="00B421E5" w:rsidP="00B421E5">
      <w:pPr>
        <w:pStyle w:val="FootnoteText"/>
        <w:widowControl w:val="0"/>
        <w:tabs>
          <w:tab w:val="clear" w:pos="1021"/>
          <w:tab w:val="right" w:pos="1020"/>
        </w:tabs>
        <w:rPr>
          <w:lang w:val="ru-RU"/>
        </w:rPr>
      </w:pPr>
      <w:r w:rsidRPr="00F40AC7">
        <w:rPr>
          <w:lang w:val="ru-RU"/>
        </w:rPr>
        <w:tab/>
      </w:r>
      <w:r w:rsidRPr="00F40AC7">
        <w:rPr>
          <w:rStyle w:val="FootnoteReference"/>
          <w:lang w:val="ru-RU"/>
        </w:rPr>
        <w:footnoteRef/>
      </w:r>
      <w:r w:rsidRPr="00F40AC7">
        <w:rPr>
          <w:lang w:val="ru-RU"/>
        </w:rPr>
        <w:tab/>
        <w:t xml:space="preserve">Г-н </w:t>
      </w:r>
      <w:proofErr w:type="spellStart"/>
      <w:r w:rsidRPr="00F40AC7">
        <w:rPr>
          <w:lang w:val="ru-RU"/>
        </w:rPr>
        <w:t>Мануэль</w:t>
      </w:r>
      <w:proofErr w:type="spellEnd"/>
      <w:r w:rsidRPr="00F40AC7">
        <w:rPr>
          <w:lang w:val="ru-RU"/>
        </w:rPr>
        <w:t xml:space="preserve"> Франсиско </w:t>
      </w:r>
      <w:proofErr w:type="spellStart"/>
      <w:r w:rsidRPr="00F40AC7">
        <w:rPr>
          <w:lang w:val="ru-RU"/>
        </w:rPr>
        <w:t>Мартинес</w:t>
      </w:r>
      <w:proofErr w:type="spellEnd"/>
      <w:r w:rsidRPr="00F40AC7">
        <w:rPr>
          <w:lang w:val="ru-RU"/>
        </w:rPr>
        <w:t xml:space="preserve"> </w:t>
      </w:r>
      <w:proofErr w:type="spellStart"/>
      <w:r w:rsidRPr="00F40AC7">
        <w:rPr>
          <w:lang w:val="ru-RU"/>
        </w:rPr>
        <w:t>Торрес</w:t>
      </w:r>
      <w:proofErr w:type="spellEnd"/>
      <w:r w:rsidRPr="00F40AC7">
        <w:rPr>
          <w:lang w:val="ru-RU"/>
        </w:rPr>
        <w:t xml:space="preserve">, Генеральный секретарь объединения </w:t>
      </w:r>
      <w:r w:rsidR="00F40AC7" w:rsidRPr="00F40AC7">
        <w:rPr>
          <w:lang w:val="ru-RU"/>
        </w:rPr>
        <w:t>«</w:t>
      </w:r>
      <w:proofErr w:type="spellStart"/>
      <w:r w:rsidRPr="00F40AC7">
        <w:rPr>
          <w:lang w:val="ru-RU"/>
        </w:rPr>
        <w:t>Европлатформы</w:t>
      </w:r>
      <w:proofErr w:type="spellEnd"/>
      <w:r w:rsidR="00F40AC7" w:rsidRPr="00F40AC7">
        <w:rPr>
          <w:lang w:val="ru-RU"/>
        </w:rPr>
        <w:t>»</w:t>
      </w:r>
      <w:r w:rsidRPr="00F40AC7">
        <w:rPr>
          <w:lang w:val="ru-RU"/>
        </w:rPr>
        <w:t xml:space="preserve">/директор </w:t>
      </w:r>
      <w:proofErr w:type="spellStart"/>
      <w:r w:rsidRPr="00F40AC7">
        <w:rPr>
          <w:lang w:val="ru-RU"/>
        </w:rPr>
        <w:t>Альхесирасской</w:t>
      </w:r>
      <w:proofErr w:type="spellEnd"/>
      <w:r w:rsidRPr="00F40AC7">
        <w:rPr>
          <w:lang w:val="ru-RU"/>
        </w:rPr>
        <w:t xml:space="preserve"> логистической зоны </w:t>
      </w:r>
      <w:r w:rsidR="00F40AC7" w:rsidRPr="00F40AC7">
        <w:rPr>
          <w:lang w:val="ru-RU"/>
        </w:rPr>
        <w:t>«</w:t>
      </w:r>
      <w:proofErr w:type="gramStart"/>
      <w:r w:rsidRPr="00F40AC7">
        <w:rPr>
          <w:lang w:val="ru-RU"/>
        </w:rPr>
        <w:t>Ред</w:t>
      </w:r>
      <w:proofErr w:type="gramEnd"/>
      <w:r w:rsidRPr="00F40AC7">
        <w:rPr>
          <w:lang w:val="ru-RU"/>
        </w:rPr>
        <w:t xml:space="preserve"> логистика де Андалусия</w:t>
      </w:r>
      <w:r w:rsidR="00F40AC7" w:rsidRPr="00F40AC7">
        <w:rPr>
          <w:lang w:val="ru-RU"/>
        </w:rPr>
        <w:t>»</w:t>
      </w:r>
      <w:r w:rsidRPr="00F40AC7">
        <w:rPr>
          <w:lang w:val="ru-RU"/>
        </w:rPr>
        <w:t>, Испания</w:t>
      </w:r>
      <w:r w:rsidR="00F40AC7" w:rsidRPr="00F40AC7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1E5" w:rsidRPr="00B421E5" w:rsidRDefault="00AB22FE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BE39CD">
      <w:t>ECE/TRANS/2018/14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1E5" w:rsidRPr="00B421E5" w:rsidRDefault="00AB22FE" w:rsidP="00B421E5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BE39CD">
      <w:t>ECE/TRANS/2018/14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29E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1D0ECC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329E"/>
    <w:rsid w:val="004037DB"/>
    <w:rsid w:val="00407B78"/>
    <w:rsid w:val="00424203"/>
    <w:rsid w:val="00452493"/>
    <w:rsid w:val="00453318"/>
    <w:rsid w:val="00454AF2"/>
    <w:rsid w:val="00454E07"/>
    <w:rsid w:val="00472C5C"/>
    <w:rsid w:val="004E05B7"/>
    <w:rsid w:val="004E10C8"/>
    <w:rsid w:val="0050108D"/>
    <w:rsid w:val="00513081"/>
    <w:rsid w:val="00517901"/>
    <w:rsid w:val="00526683"/>
    <w:rsid w:val="00560D3F"/>
    <w:rsid w:val="005639C1"/>
    <w:rsid w:val="005709E0"/>
    <w:rsid w:val="00572E19"/>
    <w:rsid w:val="005961C8"/>
    <w:rsid w:val="005966F1"/>
    <w:rsid w:val="005C7F5A"/>
    <w:rsid w:val="005D7914"/>
    <w:rsid w:val="005E2B41"/>
    <w:rsid w:val="005F0B42"/>
    <w:rsid w:val="0063384E"/>
    <w:rsid w:val="006345DB"/>
    <w:rsid w:val="00640F49"/>
    <w:rsid w:val="00657F93"/>
    <w:rsid w:val="00680D03"/>
    <w:rsid w:val="00681A10"/>
    <w:rsid w:val="006A1ED8"/>
    <w:rsid w:val="006C2031"/>
    <w:rsid w:val="006D461A"/>
    <w:rsid w:val="006F35EE"/>
    <w:rsid w:val="007021FF"/>
    <w:rsid w:val="00712895"/>
    <w:rsid w:val="007254D6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2EAB"/>
    <w:rsid w:val="008F7609"/>
    <w:rsid w:val="00906890"/>
    <w:rsid w:val="00911BE4"/>
    <w:rsid w:val="00951972"/>
    <w:rsid w:val="009608F3"/>
    <w:rsid w:val="009A24AC"/>
    <w:rsid w:val="009C6FE6"/>
    <w:rsid w:val="009D7E7D"/>
    <w:rsid w:val="00A14DA8"/>
    <w:rsid w:val="00A312BC"/>
    <w:rsid w:val="00A84021"/>
    <w:rsid w:val="00A84D35"/>
    <w:rsid w:val="00A917B3"/>
    <w:rsid w:val="00AB22FE"/>
    <w:rsid w:val="00AB4B51"/>
    <w:rsid w:val="00B10CC7"/>
    <w:rsid w:val="00B36DF7"/>
    <w:rsid w:val="00B421E5"/>
    <w:rsid w:val="00B539E7"/>
    <w:rsid w:val="00B62458"/>
    <w:rsid w:val="00BC18B2"/>
    <w:rsid w:val="00BD33EE"/>
    <w:rsid w:val="00BD3482"/>
    <w:rsid w:val="00BE1CC7"/>
    <w:rsid w:val="00BE39CD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D333E"/>
    <w:rsid w:val="00DD78D1"/>
    <w:rsid w:val="00DD7F3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0AC7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7DB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customStyle="1" w:styleId="SingleTxtG">
    <w:name w:val="_ Single Txt_G"/>
    <w:basedOn w:val="Normal"/>
    <w:link w:val="SingleTxtGChar"/>
    <w:rsid w:val="00B421E5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SingleTxtGChar">
    <w:name w:val="_ Single Txt_G Char"/>
    <w:link w:val="SingleTxtG"/>
    <w:rsid w:val="00B421E5"/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7DB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customStyle="1" w:styleId="SingleTxtG">
    <w:name w:val="_ Single Txt_G"/>
    <w:basedOn w:val="Normal"/>
    <w:link w:val="SingleTxtGChar"/>
    <w:rsid w:val="00B421E5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SingleTxtGChar">
    <w:name w:val="_ Single Txt_G Char"/>
    <w:link w:val="SingleTxtG"/>
    <w:rsid w:val="00B421E5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\\conf-share1\LS\RUS\COMMON\MSWDocs\_3Final\www.unece.org\fileadmin\DAM\trans\doc\2017\wp24\Schultze.pdf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ayburtyan\Downloads\wp2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6580927384076991E-2"/>
          <c:y val="0.14393518518518519"/>
          <c:w val="0.90286351706036749"/>
          <c:h val="0.61498432487605714"/>
        </c:manualLayout>
      </c:layout>
      <c:lineChart>
        <c:grouping val="standard"/>
        <c:varyColors val="0"/>
        <c:ser>
          <c:idx val="0"/>
          <c:order val="0"/>
          <c:tx>
            <c:strRef>
              <c:f>Sheet1!$A$23</c:f>
              <c:strCache>
                <c:ptCount val="1"/>
                <c:pt idx="0">
                  <c:v>число ораторов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3"/>
              <c:layout>
                <c:manualLayout>
                  <c:x val="-1.1111111111111112E-2"/>
                  <c:y val="5.555555555555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903F-43DC-B77A-D9BF292107E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Sheet1!$D$25:$D$31</c:f>
              <c:numCache>
                <c:formatCode>General</c:formatCod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</c:numCache>
            </c:numRef>
          </c:cat>
          <c:val>
            <c:numRef>
              <c:f>Sheet1!$A$25:$A$31</c:f>
              <c:numCache>
                <c:formatCode>General</c:formatCode>
                <c:ptCount val="7"/>
                <c:pt idx="0">
                  <c:v>4</c:v>
                </c:pt>
                <c:pt idx="1">
                  <c:v>5</c:v>
                </c:pt>
                <c:pt idx="2">
                  <c:v>4</c:v>
                </c:pt>
                <c:pt idx="3">
                  <c:v>8</c:v>
                </c:pt>
                <c:pt idx="4">
                  <c:v>7</c:v>
                </c:pt>
                <c:pt idx="5">
                  <c:v>7</c:v>
                </c:pt>
                <c:pt idx="6">
                  <c:v>13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903F-43DC-B77A-D9BF292107E3}"/>
            </c:ext>
          </c:extLst>
        </c:ser>
        <c:ser>
          <c:idx val="1"/>
          <c:order val="1"/>
          <c:tx>
            <c:strRef>
              <c:f>Sheet1!$B$23</c:f>
              <c:strCache>
                <c:ptCount val="1"/>
                <c:pt idx="0">
                  <c:v>число правительств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3"/>
              <c:layout>
                <c:manualLayout>
                  <c:x val="0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903F-43DC-B77A-D9BF292107E3}"/>
                </c:ext>
              </c:extLst>
            </c:dLbl>
            <c:dLbl>
              <c:idx val="4"/>
              <c:layout>
                <c:manualLayout>
                  <c:x val="-1.0185067526415994E-16"/>
                  <c:y val="-4.16666666666667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903F-43DC-B77A-D9BF292107E3}"/>
                </c:ext>
              </c:extLst>
            </c:dLbl>
            <c:dLbl>
              <c:idx val="5"/>
              <c:layout>
                <c:manualLayout>
                  <c:x val="-1.1111111111111212E-2"/>
                  <c:y val="-3.2407407407407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903F-43DC-B77A-D9BF292107E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Sheet1!$D$25:$D$31</c:f>
              <c:numCache>
                <c:formatCode>General</c:formatCod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</c:numCache>
            </c:numRef>
          </c:cat>
          <c:val>
            <c:numRef>
              <c:f>Sheet1!$B$25:$B$31</c:f>
              <c:numCache>
                <c:formatCode>General</c:formatCode>
                <c:ptCount val="7"/>
                <c:pt idx="0">
                  <c:v>12</c:v>
                </c:pt>
                <c:pt idx="1">
                  <c:v>10</c:v>
                </c:pt>
                <c:pt idx="2">
                  <c:v>9</c:v>
                </c:pt>
                <c:pt idx="3">
                  <c:v>9</c:v>
                </c:pt>
                <c:pt idx="4">
                  <c:v>11</c:v>
                </c:pt>
                <c:pt idx="5">
                  <c:v>10</c:v>
                </c:pt>
                <c:pt idx="6">
                  <c:v>18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903F-43DC-B77A-D9BF292107E3}"/>
            </c:ext>
          </c:extLst>
        </c:ser>
        <c:ser>
          <c:idx val="2"/>
          <c:order val="2"/>
          <c:tx>
            <c:strRef>
              <c:f>Sheet1!$C$23</c:f>
              <c:strCache>
                <c:ptCount val="1"/>
                <c:pt idx="0">
                  <c:v>общее число участников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Sheet1!$D$25:$D$31</c:f>
              <c:numCache>
                <c:formatCode>General</c:formatCod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</c:numCache>
            </c:numRef>
          </c:cat>
          <c:val>
            <c:numRef>
              <c:f>Sheet1!$C$25:$C$31</c:f>
              <c:numCache>
                <c:formatCode>General</c:formatCode>
                <c:ptCount val="7"/>
                <c:pt idx="0">
                  <c:v>31</c:v>
                </c:pt>
                <c:pt idx="1">
                  <c:v>35</c:v>
                </c:pt>
                <c:pt idx="2">
                  <c:v>32</c:v>
                </c:pt>
                <c:pt idx="3">
                  <c:v>25</c:v>
                </c:pt>
                <c:pt idx="4">
                  <c:v>37</c:v>
                </c:pt>
                <c:pt idx="5">
                  <c:v>33</c:v>
                </c:pt>
                <c:pt idx="6">
                  <c:v>54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903F-43DC-B77A-D9BF292107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4861440"/>
        <c:axId val="65953792"/>
      </c:lineChart>
      <c:catAx>
        <c:axId val="84861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5953792"/>
        <c:crosses val="autoZero"/>
        <c:auto val="1"/>
        <c:lblAlgn val="ctr"/>
        <c:lblOffset val="100"/>
        <c:noMultiLvlLbl val="0"/>
      </c:catAx>
      <c:valAx>
        <c:axId val="65953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4861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2945</Words>
  <Characters>16787</Characters>
  <Application>Microsoft Office Word</Application>
  <DocSecurity>0</DocSecurity>
  <Lines>139</Lines>
  <Paragraphs>39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ECE/TRANS/2018/14</vt:lpstr>
      <vt:lpstr>ECE/TRANS/2018/14</vt:lpstr>
      <vt:lpstr>A/</vt:lpstr>
    </vt:vector>
  </TitlesOfParts>
  <Company>DCM</Company>
  <LinksUpToDate>false</LinksUpToDate>
  <CharactersWithSpaces>19693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ECE/TRANS/2018/14</dc:title>
  <dc:creator>Anna Blagodatskikh</dc:creator>
  <cp:lastModifiedBy>Jeyhun Shahverdili</cp:lastModifiedBy>
  <cp:revision>2</cp:revision>
  <cp:lastPrinted>2017-12-28T13:14:00Z</cp:lastPrinted>
  <dcterms:created xsi:type="dcterms:W3CDTF">2018-01-09T12:45:00Z</dcterms:created>
  <dcterms:modified xsi:type="dcterms:W3CDTF">2018-01-09T12:45:00Z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