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76" w:rsidRDefault="00641076" w:rsidP="00641076">
      <w:pPr>
        <w:spacing w:after="0"/>
        <w:rPr>
          <w:rFonts w:ascii="Arial" w:hAnsi="Arial" w:cs="Arial"/>
          <w:sz w:val="20"/>
        </w:rPr>
      </w:pP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1076" w:rsidRPr="00641076" w:rsidTr="00077D1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1076" w:rsidRPr="00641076" w:rsidRDefault="00641076" w:rsidP="00641076">
            <w:pPr>
              <w:pBdr>
                <w:bottom w:val="single" w:sz="4" w:space="4" w:color="auto"/>
              </w:pBd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641076" w:rsidRPr="00641076" w:rsidRDefault="00641076" w:rsidP="00641076">
            <w:pPr>
              <w:pBdr>
                <w:bottom w:val="single" w:sz="4" w:space="4" w:color="auto"/>
              </w:pBd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641076" w:rsidRPr="00641076" w:rsidRDefault="00641076" w:rsidP="00641076">
            <w:pPr>
              <w:pBdr>
                <w:bottom w:val="single" w:sz="4" w:space="4" w:color="auto"/>
              </w:pBd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641076" w:rsidRPr="00641076" w:rsidRDefault="00641076" w:rsidP="00641076">
            <w:pPr>
              <w:pBdr>
                <w:bottom w:val="single" w:sz="4" w:space="4" w:color="auto"/>
              </w:pBd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1076" w:rsidRPr="00641076" w:rsidRDefault="00641076" w:rsidP="00641076">
            <w:pPr>
              <w:suppressAutoHyphens/>
              <w:spacing w:after="0" w:line="240" w:lineRule="atLeast"/>
              <w:ind w:left="666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41076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/>
              </w:rPr>
              <w:t>INF.23</w:t>
            </w:r>
          </w:p>
        </w:tc>
      </w:tr>
      <w:tr w:rsidR="00641076" w:rsidRPr="00641076" w:rsidTr="00077D1A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41076" w:rsidRPr="00641076" w:rsidRDefault="00641076" w:rsidP="00641076">
            <w:pPr>
              <w:suppressAutoHyphens/>
              <w:spacing w:before="120"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641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Economic Commission for Europe</w:t>
            </w:r>
          </w:p>
          <w:p w:rsidR="00641076" w:rsidRPr="00641076" w:rsidRDefault="00641076" w:rsidP="00641076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64107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Inland Transport Committee</w:t>
            </w:r>
          </w:p>
          <w:p w:rsidR="00641076" w:rsidRPr="00641076" w:rsidRDefault="00641076" w:rsidP="00641076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41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Working Party on the Transport of Dangerous Goods</w:t>
            </w:r>
          </w:p>
          <w:p w:rsidR="00641076" w:rsidRPr="00641076" w:rsidRDefault="00641076" w:rsidP="00641076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41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Joint Meeting of Experts on the Regulations annexed to the</w:t>
            </w:r>
            <w:r w:rsidRPr="00641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br/>
              <w:t>European Agreement concerning the International Carriage</w:t>
            </w:r>
            <w:r w:rsidRPr="00641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br/>
              <w:t>of Dangerous Goods by Inland Waterways (ADN)</w:t>
            </w:r>
            <w:r w:rsidRPr="00641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br/>
              <w:t>(ADN Safety Committee)</w:t>
            </w:r>
          </w:p>
          <w:p w:rsidR="00641076" w:rsidRPr="00641076" w:rsidRDefault="00641076" w:rsidP="00641076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41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Thirty-second session</w:t>
            </w:r>
          </w:p>
          <w:p w:rsidR="00641076" w:rsidRPr="00641076" w:rsidRDefault="00641076" w:rsidP="0064107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4107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Geneva, 22 - 26 January 2018</w:t>
            </w:r>
            <w:r w:rsidRPr="0064107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Item 4 (c) of the provisional agenda</w:t>
            </w:r>
          </w:p>
          <w:p w:rsidR="00641076" w:rsidRPr="00641076" w:rsidRDefault="00641076" w:rsidP="0064107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41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Implementation of the European Agreement concerning the International Carriage of Dangerous Goods by Inland Waterways (ADN) </w:t>
            </w:r>
            <w:r w:rsidRPr="00641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interpretation of the Regulations annexed to ADN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41076" w:rsidRPr="00641076" w:rsidRDefault="00641076" w:rsidP="00641076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641076" w:rsidRPr="00641076" w:rsidRDefault="00641076" w:rsidP="00641076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410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18 January 2018</w:t>
            </w:r>
          </w:p>
          <w:p w:rsidR="00641076" w:rsidRPr="00641076" w:rsidRDefault="00641076" w:rsidP="00641076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German</w:t>
            </w:r>
          </w:p>
        </w:tc>
      </w:tr>
    </w:tbl>
    <w:p w:rsidR="000E57E8" w:rsidRPr="00202FEC" w:rsidRDefault="003F25B3" w:rsidP="000E57E8">
      <w:pPr>
        <w:suppressAutoHyphens/>
        <w:snapToGrid w:val="0"/>
        <w:spacing w:after="0" w:line="240" w:lineRule="atLeast"/>
        <w:jc w:val="center"/>
        <w:rPr>
          <w:rFonts w:ascii="Arial" w:hAnsi="Arial" w:cs="Arial"/>
          <w:noProof/>
          <w:szCs w:val="24"/>
          <w:lang w:eastAsia="fr-FR"/>
        </w:rPr>
      </w:pPr>
      <w:r>
        <w:rPr>
          <w:rFonts w:ascii="Arial" w:hAnsi="Arial" w:cs="Arial"/>
          <w:noProof/>
          <w:szCs w:val="24"/>
          <w:lang w:eastAsia="fr-FR"/>
        </w:rPr>
        <w:t xml:space="preserve">FRAGE ZUR AUSLEGUNG DER </w:t>
      </w:r>
      <w:r w:rsidR="000E57E8" w:rsidRPr="00202FEC">
        <w:rPr>
          <w:rFonts w:ascii="Arial" w:hAnsi="Arial" w:cs="Arial"/>
          <w:noProof/>
          <w:szCs w:val="24"/>
          <w:lang w:eastAsia="fr-FR"/>
        </w:rPr>
        <w:t xml:space="preserve"> </w:t>
      </w:r>
      <w:r w:rsidR="00FF50BE">
        <w:rPr>
          <w:rFonts w:ascii="Arial" w:hAnsi="Arial" w:cs="Arial"/>
          <w:noProof/>
          <w:szCs w:val="24"/>
          <w:lang w:eastAsia="fr-FR"/>
        </w:rPr>
        <w:t xml:space="preserve">DEM </w:t>
      </w:r>
      <w:r w:rsidR="000E57E8" w:rsidRPr="00202FEC">
        <w:rPr>
          <w:rFonts w:ascii="Arial" w:hAnsi="Arial" w:cs="Arial"/>
          <w:noProof/>
          <w:szCs w:val="24"/>
          <w:lang w:eastAsia="fr-FR"/>
        </w:rPr>
        <w:t>ADN BEIGEFÜGTEN VERORDNUNG:</w:t>
      </w:r>
    </w:p>
    <w:p w:rsidR="000E57E8" w:rsidRPr="00202FEC" w:rsidRDefault="000E57E8" w:rsidP="000E57E8">
      <w:pPr>
        <w:suppressAutoHyphens/>
        <w:spacing w:after="0" w:line="240" w:lineRule="atLeast"/>
        <w:jc w:val="center"/>
        <w:rPr>
          <w:rFonts w:ascii="Arial" w:hAnsi="Arial" w:cs="Arial"/>
          <w:b/>
          <w:noProof/>
          <w:snapToGrid w:val="0"/>
          <w:szCs w:val="24"/>
          <w:u w:val="single"/>
          <w:lang w:eastAsia="fr-FR"/>
        </w:rPr>
      </w:pPr>
    </w:p>
    <w:p w:rsidR="000E57E8" w:rsidRPr="00202FEC" w:rsidRDefault="000E57E8" w:rsidP="000E57E8">
      <w:pPr>
        <w:suppressAutoHyphens/>
        <w:snapToGrid w:val="0"/>
        <w:spacing w:after="0" w:line="240" w:lineRule="atLeast"/>
        <w:jc w:val="center"/>
        <w:rPr>
          <w:rFonts w:ascii="Arial" w:hAnsi="Arial" w:cs="Arial"/>
          <w:b/>
          <w:noProof/>
          <w:szCs w:val="24"/>
          <w:u w:val="single"/>
          <w:lang w:eastAsia="fr-FR"/>
        </w:rPr>
      </w:pPr>
    </w:p>
    <w:p w:rsidR="00363FB8" w:rsidRPr="00202FEC" w:rsidRDefault="003F25B3" w:rsidP="00363FB8">
      <w:pPr>
        <w:spacing w:after="36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Transport von Palmkernexpeller</w:t>
      </w:r>
      <w:r w:rsidR="00363FB8">
        <w:rPr>
          <w:rFonts w:ascii="Arial" w:hAnsi="Arial" w:cs="Arial"/>
          <w:b/>
          <w:sz w:val="28"/>
          <w:szCs w:val="28"/>
        </w:rPr>
        <w:t xml:space="preserve"> der UN 1386</w:t>
      </w:r>
    </w:p>
    <w:p w:rsidR="00D02C24" w:rsidRPr="00202FEC" w:rsidRDefault="00D02C24" w:rsidP="00D02C24">
      <w:pPr>
        <w:spacing w:after="0"/>
        <w:ind w:left="1134"/>
        <w:rPr>
          <w:rFonts w:ascii="Arial" w:hAnsi="Arial" w:cs="Arial"/>
          <w:sz w:val="20"/>
          <w:vertAlign w:val="superscript"/>
        </w:rPr>
      </w:pPr>
      <w:r w:rsidRPr="00202FEC">
        <w:rPr>
          <w:rFonts w:ascii="Arial" w:hAnsi="Arial" w:cs="Arial"/>
          <w:b/>
          <w:snapToGrid w:val="0"/>
          <w:lang w:eastAsia="fr-FR"/>
        </w:rPr>
        <w:t>Gemeinsam eingereicht durch die Europäische Binnenschifffahrts Union (EBU), ERSTU (European River Sea Transport Union) und die Europäische Schifferorganisation(ESO)</w:t>
      </w:r>
      <w:r w:rsidR="009B1BF0">
        <w:rPr>
          <w:rFonts w:ascii="Arial" w:hAnsi="Arial" w:cs="Arial"/>
          <w:b/>
          <w:snapToGrid w:val="0"/>
          <w:lang w:eastAsia="fr-FR"/>
        </w:rPr>
        <w:t xml:space="preserve"> </w:t>
      </w:r>
    </w:p>
    <w:p w:rsidR="000E57E8" w:rsidRPr="00202FEC" w:rsidRDefault="000E57E8" w:rsidP="000E57E8">
      <w:pPr>
        <w:suppressAutoHyphens/>
        <w:spacing w:after="0" w:line="240" w:lineRule="atLeast"/>
        <w:ind w:left="1134" w:right="567"/>
        <w:jc w:val="both"/>
        <w:rPr>
          <w:rFonts w:ascii="Arial" w:hAnsi="Arial" w:cs="Arial"/>
          <w:sz w:val="20"/>
          <w:vertAlign w:val="superscript"/>
        </w:rPr>
      </w:pPr>
    </w:p>
    <w:p w:rsidR="000E57E8" w:rsidRPr="00202FEC" w:rsidRDefault="009B1BF0" w:rsidP="000E57E8">
      <w:pPr>
        <w:suppressAutoHyphens/>
        <w:spacing w:after="0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In Zusammenarbeit mit den internationalen Verbänden des verladenden Gewerbes</w:t>
      </w:r>
    </w:p>
    <w:p w:rsidR="000E57E8" w:rsidRDefault="000E57E8" w:rsidP="000E57E8">
      <w:pPr>
        <w:suppressAutoHyphens/>
        <w:spacing w:after="0"/>
        <w:jc w:val="center"/>
        <w:rPr>
          <w:rFonts w:ascii="Arial" w:hAnsi="Arial" w:cs="Arial"/>
          <w:sz w:val="20"/>
          <w:u w:val="single"/>
        </w:rPr>
      </w:pPr>
    </w:p>
    <w:p w:rsidR="00202FEC" w:rsidRPr="00202FEC" w:rsidRDefault="00202FEC" w:rsidP="000E57E8">
      <w:pPr>
        <w:suppressAutoHyphens/>
        <w:spacing w:after="0"/>
        <w:jc w:val="center"/>
        <w:rPr>
          <w:rFonts w:ascii="Arial" w:hAnsi="Arial" w:cs="Arial"/>
          <w:sz w:val="20"/>
          <w:u w:val="single"/>
        </w:rPr>
      </w:pPr>
    </w:p>
    <w:p w:rsidR="00956C73" w:rsidRPr="00202FEC" w:rsidRDefault="00363FB8" w:rsidP="00956C73">
      <w:pPr>
        <w:widowControl w:val="0"/>
        <w:spacing w:before="53" w:after="0" w:line="240" w:lineRule="auto"/>
        <w:ind w:left="212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Sachstand</w:t>
      </w:r>
    </w:p>
    <w:p w:rsidR="009B2D25" w:rsidRDefault="009B2D25" w:rsidP="00363FB8">
      <w:pPr>
        <w:spacing w:before="120"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63FB8">
        <w:rPr>
          <w:rFonts w:ascii="Arial" w:eastAsia="Times New Roman" w:hAnsi="Arial" w:cs="Arial"/>
          <w:sz w:val="20"/>
          <w:szCs w:val="20"/>
          <w:lang w:eastAsia="de-DE"/>
        </w:rPr>
        <w:t xml:space="preserve">Jährlich werden in den Seehäfen der ADN Vertragsstaaten mehr als 1 Mio. t an Palmkernexpellern </w:t>
      </w:r>
      <w:r w:rsidR="009B1BF0">
        <w:rPr>
          <w:rFonts w:ascii="Arial" w:eastAsia="Times New Roman" w:hAnsi="Arial" w:cs="Arial"/>
          <w:sz w:val="20"/>
          <w:szCs w:val="20"/>
          <w:lang w:eastAsia="de-DE"/>
        </w:rPr>
        <w:t xml:space="preserve">von Seeschiffen </w:t>
      </w:r>
      <w:r w:rsidR="00363FB8">
        <w:rPr>
          <w:rFonts w:ascii="Arial" w:eastAsia="Times New Roman" w:hAnsi="Arial" w:cs="Arial"/>
          <w:sz w:val="20"/>
          <w:szCs w:val="20"/>
          <w:lang w:eastAsia="de-DE"/>
        </w:rPr>
        <w:t xml:space="preserve">auf Binnenschiffe umgeschlagen und anschließend über die Wasserstraßen ins Hinterland transportiert. </w:t>
      </w:r>
    </w:p>
    <w:p w:rsidR="00363FB8" w:rsidRDefault="009B2D25" w:rsidP="00363FB8">
      <w:pPr>
        <w:spacing w:before="120"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2.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63FB8">
        <w:rPr>
          <w:rFonts w:ascii="Arial" w:eastAsia="Times New Roman" w:hAnsi="Arial" w:cs="Arial"/>
          <w:sz w:val="20"/>
          <w:szCs w:val="20"/>
          <w:lang w:eastAsia="de-DE"/>
        </w:rPr>
        <w:t xml:space="preserve">Palmkernexpeller gelten während des Transports über See als Gefahrgut. Bei der Beurteilung der Frage, ob Palmkernexpeller auch beim Transport mit Binnenschiffen über die Wasserstraßen der ADN Vertragsstaaten als Gefahrgut </w:t>
      </w:r>
      <w:r w:rsidR="009B1BF0">
        <w:rPr>
          <w:rFonts w:ascii="Arial" w:eastAsia="Times New Roman" w:hAnsi="Arial" w:cs="Arial"/>
          <w:sz w:val="20"/>
          <w:szCs w:val="20"/>
          <w:lang w:eastAsia="de-DE"/>
        </w:rPr>
        <w:t xml:space="preserve">im Sinne des ADN </w:t>
      </w:r>
      <w:r w:rsidR="00363FB8">
        <w:rPr>
          <w:rFonts w:ascii="Arial" w:eastAsia="Times New Roman" w:hAnsi="Arial" w:cs="Arial"/>
          <w:sz w:val="20"/>
          <w:szCs w:val="20"/>
          <w:lang w:eastAsia="de-DE"/>
        </w:rPr>
        <w:t>anzusehen ist, sind Unsicherheiten aufgetreten.</w:t>
      </w:r>
    </w:p>
    <w:p w:rsidR="00B5616D" w:rsidRDefault="009B2D25" w:rsidP="00363FB8">
      <w:pPr>
        <w:spacing w:before="120"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3.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5616D">
        <w:rPr>
          <w:rFonts w:ascii="Arial" w:eastAsia="Times New Roman" w:hAnsi="Arial" w:cs="Arial"/>
          <w:sz w:val="20"/>
          <w:szCs w:val="20"/>
          <w:lang w:eastAsia="de-DE"/>
        </w:rPr>
        <w:t xml:space="preserve">Palmkernexpeller sind Futtermittel, die unter den Oberbegriff </w:t>
      </w:r>
      <w:r w:rsidR="009B1BF0"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r w:rsidR="00B5616D">
        <w:rPr>
          <w:rFonts w:ascii="Arial" w:eastAsia="Times New Roman" w:hAnsi="Arial" w:cs="Arial"/>
          <w:sz w:val="20"/>
          <w:szCs w:val="20"/>
          <w:lang w:eastAsia="de-DE"/>
        </w:rPr>
        <w:t>Ölsaatkuchen fallen. Unter Ölsaatkuchen fallen auch vergleichbare Produkte aus anderen Pflanzen wie Raps oder Sonnenblumen.</w:t>
      </w:r>
      <w:r w:rsidR="009B1BF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9B2D25" w:rsidRDefault="009B2D25" w:rsidP="00BE1ACC">
      <w:pPr>
        <w:spacing w:before="120"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4.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A6998">
        <w:rPr>
          <w:rFonts w:ascii="Arial" w:eastAsia="Times New Roman" w:hAnsi="Arial" w:cs="Arial"/>
          <w:sz w:val="20"/>
          <w:szCs w:val="20"/>
          <w:lang w:eastAsia="de-DE"/>
        </w:rPr>
        <w:t>Ölsaatkuchen sind im ADN in die Gefahrklasse 4.2 eingestuft und in A</w:t>
      </w:r>
      <w:r w:rsidR="0063173C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A6998">
        <w:rPr>
          <w:rFonts w:ascii="Arial" w:eastAsia="Times New Roman" w:hAnsi="Arial" w:cs="Arial"/>
          <w:sz w:val="20"/>
          <w:szCs w:val="20"/>
          <w:lang w:eastAsia="de-DE"/>
        </w:rPr>
        <w:t xml:space="preserve">hängigkeit vom Ölgehalt </w:t>
      </w:r>
      <w:r w:rsidR="00F7406A">
        <w:rPr>
          <w:rFonts w:ascii="Arial" w:eastAsia="Times New Roman" w:hAnsi="Arial" w:cs="Arial"/>
          <w:sz w:val="20"/>
          <w:szCs w:val="20"/>
          <w:lang w:eastAsia="de-DE"/>
        </w:rPr>
        <w:t xml:space="preserve">entweder der UN 1386 (mehr als 1.5 % Öl) oder der UN 2217 (höchstens 1,5% Öl) zuzuordnen. Die der UN 2217 zugeordnete Sondervorschrift 142 nimmt lösemittelextrahiertes Sojamehl von den Gefahrgutvorschriften aus. </w:t>
      </w:r>
    </w:p>
    <w:p w:rsidR="00DA16C0" w:rsidRDefault="009B2D25" w:rsidP="00BE1ACC">
      <w:pPr>
        <w:spacing w:before="120"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5.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7406A">
        <w:rPr>
          <w:rFonts w:ascii="Arial" w:eastAsia="Times New Roman" w:hAnsi="Arial" w:cs="Arial"/>
          <w:sz w:val="20"/>
          <w:szCs w:val="20"/>
          <w:lang w:eastAsia="de-DE"/>
        </w:rPr>
        <w:t>Andere Ölsaatkuchen können gemäß Abschnitt 2.2.42.1.7 von den Gefahrgutvorschriften ausgenommen werden, wenn durch den N.4 Test nachgewiesen wird, dass sie die Kriterien der Klasse 4.2 nicht erfüllen.</w:t>
      </w:r>
      <w:r w:rsidR="00BE1AC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9838EF" w:rsidRDefault="009B2D25" w:rsidP="009838EF">
      <w:pPr>
        <w:spacing w:before="120"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6.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838EF">
        <w:rPr>
          <w:rFonts w:ascii="Arial" w:eastAsia="Times New Roman" w:hAnsi="Arial" w:cs="Arial"/>
          <w:sz w:val="20"/>
          <w:szCs w:val="20"/>
          <w:lang w:eastAsia="de-DE"/>
        </w:rPr>
        <w:t>Nachfolgend genannte Fragestellungen, Untersuchungsergebnisse und Schlussfolgerungen gelten nur für Palmkernexpeller und nicht für andere Produkte.</w:t>
      </w:r>
    </w:p>
    <w:p w:rsidR="009838EF" w:rsidRDefault="009838EF" w:rsidP="009838EF">
      <w:pPr>
        <w:tabs>
          <w:tab w:val="left" w:pos="1418"/>
        </w:tabs>
        <w:spacing w:before="120"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B5616D" w:rsidRPr="00B5616D" w:rsidRDefault="00B5616D" w:rsidP="00A66D63">
      <w:pPr>
        <w:keepNext/>
        <w:keepLines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B5616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Frage </w:t>
      </w:r>
      <w:r w:rsidR="00BE1ACC">
        <w:rPr>
          <w:rFonts w:ascii="Arial" w:eastAsia="Times New Roman" w:hAnsi="Arial" w:cs="Arial"/>
          <w:b/>
          <w:sz w:val="20"/>
          <w:szCs w:val="20"/>
          <w:lang w:eastAsia="de-DE"/>
        </w:rPr>
        <w:t>1</w:t>
      </w:r>
    </w:p>
    <w:p w:rsidR="00B5616D" w:rsidRDefault="00B5616D" w:rsidP="00A66D63">
      <w:pPr>
        <w:keepNext/>
        <w:keepLines/>
        <w:spacing w:before="120"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EC6536" w:rsidRDefault="00BE1ACC" w:rsidP="00A66D63">
      <w:pPr>
        <w:keepNext/>
        <w:keepLines/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E1ACC">
        <w:rPr>
          <w:rFonts w:ascii="Arial" w:eastAsia="Times New Roman" w:hAnsi="Arial" w:cs="Arial"/>
          <w:sz w:val="20"/>
          <w:szCs w:val="20"/>
          <w:lang w:eastAsia="de-DE"/>
        </w:rPr>
        <w:t xml:space="preserve">Das verladende und transportierende Gewerbe schließt aus dieser Spezifikation, dass Ölsaatkuchen mit Produkteigenschaften außerhalb dieser Spezifikation (z.B. mehr als 11 Masse-% Feuchtigkeit) nicht unter die Bestimmungen des ADN fallen. </w:t>
      </w:r>
    </w:p>
    <w:p w:rsidR="00BE1ACC" w:rsidRPr="00EC6536" w:rsidRDefault="00BE1ACC" w:rsidP="00BE1ACC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C6536">
        <w:rPr>
          <w:rFonts w:ascii="Arial" w:eastAsia="Times New Roman" w:hAnsi="Arial" w:cs="Arial"/>
          <w:sz w:val="20"/>
          <w:szCs w:val="20"/>
          <w:lang w:eastAsia="de-DE"/>
        </w:rPr>
        <w:t>Selbsterhitzung kann nur erst stattfinden wenn die Kombination Öll und Feucht insgesamt &gt;18,</w:t>
      </w:r>
      <w:r w:rsidR="00EC6536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EC6536">
        <w:rPr>
          <w:rFonts w:ascii="Arial" w:eastAsia="Times New Roman" w:hAnsi="Arial" w:cs="Arial"/>
          <w:sz w:val="20"/>
          <w:szCs w:val="20"/>
          <w:lang w:eastAsia="de-DE"/>
        </w:rPr>
        <w:t>% beträgt nach aktue</w:t>
      </w:r>
      <w:r w:rsidR="00EC6536">
        <w:rPr>
          <w:rFonts w:ascii="Arial" w:eastAsia="Times New Roman" w:hAnsi="Arial" w:cs="Arial"/>
          <w:sz w:val="20"/>
          <w:szCs w:val="20"/>
          <w:lang w:eastAsia="de-DE"/>
        </w:rPr>
        <w:t>lle N-4 Ergebnisse (laut IMSBC K</w:t>
      </w:r>
      <w:r w:rsidRPr="00EC6536">
        <w:rPr>
          <w:rFonts w:ascii="Arial" w:eastAsia="Times New Roman" w:hAnsi="Arial" w:cs="Arial"/>
          <w:sz w:val="20"/>
          <w:szCs w:val="20"/>
          <w:lang w:eastAsia="de-DE"/>
        </w:rPr>
        <w:t>ode &gt;</w:t>
      </w:r>
      <w:r w:rsidR="00EC653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C6536">
        <w:rPr>
          <w:rFonts w:ascii="Arial" w:eastAsia="Times New Roman" w:hAnsi="Arial" w:cs="Arial"/>
          <w:sz w:val="20"/>
          <w:szCs w:val="20"/>
          <w:lang w:eastAsia="de-DE"/>
        </w:rPr>
        <w:t>20%).</w:t>
      </w:r>
    </w:p>
    <w:p w:rsidR="00BE1ACC" w:rsidRDefault="00BE1ACC" w:rsidP="00BE1ACC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E1ACC">
        <w:rPr>
          <w:rFonts w:ascii="Arial" w:eastAsia="Times New Roman" w:hAnsi="Arial" w:cs="Arial"/>
          <w:sz w:val="20"/>
          <w:szCs w:val="20"/>
          <w:lang w:eastAsia="de-DE"/>
        </w:rPr>
        <w:t>Wie verhält es sich mit Ölsaatkuchen, bei denen der Gr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enzwerte eingehalten wird; </w:t>
      </w:r>
      <w:r w:rsidRPr="00BE1ACC">
        <w:rPr>
          <w:rFonts w:ascii="Arial" w:eastAsia="Times New Roman" w:hAnsi="Arial" w:cs="Arial"/>
          <w:sz w:val="20"/>
          <w:szCs w:val="20"/>
          <w:lang w:eastAsia="de-DE"/>
        </w:rPr>
        <w:t>mehr als 1,5 Masse-% Öl und mehr als 11 Masse-% Feuchtigkeit</w:t>
      </w:r>
      <w:r>
        <w:rPr>
          <w:rFonts w:ascii="Arial" w:eastAsia="Times New Roman" w:hAnsi="Arial" w:cs="Arial"/>
          <w:sz w:val="20"/>
          <w:szCs w:val="20"/>
          <w:lang w:eastAsia="de-DE"/>
        </w:rPr>
        <w:t>?</w:t>
      </w:r>
    </w:p>
    <w:p w:rsidR="005F60EB" w:rsidRDefault="005F60EB" w:rsidP="00BE1AC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BE1ACC" w:rsidRPr="00B5616D" w:rsidRDefault="00BE1ACC" w:rsidP="00BE1AC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B5616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Frage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2</w:t>
      </w:r>
    </w:p>
    <w:p w:rsidR="00BE1ACC" w:rsidRDefault="00BE1ACC" w:rsidP="00976DCB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B5616D" w:rsidRPr="00976DCB" w:rsidRDefault="00093F49" w:rsidP="00976DCB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76DCB">
        <w:rPr>
          <w:rFonts w:ascii="Arial" w:eastAsia="Times New Roman" w:hAnsi="Arial" w:cs="Arial"/>
          <w:sz w:val="20"/>
          <w:szCs w:val="20"/>
          <w:lang w:eastAsia="de-DE"/>
        </w:rPr>
        <w:t xml:space="preserve">Das ADN sieht in </w:t>
      </w:r>
      <w:r w:rsidR="00B5616D" w:rsidRPr="00976DCB">
        <w:rPr>
          <w:rFonts w:ascii="Arial" w:eastAsia="Times New Roman" w:hAnsi="Arial" w:cs="Arial"/>
          <w:sz w:val="20"/>
          <w:szCs w:val="20"/>
          <w:lang w:eastAsia="de-DE"/>
        </w:rPr>
        <w:t xml:space="preserve">Abschnitt 2.2.42.1.7 </w:t>
      </w:r>
      <w:r w:rsidRPr="00976DCB">
        <w:rPr>
          <w:rFonts w:ascii="Arial" w:eastAsia="Times New Roman" w:hAnsi="Arial" w:cs="Arial"/>
          <w:sz w:val="20"/>
          <w:szCs w:val="20"/>
          <w:lang w:eastAsia="de-DE"/>
        </w:rPr>
        <w:t xml:space="preserve">vor, dass </w:t>
      </w:r>
      <w:r w:rsidR="00B5616D" w:rsidRPr="00976DCB">
        <w:rPr>
          <w:rFonts w:ascii="Arial" w:eastAsia="Times New Roman" w:hAnsi="Arial" w:cs="Arial"/>
          <w:sz w:val="20"/>
          <w:szCs w:val="20"/>
          <w:lang w:eastAsia="de-DE"/>
        </w:rPr>
        <w:t xml:space="preserve">durch Anwendung des sog. N4 Test festgestellt werden, ob ein namentlich genannter Stoff so beschaffen ist, dass er nicht den Vorschriften dieser Klasse unterliegt. </w:t>
      </w:r>
    </w:p>
    <w:p w:rsidR="00FB6521" w:rsidRDefault="00B5616D" w:rsidP="009B2D25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In einer bestimmten Zahl von Fällen wurde der N</w:t>
      </w:r>
      <w:r w:rsidR="00FB6521">
        <w:rPr>
          <w:rFonts w:ascii="Arial" w:eastAsia="Times New Roman" w:hAnsi="Arial" w:cs="Arial"/>
          <w:sz w:val="20"/>
          <w:szCs w:val="20"/>
          <w:lang w:eastAsia="de-DE"/>
        </w:rPr>
        <w:t>4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Test mit Palmkerne</w:t>
      </w:r>
      <w:r w:rsidR="00FB6521">
        <w:rPr>
          <w:rFonts w:ascii="Arial" w:eastAsia="Times New Roman" w:hAnsi="Arial" w:cs="Arial"/>
          <w:sz w:val="20"/>
          <w:szCs w:val="20"/>
          <w:lang w:eastAsia="de-DE"/>
        </w:rPr>
        <w:t>x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pellern </w:t>
      </w:r>
      <w:r w:rsidR="00093F49">
        <w:rPr>
          <w:rFonts w:ascii="Arial" w:eastAsia="Times New Roman" w:hAnsi="Arial" w:cs="Arial"/>
          <w:sz w:val="20"/>
          <w:szCs w:val="20"/>
          <w:lang w:eastAsia="de-DE"/>
        </w:rPr>
        <w:t>mit mehr als 1,5 Mass</w:t>
      </w:r>
      <w:r w:rsidR="009B1BF0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093F49">
        <w:rPr>
          <w:rFonts w:ascii="Arial" w:eastAsia="Times New Roman" w:hAnsi="Arial" w:cs="Arial"/>
          <w:sz w:val="20"/>
          <w:szCs w:val="20"/>
          <w:lang w:eastAsia="de-DE"/>
        </w:rPr>
        <w:t>-% Öl und höchstens 11 Masse</w:t>
      </w:r>
      <w:r w:rsidR="009B1BF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93F49">
        <w:rPr>
          <w:rFonts w:ascii="Arial" w:eastAsia="Times New Roman" w:hAnsi="Arial" w:cs="Arial"/>
          <w:sz w:val="20"/>
          <w:szCs w:val="20"/>
          <w:lang w:eastAsia="de-DE"/>
        </w:rPr>
        <w:t xml:space="preserve">% Feuchtigkeit </w:t>
      </w:r>
      <w:r>
        <w:rPr>
          <w:rFonts w:ascii="Arial" w:eastAsia="Times New Roman" w:hAnsi="Arial" w:cs="Arial"/>
          <w:sz w:val="20"/>
          <w:szCs w:val="20"/>
          <w:lang w:eastAsia="de-DE"/>
        </w:rPr>
        <w:t>durchgeführt. In keinem Fall wurde d</w:t>
      </w:r>
      <w:r w:rsidR="00FB6521">
        <w:rPr>
          <w:rFonts w:ascii="Arial" w:eastAsia="Times New Roman" w:hAnsi="Arial" w:cs="Arial"/>
          <w:sz w:val="20"/>
          <w:szCs w:val="20"/>
          <w:lang w:eastAsia="de-DE"/>
        </w:rPr>
        <w:t>ie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B6521">
        <w:rPr>
          <w:rFonts w:ascii="Arial" w:eastAsia="Times New Roman" w:hAnsi="Arial" w:cs="Arial"/>
          <w:sz w:val="20"/>
          <w:szCs w:val="20"/>
          <w:lang w:eastAsia="de-DE"/>
        </w:rPr>
        <w:t xml:space="preserve">im Testverfahren vorgesehene Grenztemperatur erreicht. Das verladende und transportierende Gewerbe ziehen daraus den Schluss, dass zumindest in den untersuchten Fällen die Bestimmungen des ADN nicht anwendbar waren. </w:t>
      </w:r>
    </w:p>
    <w:p w:rsidR="00FB6521" w:rsidRDefault="00FB6521" w:rsidP="00FB652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FB6521" w:rsidRDefault="00093F49" w:rsidP="00FB6521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93F49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Frage </w:t>
      </w:r>
      <w:r w:rsidR="00E061E4">
        <w:rPr>
          <w:rFonts w:ascii="Arial" w:eastAsia="Times New Roman" w:hAnsi="Arial" w:cs="Arial"/>
          <w:b/>
          <w:sz w:val="20"/>
          <w:szCs w:val="20"/>
          <w:lang w:eastAsia="de-DE"/>
        </w:rPr>
        <w:t>3</w:t>
      </w:r>
    </w:p>
    <w:p w:rsidR="00093F49" w:rsidRPr="00093F49" w:rsidRDefault="00093F49" w:rsidP="00FB6521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093F49" w:rsidRDefault="00093F49" w:rsidP="009B2D25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Im Rahmen der Diskussion über diese Sachverhalte sind unterschiedliche Auffassungen zu Tage getreten, wie die Bestimmungen in Unterabschnitt 2.2.42.1.7 zu verstehen sind. </w:t>
      </w:r>
    </w:p>
    <w:p w:rsidR="00255D5B" w:rsidRDefault="009B2D25" w:rsidP="009B2D25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7.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93F49">
        <w:rPr>
          <w:rFonts w:ascii="Arial" w:eastAsia="Times New Roman" w:hAnsi="Arial" w:cs="Arial"/>
          <w:sz w:val="20"/>
          <w:szCs w:val="20"/>
          <w:lang w:eastAsia="de-DE"/>
        </w:rPr>
        <w:t xml:space="preserve">Eine Auffassung besagt, dass die Feststellung, ob ein Ladegut den Vorschriften des ADN oder nicht unterliegt, in jedem Einzelfall nachgewiesen werden muss. Das kann </w:t>
      </w:r>
      <w:r w:rsidR="00255D5B">
        <w:rPr>
          <w:rFonts w:ascii="Arial" w:eastAsia="Times New Roman" w:hAnsi="Arial" w:cs="Arial"/>
          <w:sz w:val="20"/>
          <w:szCs w:val="20"/>
          <w:lang w:eastAsia="de-DE"/>
        </w:rPr>
        <w:t xml:space="preserve">beispielsweise </w:t>
      </w:r>
      <w:r w:rsidR="00093F49">
        <w:rPr>
          <w:rFonts w:ascii="Arial" w:eastAsia="Times New Roman" w:hAnsi="Arial" w:cs="Arial"/>
          <w:sz w:val="20"/>
          <w:szCs w:val="20"/>
          <w:lang w:eastAsia="de-DE"/>
        </w:rPr>
        <w:t xml:space="preserve">bedeuten, dass pro Charge auf einem Seeschiff oder </w:t>
      </w:r>
      <w:r w:rsidR="00255D5B">
        <w:rPr>
          <w:rFonts w:ascii="Arial" w:eastAsia="Times New Roman" w:hAnsi="Arial" w:cs="Arial"/>
          <w:sz w:val="20"/>
          <w:szCs w:val="20"/>
          <w:lang w:eastAsia="de-DE"/>
        </w:rPr>
        <w:t>für jede</w:t>
      </w:r>
      <w:r w:rsidR="00093F49">
        <w:rPr>
          <w:rFonts w:ascii="Arial" w:eastAsia="Times New Roman" w:hAnsi="Arial" w:cs="Arial"/>
          <w:sz w:val="20"/>
          <w:szCs w:val="20"/>
          <w:lang w:eastAsia="de-DE"/>
        </w:rPr>
        <w:t xml:space="preserve"> Binnenschiff</w:t>
      </w:r>
      <w:r w:rsidR="00255D5B">
        <w:rPr>
          <w:rFonts w:ascii="Arial" w:eastAsia="Times New Roman" w:hAnsi="Arial" w:cs="Arial"/>
          <w:sz w:val="20"/>
          <w:szCs w:val="20"/>
          <w:lang w:eastAsia="de-DE"/>
        </w:rPr>
        <w:t>sladung</w:t>
      </w:r>
      <w:r w:rsidR="00093F49">
        <w:rPr>
          <w:rFonts w:ascii="Arial" w:eastAsia="Times New Roman" w:hAnsi="Arial" w:cs="Arial"/>
          <w:sz w:val="20"/>
          <w:szCs w:val="20"/>
          <w:lang w:eastAsia="de-DE"/>
        </w:rPr>
        <w:t xml:space="preserve"> ein solcher Nachweis geführt </w:t>
      </w:r>
      <w:r w:rsidR="00255D5B">
        <w:rPr>
          <w:rFonts w:ascii="Arial" w:eastAsia="Times New Roman" w:hAnsi="Arial" w:cs="Arial"/>
          <w:sz w:val="20"/>
          <w:szCs w:val="20"/>
          <w:lang w:eastAsia="de-DE"/>
        </w:rPr>
        <w:t xml:space="preserve">und im Einzelfall beigebracht </w:t>
      </w:r>
      <w:r w:rsidR="00093F49">
        <w:rPr>
          <w:rFonts w:ascii="Arial" w:eastAsia="Times New Roman" w:hAnsi="Arial" w:cs="Arial"/>
          <w:sz w:val="20"/>
          <w:szCs w:val="20"/>
          <w:lang w:eastAsia="de-DE"/>
        </w:rPr>
        <w:t xml:space="preserve">werden muss. </w:t>
      </w:r>
    </w:p>
    <w:p w:rsidR="009B2D25" w:rsidRDefault="009B2D25" w:rsidP="009B2D25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8.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55D5B">
        <w:rPr>
          <w:rFonts w:ascii="Arial" w:eastAsia="Times New Roman" w:hAnsi="Arial" w:cs="Arial"/>
          <w:sz w:val="20"/>
          <w:szCs w:val="20"/>
          <w:lang w:eastAsia="de-DE"/>
        </w:rPr>
        <w:t xml:space="preserve">Das verladende und transportierende Gewebe widerspricht dieser Auffassung vehement. Aus Zeit- und Kostengründen würde eine solche Forderung die Durchführung der Transporte in nicht zu vertretendem Maße erschweren. </w:t>
      </w:r>
    </w:p>
    <w:p w:rsidR="00255D5B" w:rsidRDefault="009B2D25" w:rsidP="009B2D25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9.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55D5B">
        <w:rPr>
          <w:rFonts w:ascii="Arial" w:eastAsia="Times New Roman" w:hAnsi="Arial" w:cs="Arial"/>
          <w:sz w:val="20"/>
          <w:szCs w:val="20"/>
          <w:lang w:eastAsia="de-DE"/>
        </w:rPr>
        <w:t>Stattdessen gehen das verladende und transportieren</w:t>
      </w:r>
      <w:r w:rsidR="0098484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255D5B">
        <w:rPr>
          <w:rFonts w:ascii="Arial" w:eastAsia="Times New Roman" w:hAnsi="Arial" w:cs="Arial"/>
          <w:sz w:val="20"/>
          <w:szCs w:val="20"/>
          <w:lang w:eastAsia="de-DE"/>
        </w:rPr>
        <w:t>e Gewe</w:t>
      </w:r>
      <w:r w:rsidR="0098484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255D5B">
        <w:rPr>
          <w:rFonts w:ascii="Arial" w:eastAsia="Times New Roman" w:hAnsi="Arial" w:cs="Arial"/>
          <w:sz w:val="20"/>
          <w:szCs w:val="20"/>
          <w:lang w:eastAsia="de-DE"/>
        </w:rPr>
        <w:t xml:space="preserve">be von </w:t>
      </w:r>
      <w:r w:rsidR="00D24AB7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255D5B">
        <w:rPr>
          <w:rFonts w:ascii="Arial" w:eastAsia="Times New Roman" w:hAnsi="Arial" w:cs="Arial"/>
          <w:sz w:val="20"/>
          <w:szCs w:val="20"/>
          <w:lang w:eastAsia="de-DE"/>
        </w:rPr>
        <w:t>olgendem aus:</w:t>
      </w:r>
    </w:p>
    <w:p w:rsidR="00984842" w:rsidRDefault="00255D5B" w:rsidP="00255D5B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Das verladende Gewerbe hat zahlreiche Ladungsproben von Palmkernexpeller mit dem N4 Test untersuchen lassen. In keinem Fall wurde d</w:t>
      </w:r>
      <w:r w:rsidR="00984842">
        <w:rPr>
          <w:rFonts w:ascii="Arial" w:eastAsia="Times New Roman" w:hAnsi="Arial" w:cs="Arial"/>
          <w:sz w:val="20"/>
          <w:szCs w:val="20"/>
          <w:lang w:eastAsia="de-DE"/>
        </w:rPr>
        <w:t>ie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84842">
        <w:rPr>
          <w:rFonts w:ascii="Arial" w:eastAsia="Times New Roman" w:hAnsi="Arial" w:cs="Arial"/>
          <w:sz w:val="20"/>
          <w:szCs w:val="20"/>
          <w:lang w:eastAsia="de-DE"/>
        </w:rPr>
        <w:t>für dieses Prüfverfahren maßgebende Grenztemperatur erreicht.</w:t>
      </w:r>
    </w:p>
    <w:p w:rsidR="00984842" w:rsidRDefault="00984842" w:rsidP="00984842">
      <w:pPr>
        <w:pStyle w:val="ListParagraph"/>
        <w:spacing w:before="120" w:after="120" w:line="24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984842" w:rsidRDefault="00984842" w:rsidP="00255D5B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Das verladende Gewerbe zieht daraus die Schlussfolgerung, dass auch weitere Ladungsproben von Palmkernexpeller</w:t>
      </w:r>
      <w:r w:rsidR="009F4561">
        <w:rPr>
          <w:rFonts w:ascii="Arial" w:eastAsia="Times New Roman" w:hAnsi="Arial" w:cs="Arial"/>
          <w:sz w:val="20"/>
          <w:szCs w:val="20"/>
          <w:lang w:eastAsia="de-DE"/>
        </w:rPr>
        <w:t xml:space="preserve">, bei denen der Feuchtigkeitsgehalt und der </w:t>
      </w:r>
      <w:r w:rsidR="00F7406A">
        <w:rPr>
          <w:rFonts w:ascii="Arial" w:eastAsia="Times New Roman" w:hAnsi="Arial" w:cs="Arial"/>
          <w:sz w:val="20"/>
          <w:szCs w:val="20"/>
          <w:lang w:eastAsia="de-DE"/>
        </w:rPr>
        <w:t>Öl</w:t>
      </w:r>
      <w:r w:rsidR="009F4561">
        <w:rPr>
          <w:rFonts w:ascii="Arial" w:eastAsia="Times New Roman" w:hAnsi="Arial" w:cs="Arial"/>
          <w:sz w:val="20"/>
          <w:szCs w:val="20"/>
          <w:lang w:eastAsia="de-DE"/>
        </w:rPr>
        <w:t xml:space="preserve">gehalt geringer ist als bei den mit N.4 Test untersuchten Proben, </w:t>
      </w:r>
      <w:r>
        <w:rPr>
          <w:rFonts w:ascii="Arial" w:eastAsia="Times New Roman" w:hAnsi="Arial" w:cs="Arial"/>
          <w:sz w:val="20"/>
          <w:szCs w:val="20"/>
          <w:lang w:eastAsia="de-DE"/>
        </w:rPr>
        <w:t>keine anderen Ergebnisse liefern würden.</w:t>
      </w:r>
      <w:r w:rsidR="009F4561">
        <w:rPr>
          <w:rFonts w:ascii="Arial" w:eastAsia="Times New Roman" w:hAnsi="Arial" w:cs="Arial"/>
          <w:sz w:val="20"/>
          <w:szCs w:val="20"/>
          <w:lang w:eastAsia="de-DE"/>
        </w:rPr>
        <w:t xml:space="preserve"> Das setzt voraus, dass der </w:t>
      </w:r>
      <w:r w:rsidR="00F7406A">
        <w:rPr>
          <w:rFonts w:ascii="Arial" w:eastAsia="Times New Roman" w:hAnsi="Arial" w:cs="Arial"/>
          <w:sz w:val="20"/>
          <w:szCs w:val="20"/>
          <w:lang w:eastAsia="de-DE"/>
        </w:rPr>
        <w:t>Öl</w:t>
      </w:r>
      <w:r w:rsidR="009F4561">
        <w:rPr>
          <w:rFonts w:ascii="Arial" w:eastAsia="Times New Roman" w:hAnsi="Arial" w:cs="Arial"/>
          <w:sz w:val="20"/>
          <w:szCs w:val="20"/>
          <w:lang w:eastAsia="de-DE"/>
        </w:rPr>
        <w:t>gehalt und der Feuchtigkeitsgehalt der jeweiligen Charge bestimmt w</w:t>
      </w:r>
      <w:r w:rsidR="00EA6998">
        <w:rPr>
          <w:rFonts w:ascii="Arial" w:eastAsia="Times New Roman" w:hAnsi="Arial" w:cs="Arial"/>
          <w:sz w:val="20"/>
          <w:szCs w:val="20"/>
          <w:lang w:eastAsia="de-DE"/>
        </w:rPr>
        <w:t xml:space="preserve">erden. Die </w:t>
      </w:r>
      <w:r w:rsidR="009F4561">
        <w:rPr>
          <w:rFonts w:ascii="Arial" w:eastAsia="Times New Roman" w:hAnsi="Arial" w:cs="Arial"/>
          <w:sz w:val="20"/>
          <w:szCs w:val="20"/>
          <w:lang w:eastAsia="de-DE"/>
        </w:rPr>
        <w:t xml:space="preserve">Durchführung eines </w:t>
      </w:r>
      <w:r w:rsidR="00EA6998">
        <w:rPr>
          <w:rFonts w:ascii="Arial" w:eastAsia="Times New Roman" w:hAnsi="Arial" w:cs="Arial"/>
          <w:sz w:val="20"/>
          <w:szCs w:val="20"/>
          <w:lang w:eastAsia="de-DE"/>
        </w:rPr>
        <w:t xml:space="preserve">neuen </w:t>
      </w:r>
      <w:r w:rsidR="009F4561">
        <w:rPr>
          <w:rFonts w:ascii="Arial" w:eastAsia="Times New Roman" w:hAnsi="Arial" w:cs="Arial"/>
          <w:sz w:val="20"/>
          <w:szCs w:val="20"/>
          <w:lang w:eastAsia="de-DE"/>
        </w:rPr>
        <w:t xml:space="preserve">N.4 Tests </w:t>
      </w:r>
      <w:r w:rsidR="00EA6998">
        <w:rPr>
          <w:rFonts w:ascii="Arial" w:eastAsia="Times New Roman" w:hAnsi="Arial" w:cs="Arial"/>
          <w:sz w:val="20"/>
          <w:szCs w:val="20"/>
          <w:lang w:eastAsia="de-DE"/>
        </w:rPr>
        <w:t xml:space="preserve">wäre aber nicht </w:t>
      </w:r>
      <w:r w:rsidR="009F4561">
        <w:rPr>
          <w:rFonts w:ascii="Arial" w:eastAsia="Times New Roman" w:hAnsi="Arial" w:cs="Arial"/>
          <w:sz w:val="20"/>
          <w:szCs w:val="20"/>
          <w:lang w:eastAsia="de-DE"/>
        </w:rPr>
        <w:t xml:space="preserve">erforderlich, wenn die Grenzwerte von </w:t>
      </w:r>
      <w:r w:rsidR="00F7406A">
        <w:rPr>
          <w:rFonts w:ascii="Arial" w:eastAsia="Times New Roman" w:hAnsi="Arial" w:cs="Arial"/>
          <w:sz w:val="20"/>
          <w:szCs w:val="20"/>
          <w:lang w:eastAsia="de-DE"/>
        </w:rPr>
        <w:t>Öl</w:t>
      </w:r>
      <w:r w:rsidR="009F4561">
        <w:rPr>
          <w:rFonts w:ascii="Arial" w:eastAsia="Times New Roman" w:hAnsi="Arial" w:cs="Arial"/>
          <w:sz w:val="20"/>
          <w:szCs w:val="20"/>
          <w:lang w:eastAsia="de-DE"/>
        </w:rPr>
        <w:t xml:space="preserve"> und Feuchtigkeit </w:t>
      </w:r>
      <w:r w:rsidR="00EA6998">
        <w:rPr>
          <w:rFonts w:ascii="Arial" w:eastAsia="Times New Roman" w:hAnsi="Arial" w:cs="Arial"/>
          <w:sz w:val="20"/>
          <w:szCs w:val="20"/>
          <w:lang w:eastAsia="de-DE"/>
        </w:rPr>
        <w:t xml:space="preserve">einer Charge unterhalb der Werte einer anderen Charge liegen, deren Ungefährlichkeit durch N.4 Test bereits festgestellt wurde. </w:t>
      </w:r>
      <w:r w:rsidR="009F4561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</w:p>
    <w:p w:rsidR="00984842" w:rsidRDefault="00984842" w:rsidP="00984842">
      <w:pPr>
        <w:pStyle w:val="ListParagraph"/>
        <w:spacing w:before="120" w:after="120" w:line="24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984842" w:rsidRDefault="00984842" w:rsidP="00255D5B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lastRenderedPageBreak/>
        <w:t>Ausgehend von diese</w:t>
      </w:r>
      <w:r w:rsidR="00D24AB7">
        <w:rPr>
          <w:rFonts w:ascii="Arial" w:eastAsia="Times New Roman" w:hAnsi="Arial" w:cs="Arial"/>
          <w:sz w:val="20"/>
          <w:szCs w:val="20"/>
          <w:lang w:eastAsia="de-DE"/>
        </w:rPr>
        <w:t>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24AB7">
        <w:rPr>
          <w:rFonts w:ascii="Arial" w:eastAsia="Times New Roman" w:hAnsi="Arial" w:cs="Arial"/>
          <w:sz w:val="20"/>
          <w:szCs w:val="20"/>
          <w:lang w:eastAsia="de-DE"/>
        </w:rPr>
        <w:t>Annahme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vertraut das verladende Gewerbe darauf, dass Palmkernexpeller </w:t>
      </w:r>
      <w:r w:rsidR="00F7406A">
        <w:rPr>
          <w:rFonts w:ascii="Arial" w:eastAsia="Times New Roman" w:hAnsi="Arial" w:cs="Arial"/>
          <w:sz w:val="20"/>
          <w:szCs w:val="20"/>
          <w:lang w:eastAsia="de-DE"/>
        </w:rPr>
        <w:t xml:space="preserve"> innerhalb der getesteten </w:t>
      </w:r>
      <w:r w:rsidR="0063173C">
        <w:rPr>
          <w:rFonts w:ascii="Arial" w:eastAsia="Times New Roman" w:hAnsi="Arial" w:cs="Arial"/>
          <w:sz w:val="20"/>
          <w:szCs w:val="20"/>
          <w:lang w:eastAsia="de-DE"/>
        </w:rPr>
        <w:t xml:space="preserve">Grenzwerte für Öl und Feuchtigkeit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nicht den Vorschriften des ADN unterliegen. </w:t>
      </w:r>
    </w:p>
    <w:p w:rsidR="00984842" w:rsidRPr="00984842" w:rsidRDefault="00984842" w:rsidP="00984842">
      <w:pPr>
        <w:pStyle w:val="ListParagraph"/>
        <w:rPr>
          <w:rFonts w:ascii="Arial" w:eastAsia="Times New Roman" w:hAnsi="Arial" w:cs="Arial"/>
          <w:sz w:val="20"/>
          <w:szCs w:val="20"/>
          <w:lang w:eastAsia="de-DE"/>
        </w:rPr>
      </w:pPr>
    </w:p>
    <w:p w:rsidR="007227B4" w:rsidRPr="00255D5B" w:rsidRDefault="00984842" w:rsidP="00255D5B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Es liegt in der Verantwortlichkeit des verladenden Gewerbes, </w:t>
      </w:r>
      <w:r w:rsidR="00E061E4" w:rsidRPr="00EC6536">
        <w:rPr>
          <w:rFonts w:ascii="Arial" w:eastAsia="Times New Roman" w:hAnsi="Arial" w:cs="Arial"/>
          <w:sz w:val="20"/>
          <w:szCs w:val="20"/>
          <w:lang w:eastAsia="de-DE"/>
        </w:rPr>
        <w:t>der Absender laut ADN 1.4.2.1</w:t>
      </w:r>
      <w:r w:rsidR="005F60EB" w:rsidRPr="00EC6536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EC6536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r w:rsidR="0063173C">
        <w:rPr>
          <w:rFonts w:ascii="Arial" w:eastAsia="Times New Roman" w:hAnsi="Arial" w:cs="Arial"/>
          <w:sz w:val="20"/>
          <w:szCs w:val="20"/>
          <w:lang w:eastAsia="de-DE"/>
        </w:rPr>
        <w:t xml:space="preserve">Einhaltung der genannten Grenzwerte für die jeweiligen Chargen sicherzustellen. </w:t>
      </w:r>
    </w:p>
    <w:p w:rsidR="00E061E4" w:rsidRDefault="009B2D25" w:rsidP="009B2D25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10.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84842">
        <w:rPr>
          <w:rFonts w:ascii="Arial" w:eastAsia="Times New Roman" w:hAnsi="Arial" w:cs="Arial"/>
          <w:sz w:val="20"/>
          <w:szCs w:val="20"/>
          <w:lang w:eastAsia="de-DE"/>
        </w:rPr>
        <w:t>Der UNECE ADN Sicherheitsausschuss wird um eine Stellungnahme zu den dargelegten Positionen gebete</w:t>
      </w:r>
      <w:bookmarkStart w:id="0" w:name="_GoBack"/>
      <w:bookmarkEnd w:id="0"/>
      <w:r w:rsidR="00984842">
        <w:rPr>
          <w:rFonts w:ascii="Arial" w:eastAsia="Times New Roman" w:hAnsi="Arial" w:cs="Arial"/>
          <w:sz w:val="20"/>
          <w:szCs w:val="20"/>
          <w:lang w:eastAsia="de-DE"/>
        </w:rPr>
        <w:t>n.</w:t>
      </w:r>
      <w:r w:rsidR="00984842" w:rsidRPr="005D181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E061E4" w:rsidRPr="002913D8" w:rsidRDefault="009B2D25" w:rsidP="009B2D25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11.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061E4" w:rsidRPr="002913D8">
        <w:rPr>
          <w:rFonts w:ascii="Arial" w:eastAsia="Times New Roman" w:hAnsi="Arial" w:cs="Arial"/>
          <w:sz w:val="20"/>
          <w:szCs w:val="20"/>
          <w:lang w:eastAsia="de-DE"/>
        </w:rPr>
        <w:t xml:space="preserve">Ausführliche Informationen über Palmkernexpeller haben die Verbände der Binnenschifffahrt dem des UNECE ADN Sicherheitsausschusses bereits zu seiner 31. Sitzung </w:t>
      </w:r>
      <w:r w:rsidR="00E061E4" w:rsidRPr="00EC6536">
        <w:rPr>
          <w:rFonts w:ascii="Arial" w:eastAsia="Times New Roman" w:hAnsi="Arial" w:cs="Arial"/>
          <w:sz w:val="20"/>
          <w:szCs w:val="20"/>
          <w:lang w:eastAsia="de-DE"/>
        </w:rPr>
        <w:t>vorgelegt (INF.28</w:t>
      </w:r>
      <w:r w:rsidR="00EC6536">
        <w:rPr>
          <w:rFonts w:ascii="Arial" w:eastAsia="Times New Roman" w:hAnsi="Arial" w:cs="Arial"/>
          <w:sz w:val="20"/>
          <w:szCs w:val="20"/>
          <w:lang w:eastAsia="de-DE"/>
        </w:rPr>
        <w:t xml:space="preserve"> of the 31</w:t>
      </w:r>
      <w:r w:rsidR="00EC6536" w:rsidRPr="00EC6536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st</w:t>
      </w:r>
      <w:r w:rsidR="00EC6536">
        <w:rPr>
          <w:rFonts w:ascii="Arial" w:eastAsia="Times New Roman" w:hAnsi="Arial" w:cs="Arial"/>
          <w:sz w:val="20"/>
          <w:szCs w:val="20"/>
          <w:lang w:eastAsia="de-DE"/>
        </w:rPr>
        <w:t xml:space="preserve"> session</w:t>
      </w:r>
      <w:r w:rsidR="00E061E4" w:rsidRPr="00EC6536">
        <w:rPr>
          <w:rFonts w:ascii="Arial" w:eastAsia="Times New Roman" w:hAnsi="Arial" w:cs="Arial"/>
          <w:sz w:val="20"/>
          <w:szCs w:val="20"/>
          <w:lang w:eastAsia="de-DE"/>
        </w:rPr>
        <w:t>).</w:t>
      </w:r>
    </w:p>
    <w:p w:rsidR="00E061E4" w:rsidRPr="00A66D63" w:rsidRDefault="00A66D63" w:rsidP="00A66D63">
      <w:pPr>
        <w:suppressAutoHyphens/>
        <w:spacing w:before="240" w:after="0" w:line="240" w:lineRule="atLeast"/>
        <w:ind w:left="1134" w:right="1134"/>
        <w:jc w:val="center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</w:p>
    <w:sectPr w:rsidR="00E061E4" w:rsidRPr="00A66D63" w:rsidSect="00A66D6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59" w:rsidRDefault="00DA7259" w:rsidP="00AD5C8C">
      <w:pPr>
        <w:spacing w:after="0" w:line="240" w:lineRule="auto"/>
      </w:pPr>
      <w:r>
        <w:separator/>
      </w:r>
    </w:p>
  </w:endnote>
  <w:endnote w:type="continuationSeparator" w:id="0">
    <w:p w:rsidR="00DA7259" w:rsidRDefault="00DA7259" w:rsidP="00AD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63" w:rsidRDefault="00A66D63">
    <w:pPr>
      <w:pStyle w:val="Footer"/>
    </w:pPr>
    <w:r w:rsidRPr="00A66D63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begin"/>
    </w:r>
    <w:r w:rsidRPr="00A66D63">
      <w:rPr>
        <w:rFonts w:ascii="Times New Roman" w:eastAsia="Times New Roman" w:hAnsi="Times New Roman" w:cs="Times New Roman"/>
        <w:b/>
        <w:sz w:val="18"/>
        <w:szCs w:val="20"/>
        <w:lang w:val="en-GB"/>
      </w:rPr>
      <w:instrText xml:space="preserve"> PAGE  \* MERGEFORMAT </w:instrText>
    </w:r>
    <w:r w:rsidRPr="00A66D63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separate"/>
    </w:r>
    <w:r w:rsidR="009B2D25">
      <w:rPr>
        <w:rFonts w:ascii="Times New Roman" w:eastAsia="Times New Roman" w:hAnsi="Times New Roman" w:cs="Times New Roman"/>
        <w:b/>
        <w:noProof/>
        <w:sz w:val="18"/>
        <w:szCs w:val="20"/>
        <w:lang w:val="en-GB"/>
      </w:rPr>
      <w:t>2</w:t>
    </w:r>
    <w:r w:rsidRPr="00A66D63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63" w:rsidRPr="00A66D63" w:rsidRDefault="00A66D63" w:rsidP="00A66D63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val="en-GB"/>
      </w:rPr>
    </w:pPr>
    <w:r w:rsidRPr="00A66D63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begin"/>
    </w:r>
    <w:r w:rsidRPr="00A66D63">
      <w:rPr>
        <w:rFonts w:ascii="Times New Roman" w:eastAsia="Times New Roman" w:hAnsi="Times New Roman" w:cs="Times New Roman"/>
        <w:b/>
        <w:sz w:val="18"/>
        <w:szCs w:val="20"/>
        <w:lang w:val="en-GB"/>
      </w:rPr>
      <w:instrText xml:space="preserve"> PAGE  \* MERGEFORMAT </w:instrText>
    </w:r>
    <w:r w:rsidRPr="00A66D63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separate"/>
    </w:r>
    <w:r w:rsidR="009B2D25">
      <w:rPr>
        <w:rFonts w:ascii="Times New Roman" w:eastAsia="Times New Roman" w:hAnsi="Times New Roman" w:cs="Times New Roman"/>
        <w:b/>
        <w:noProof/>
        <w:sz w:val="18"/>
        <w:szCs w:val="20"/>
        <w:lang w:val="en-GB"/>
      </w:rPr>
      <w:t>3</w:t>
    </w:r>
    <w:r w:rsidRPr="00A66D63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63" w:rsidRPr="00A66D63" w:rsidRDefault="00A66D63" w:rsidP="00A66D63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val="en-GB"/>
      </w:rPr>
    </w:pPr>
    <w:r w:rsidRPr="00A66D63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begin"/>
    </w:r>
    <w:r w:rsidRPr="00A66D63">
      <w:rPr>
        <w:rFonts w:ascii="Times New Roman" w:eastAsia="Times New Roman" w:hAnsi="Times New Roman" w:cs="Times New Roman"/>
        <w:b/>
        <w:sz w:val="18"/>
        <w:szCs w:val="20"/>
        <w:lang w:val="en-GB"/>
      </w:rPr>
      <w:instrText xml:space="preserve"> PAGE  \* MERGEFORMAT </w:instrText>
    </w:r>
    <w:r w:rsidRPr="00A66D63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separate"/>
    </w:r>
    <w:r w:rsidR="009B2D25">
      <w:rPr>
        <w:rFonts w:ascii="Times New Roman" w:eastAsia="Times New Roman" w:hAnsi="Times New Roman" w:cs="Times New Roman"/>
        <w:b/>
        <w:noProof/>
        <w:sz w:val="18"/>
        <w:szCs w:val="20"/>
        <w:lang w:val="en-GB"/>
      </w:rPr>
      <w:t>1</w:t>
    </w:r>
    <w:r w:rsidRPr="00A66D63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59" w:rsidRDefault="00DA7259" w:rsidP="00AD5C8C">
      <w:pPr>
        <w:spacing w:after="0" w:line="240" w:lineRule="auto"/>
      </w:pPr>
      <w:r>
        <w:separator/>
      </w:r>
    </w:p>
  </w:footnote>
  <w:footnote w:type="continuationSeparator" w:id="0">
    <w:p w:rsidR="00DA7259" w:rsidRDefault="00DA7259" w:rsidP="00AD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63" w:rsidRPr="00A66D63" w:rsidRDefault="00A66D63" w:rsidP="00A66D63">
    <w:pPr>
      <w:pBdr>
        <w:bottom w:val="single" w:sz="4" w:space="4" w:color="auto"/>
      </w:pBdr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fr-CH"/>
      </w:rPr>
    </w:pPr>
    <w:r w:rsidRPr="00A66D63">
      <w:rPr>
        <w:rFonts w:ascii="Times New Roman" w:eastAsia="Times New Roman" w:hAnsi="Times New Roman" w:cs="Times New Roman"/>
        <w:b/>
        <w:sz w:val="18"/>
        <w:szCs w:val="18"/>
        <w:lang w:val="fr-CH"/>
      </w:rPr>
      <w:t>INF.23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63" w:rsidRPr="00A66D63" w:rsidRDefault="00A66D63" w:rsidP="00A66D63">
    <w:pPr>
      <w:pBdr>
        <w:bottom w:val="single" w:sz="4" w:space="4" w:color="auto"/>
      </w:pBdr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sz w:val="18"/>
        <w:szCs w:val="18"/>
        <w:lang w:val="fr-CH"/>
      </w:rPr>
    </w:pPr>
    <w:r w:rsidRPr="00A66D63">
      <w:rPr>
        <w:rFonts w:ascii="Times New Roman" w:eastAsia="Times New Roman" w:hAnsi="Times New Roman" w:cs="Times New Roman"/>
        <w:b/>
        <w:sz w:val="18"/>
        <w:szCs w:val="18"/>
        <w:lang w:val="fr-CH"/>
      </w:rPr>
      <w:t>INF.23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E12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36F97"/>
    <w:multiLevelType w:val="hybridMultilevel"/>
    <w:tmpl w:val="6AEA1206"/>
    <w:lvl w:ilvl="0" w:tplc="B30EBE92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1D24A4"/>
    <w:multiLevelType w:val="hybridMultilevel"/>
    <w:tmpl w:val="F6B87A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5">
      <w:start w:val="1"/>
      <w:numFmt w:val="decimal"/>
      <w:lvlText w:val="(%3)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30A2"/>
    <w:multiLevelType w:val="hybridMultilevel"/>
    <w:tmpl w:val="E2963800"/>
    <w:lvl w:ilvl="0" w:tplc="6D12E7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5">
      <w:start w:val="1"/>
      <w:numFmt w:val="decimal"/>
      <w:lvlText w:val="(%3)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90E5C"/>
    <w:multiLevelType w:val="hybridMultilevel"/>
    <w:tmpl w:val="69E26A34"/>
    <w:lvl w:ilvl="0" w:tplc="B18A9B2C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A4753D"/>
    <w:multiLevelType w:val="hybridMultilevel"/>
    <w:tmpl w:val="1C3C7000"/>
    <w:lvl w:ilvl="0" w:tplc="066820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5">
      <w:start w:val="1"/>
      <w:numFmt w:val="decimal"/>
      <w:lvlText w:val="(%3)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B0248"/>
    <w:multiLevelType w:val="hybridMultilevel"/>
    <w:tmpl w:val="F6B87A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5">
      <w:start w:val="1"/>
      <w:numFmt w:val="decimal"/>
      <w:lvlText w:val="(%3)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00676"/>
    <w:multiLevelType w:val="hybridMultilevel"/>
    <w:tmpl w:val="24483216"/>
    <w:lvl w:ilvl="0" w:tplc="AF327E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A7EFC"/>
    <w:multiLevelType w:val="hybridMultilevel"/>
    <w:tmpl w:val="C8D4E7E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DC97AD2"/>
    <w:multiLevelType w:val="hybridMultilevel"/>
    <w:tmpl w:val="8182D0EC"/>
    <w:lvl w:ilvl="0" w:tplc="8BDA91F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0332CC"/>
    <w:multiLevelType w:val="hybridMultilevel"/>
    <w:tmpl w:val="DF7298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D1538F"/>
    <w:multiLevelType w:val="hybridMultilevel"/>
    <w:tmpl w:val="779638B0"/>
    <w:lvl w:ilvl="0" w:tplc="D8D2A5D6">
      <w:start w:val="1"/>
      <w:numFmt w:val="lowerRoman"/>
      <w:lvlText w:val="%1)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73"/>
    <w:rsid w:val="0001468E"/>
    <w:rsid w:val="00026C5F"/>
    <w:rsid w:val="00031B67"/>
    <w:rsid w:val="00046C29"/>
    <w:rsid w:val="0006092C"/>
    <w:rsid w:val="000748C1"/>
    <w:rsid w:val="000804B0"/>
    <w:rsid w:val="00093F49"/>
    <w:rsid w:val="00094B8A"/>
    <w:rsid w:val="000A5A53"/>
    <w:rsid w:val="000B4482"/>
    <w:rsid w:val="000E57E8"/>
    <w:rsid w:val="001006F2"/>
    <w:rsid w:val="001264D7"/>
    <w:rsid w:val="00145344"/>
    <w:rsid w:val="001C4FFE"/>
    <w:rsid w:val="001D215D"/>
    <w:rsid w:val="00202FEC"/>
    <w:rsid w:val="00205B53"/>
    <w:rsid w:val="00207BAF"/>
    <w:rsid w:val="002217FA"/>
    <w:rsid w:val="00224AC3"/>
    <w:rsid w:val="00250CC3"/>
    <w:rsid w:val="00255D5B"/>
    <w:rsid w:val="00281FE2"/>
    <w:rsid w:val="002905C8"/>
    <w:rsid w:val="002913D8"/>
    <w:rsid w:val="002A1EA2"/>
    <w:rsid w:val="002B6173"/>
    <w:rsid w:val="002D48B7"/>
    <w:rsid w:val="002E1285"/>
    <w:rsid w:val="00307137"/>
    <w:rsid w:val="0032371E"/>
    <w:rsid w:val="0032491F"/>
    <w:rsid w:val="00330B8B"/>
    <w:rsid w:val="00346439"/>
    <w:rsid w:val="00363FB8"/>
    <w:rsid w:val="00386B93"/>
    <w:rsid w:val="003A164E"/>
    <w:rsid w:val="003D5056"/>
    <w:rsid w:val="003D5B0E"/>
    <w:rsid w:val="003E2363"/>
    <w:rsid w:val="003E412A"/>
    <w:rsid w:val="003E5D50"/>
    <w:rsid w:val="003F25B3"/>
    <w:rsid w:val="003F3061"/>
    <w:rsid w:val="00454C03"/>
    <w:rsid w:val="00485996"/>
    <w:rsid w:val="00492525"/>
    <w:rsid w:val="004B60FE"/>
    <w:rsid w:val="004C17D3"/>
    <w:rsid w:val="004E2C89"/>
    <w:rsid w:val="004E6178"/>
    <w:rsid w:val="005077DC"/>
    <w:rsid w:val="00515F06"/>
    <w:rsid w:val="005242C1"/>
    <w:rsid w:val="00561C6B"/>
    <w:rsid w:val="00575E58"/>
    <w:rsid w:val="0058608D"/>
    <w:rsid w:val="005A1703"/>
    <w:rsid w:val="005B7928"/>
    <w:rsid w:val="005D181A"/>
    <w:rsid w:val="005D19F8"/>
    <w:rsid w:val="005F60EB"/>
    <w:rsid w:val="0063173C"/>
    <w:rsid w:val="00631FB8"/>
    <w:rsid w:val="00641076"/>
    <w:rsid w:val="00653525"/>
    <w:rsid w:val="0067558B"/>
    <w:rsid w:val="006857F2"/>
    <w:rsid w:val="006C5D39"/>
    <w:rsid w:val="006C7208"/>
    <w:rsid w:val="006D2A3C"/>
    <w:rsid w:val="006D382F"/>
    <w:rsid w:val="007227B4"/>
    <w:rsid w:val="00727CD8"/>
    <w:rsid w:val="00730100"/>
    <w:rsid w:val="007345B9"/>
    <w:rsid w:val="00743430"/>
    <w:rsid w:val="00747B03"/>
    <w:rsid w:val="0075168B"/>
    <w:rsid w:val="0077697E"/>
    <w:rsid w:val="007B2D6A"/>
    <w:rsid w:val="007D13A3"/>
    <w:rsid w:val="007E033E"/>
    <w:rsid w:val="00827663"/>
    <w:rsid w:val="00867026"/>
    <w:rsid w:val="00870BEF"/>
    <w:rsid w:val="00873476"/>
    <w:rsid w:val="008B19B1"/>
    <w:rsid w:val="008C7096"/>
    <w:rsid w:val="008D3ABE"/>
    <w:rsid w:val="008E59EF"/>
    <w:rsid w:val="009117B2"/>
    <w:rsid w:val="009348B4"/>
    <w:rsid w:val="00955A34"/>
    <w:rsid w:val="00956C73"/>
    <w:rsid w:val="00976DCB"/>
    <w:rsid w:val="009838EF"/>
    <w:rsid w:val="00984842"/>
    <w:rsid w:val="0099076A"/>
    <w:rsid w:val="00991BAA"/>
    <w:rsid w:val="009B1BF0"/>
    <w:rsid w:val="009B2D25"/>
    <w:rsid w:val="009F2F6D"/>
    <w:rsid w:val="009F3117"/>
    <w:rsid w:val="009F4561"/>
    <w:rsid w:val="00A04817"/>
    <w:rsid w:val="00A123FD"/>
    <w:rsid w:val="00A155F2"/>
    <w:rsid w:val="00A334DA"/>
    <w:rsid w:val="00A66D63"/>
    <w:rsid w:val="00A92EC7"/>
    <w:rsid w:val="00AA149A"/>
    <w:rsid w:val="00AD5C8C"/>
    <w:rsid w:val="00AF3494"/>
    <w:rsid w:val="00B0545E"/>
    <w:rsid w:val="00B072E3"/>
    <w:rsid w:val="00B260AB"/>
    <w:rsid w:val="00B5616D"/>
    <w:rsid w:val="00B64010"/>
    <w:rsid w:val="00B74731"/>
    <w:rsid w:val="00B86E88"/>
    <w:rsid w:val="00B902E2"/>
    <w:rsid w:val="00B91280"/>
    <w:rsid w:val="00BA29AA"/>
    <w:rsid w:val="00BB5AB1"/>
    <w:rsid w:val="00BC6F49"/>
    <w:rsid w:val="00BE1ACC"/>
    <w:rsid w:val="00BF199B"/>
    <w:rsid w:val="00C02A49"/>
    <w:rsid w:val="00C57E14"/>
    <w:rsid w:val="00C66408"/>
    <w:rsid w:val="00CB401D"/>
    <w:rsid w:val="00CB7174"/>
    <w:rsid w:val="00CD057D"/>
    <w:rsid w:val="00CD781B"/>
    <w:rsid w:val="00CF7728"/>
    <w:rsid w:val="00D02BB0"/>
    <w:rsid w:val="00D02C24"/>
    <w:rsid w:val="00D172EA"/>
    <w:rsid w:val="00D24AB7"/>
    <w:rsid w:val="00D32DA1"/>
    <w:rsid w:val="00D36681"/>
    <w:rsid w:val="00DA16C0"/>
    <w:rsid w:val="00DA53F7"/>
    <w:rsid w:val="00DA7259"/>
    <w:rsid w:val="00DB314E"/>
    <w:rsid w:val="00DC0E0D"/>
    <w:rsid w:val="00DD3AB9"/>
    <w:rsid w:val="00E027DC"/>
    <w:rsid w:val="00E061E4"/>
    <w:rsid w:val="00E104CD"/>
    <w:rsid w:val="00E35950"/>
    <w:rsid w:val="00E36E79"/>
    <w:rsid w:val="00E47736"/>
    <w:rsid w:val="00E54B5C"/>
    <w:rsid w:val="00E624FF"/>
    <w:rsid w:val="00E70224"/>
    <w:rsid w:val="00E73994"/>
    <w:rsid w:val="00E83856"/>
    <w:rsid w:val="00E96F18"/>
    <w:rsid w:val="00EA6998"/>
    <w:rsid w:val="00EB3CD3"/>
    <w:rsid w:val="00EC6536"/>
    <w:rsid w:val="00ED2B80"/>
    <w:rsid w:val="00EF65C9"/>
    <w:rsid w:val="00F21293"/>
    <w:rsid w:val="00F37D5A"/>
    <w:rsid w:val="00F42603"/>
    <w:rsid w:val="00F65E08"/>
    <w:rsid w:val="00F7406A"/>
    <w:rsid w:val="00F83262"/>
    <w:rsid w:val="00FB26F0"/>
    <w:rsid w:val="00FB6521"/>
    <w:rsid w:val="00FB79CB"/>
    <w:rsid w:val="00FD2364"/>
    <w:rsid w:val="00FE0824"/>
    <w:rsid w:val="00FE10C9"/>
    <w:rsid w:val="00FE262D"/>
    <w:rsid w:val="00FE6FFC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2E2FB5B"/>
  <w15:docId w15:val="{8AB66771-DB0D-4E5B-B779-A5851A52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1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8C"/>
  </w:style>
  <w:style w:type="paragraph" w:styleId="Footer">
    <w:name w:val="footer"/>
    <w:basedOn w:val="Normal"/>
    <w:link w:val="FooterChar"/>
    <w:uiPriority w:val="99"/>
    <w:unhideWhenUsed/>
    <w:rsid w:val="00AD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8C"/>
  </w:style>
  <w:style w:type="paragraph" w:styleId="ListBullet">
    <w:name w:val="List Bullet"/>
    <w:basedOn w:val="Normal"/>
    <w:uiPriority w:val="99"/>
    <w:unhideWhenUsed/>
    <w:rsid w:val="008B19B1"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8B0E-C265-4E8C-BBBB-57D547D1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Freudenberg</dc:creator>
  <cp:lastModifiedBy>Lucille Caillot</cp:lastModifiedBy>
  <cp:revision>4</cp:revision>
  <cp:lastPrinted>2018-01-02T14:17:00Z</cp:lastPrinted>
  <dcterms:created xsi:type="dcterms:W3CDTF">2018-01-18T16:59:00Z</dcterms:created>
  <dcterms:modified xsi:type="dcterms:W3CDTF">2018-01-19T09:38:00Z</dcterms:modified>
</cp:coreProperties>
</file>