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8209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82091" w:rsidP="00F82091">
            <w:pPr>
              <w:jc w:val="right"/>
            </w:pPr>
            <w:r w:rsidRPr="00F82091">
              <w:rPr>
                <w:sz w:val="40"/>
              </w:rPr>
              <w:t>ECE</w:t>
            </w:r>
            <w:r>
              <w:t>/TRANS/WP.15/AC.2/68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82091" w:rsidP="00C97039">
            <w:pPr>
              <w:spacing w:before="240"/>
            </w:pPr>
            <w:proofErr w:type="spellStart"/>
            <w:r>
              <w:t>Distr</w:t>
            </w:r>
            <w:proofErr w:type="spellEnd"/>
            <w:r>
              <w:t xml:space="preserve">. </w:t>
            </w:r>
            <w:proofErr w:type="gramStart"/>
            <w:r>
              <w:t>générale</w:t>
            </w:r>
            <w:proofErr w:type="gramEnd"/>
          </w:p>
          <w:p w:rsidR="00F82091" w:rsidRDefault="00F82091" w:rsidP="00F82091">
            <w:pPr>
              <w:spacing w:line="240" w:lineRule="exact"/>
            </w:pPr>
            <w:r>
              <w:t>17 septembre 2018</w:t>
            </w:r>
          </w:p>
          <w:p w:rsidR="00F82091" w:rsidRDefault="00F82091" w:rsidP="00F82091">
            <w:pPr>
              <w:spacing w:line="240" w:lineRule="exact"/>
            </w:pPr>
            <w:r>
              <w:t>Français</w:t>
            </w:r>
          </w:p>
          <w:p w:rsidR="00F82091" w:rsidRPr="00DB58B5" w:rsidRDefault="00F82091" w:rsidP="00F8209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82091" w:rsidRPr="009E01B8" w:rsidRDefault="00F82091" w:rsidP="005B4102">
      <w:pPr>
        <w:spacing w:before="120" w:after="120"/>
        <w:rPr>
          <w:b/>
          <w:sz w:val="24"/>
          <w:szCs w:val="24"/>
        </w:rPr>
      </w:pPr>
      <w:r w:rsidRPr="009E01B8">
        <w:rPr>
          <w:b/>
          <w:sz w:val="24"/>
          <w:szCs w:val="24"/>
        </w:rPr>
        <w:t>Groupe de travail des transports de marchandises dangereuses</w:t>
      </w:r>
    </w:p>
    <w:p w:rsidR="00F82091" w:rsidRDefault="005B4102" w:rsidP="005B4102">
      <w:pPr>
        <w:rPr>
          <w:b/>
        </w:rPr>
      </w:pPr>
      <w:r>
        <w:rPr>
          <w:b/>
          <w:szCs w:val="24"/>
        </w:rPr>
        <w:t xml:space="preserve">Réunion commune d’experts sur le Règlement annexé </w:t>
      </w:r>
      <w:r>
        <w:rPr>
          <w:b/>
          <w:szCs w:val="24"/>
        </w:rPr>
        <w:br/>
        <w:t xml:space="preserve">à l’Accord européen relatif au transport international </w:t>
      </w:r>
      <w:r>
        <w:rPr>
          <w:b/>
          <w:szCs w:val="24"/>
        </w:rPr>
        <w:br/>
        <w:t xml:space="preserve">des marchandises dangereuses par voies de navigation </w:t>
      </w:r>
      <w:r>
        <w:rPr>
          <w:b/>
          <w:szCs w:val="24"/>
        </w:rPr>
        <w:br/>
        <w:t>intérieures (ADN) (Comité de sécurité de l’ADN)</w:t>
      </w:r>
    </w:p>
    <w:p w:rsidR="00F82091" w:rsidRPr="00992778" w:rsidRDefault="007F3A78" w:rsidP="00E85C74">
      <w:pPr>
        <w:spacing w:before="120"/>
        <w:rPr>
          <w:b/>
        </w:rPr>
      </w:pPr>
      <w:r>
        <w:rPr>
          <w:b/>
        </w:rPr>
        <w:t xml:space="preserve">Trente-troisième </w:t>
      </w:r>
      <w:r w:rsidR="00F82091" w:rsidRPr="00992778">
        <w:rPr>
          <w:b/>
        </w:rPr>
        <w:t>session</w:t>
      </w:r>
    </w:p>
    <w:p w:rsidR="00F82091" w:rsidRDefault="00F82091" w:rsidP="00E85C74">
      <w:r>
        <w:t xml:space="preserve">Genève, </w:t>
      </w:r>
      <w:r w:rsidR="00CB2A9F">
        <w:t>27-31 août 2018</w:t>
      </w:r>
    </w:p>
    <w:p w:rsidR="005B4102" w:rsidRDefault="005B4102" w:rsidP="007F3A78">
      <w:pPr>
        <w:pStyle w:val="HMG"/>
        <w:spacing w:before="360"/>
        <w:rPr>
          <w:szCs w:val="28"/>
        </w:rPr>
      </w:pPr>
      <w:r>
        <w:tab/>
      </w:r>
      <w:r>
        <w:tab/>
        <w:t xml:space="preserve">Rapport de la Réunion commune d’experts sur </w:t>
      </w:r>
      <w:r w:rsidR="007F3A78">
        <w:br/>
      </w:r>
      <w:r>
        <w:t xml:space="preserve">le Règlement annexé à l’Accord européen relatif au transport international des marchandises dangereuses par voies de navigation intérieures (ADN) (Comité de sécurité de l’ADN) </w:t>
      </w:r>
      <w:r>
        <w:br/>
        <w:t>sur sa trente-troisième session</w:t>
      </w:r>
      <w:r w:rsidRPr="005B4102">
        <w:rPr>
          <w:rStyle w:val="FootnoteReference"/>
          <w:b w:val="0"/>
          <w:sz w:val="20"/>
          <w:vertAlign w:val="baseline"/>
        </w:rPr>
        <w:footnoteReference w:customMarkFollows="1" w:id="2"/>
        <w:sym w:font="Symbol" w:char="F02A"/>
      </w:r>
    </w:p>
    <w:p w:rsidR="005B4102" w:rsidRDefault="00555C62" w:rsidP="00555C62">
      <w:pPr>
        <w:spacing w:after="120"/>
        <w:rPr>
          <w:sz w:val="28"/>
        </w:rPr>
      </w:pPr>
      <w:r>
        <w:br w:type="page"/>
      </w:r>
      <w:r w:rsidRPr="00555C62">
        <w:rPr>
          <w:sz w:val="28"/>
        </w:rPr>
        <w:lastRenderedPageBreak/>
        <w:t>Table des matières</w:t>
      </w:r>
    </w:p>
    <w:p w:rsidR="00555C62" w:rsidRPr="00555C62" w:rsidRDefault="00555C62" w:rsidP="00555C62">
      <w:pPr>
        <w:tabs>
          <w:tab w:val="right" w:pos="8929"/>
          <w:tab w:val="right" w:pos="9638"/>
        </w:tabs>
        <w:spacing w:after="120"/>
        <w:ind w:left="283"/>
        <w:rPr>
          <w:i/>
          <w:sz w:val="18"/>
        </w:rPr>
      </w:pPr>
      <w:r w:rsidRPr="00555C62">
        <w:rPr>
          <w:i/>
          <w:sz w:val="18"/>
        </w:rPr>
        <w:tab/>
        <w:t>Paragraphes</w:t>
      </w:r>
      <w:r w:rsidRPr="00555C62">
        <w:rPr>
          <w:i/>
          <w:sz w:val="18"/>
        </w:rPr>
        <w:tab/>
        <w:t>Page</w:t>
      </w:r>
    </w:p>
    <w:p w:rsidR="001056D9" w:rsidRPr="002860EE" w:rsidRDefault="001056D9" w:rsidP="001056D9">
      <w:pPr>
        <w:tabs>
          <w:tab w:val="right" w:pos="850"/>
          <w:tab w:val="right" w:leader="dot" w:pos="7654"/>
          <w:tab w:val="right" w:pos="8929"/>
          <w:tab w:val="right" w:pos="9638"/>
        </w:tabs>
        <w:spacing w:after="100"/>
        <w:ind w:left="1134" w:hanging="1134"/>
      </w:pPr>
      <w:r w:rsidRPr="002860EE">
        <w:tab/>
        <w:t>I.</w:t>
      </w:r>
      <w:r w:rsidRPr="002860EE">
        <w:tab/>
        <w:t>Participation</w:t>
      </w:r>
      <w:r w:rsidRPr="002860EE">
        <w:tab/>
      </w:r>
      <w:r w:rsidRPr="002860EE">
        <w:tab/>
        <w:t>1−4</w:t>
      </w:r>
      <w:r w:rsidRPr="002860EE">
        <w:tab/>
      </w:r>
      <w:r w:rsidR="007F3A78">
        <w:t>4</w:t>
      </w:r>
    </w:p>
    <w:p w:rsidR="001056D9" w:rsidRPr="002860EE" w:rsidRDefault="001056D9" w:rsidP="001056D9">
      <w:pPr>
        <w:tabs>
          <w:tab w:val="right" w:pos="850"/>
          <w:tab w:val="right" w:leader="dot" w:pos="7654"/>
          <w:tab w:val="right" w:pos="8929"/>
          <w:tab w:val="right" w:pos="9638"/>
        </w:tabs>
        <w:spacing w:after="100"/>
        <w:ind w:left="1134" w:hanging="1134"/>
      </w:pPr>
      <w:r w:rsidRPr="002860EE">
        <w:tab/>
        <w:t>II.</w:t>
      </w:r>
      <w:r w:rsidRPr="002860EE">
        <w:tab/>
        <w:t>Adoption de l’ordre du jour (point 1 de l’ordre du jour)</w:t>
      </w:r>
      <w:r w:rsidRPr="002860EE">
        <w:tab/>
      </w:r>
      <w:r w:rsidRPr="002860EE">
        <w:tab/>
        <w:t>5</w:t>
      </w:r>
      <w:r w:rsidRPr="002860EE">
        <w:tab/>
      </w:r>
      <w:r w:rsidR="007F3A78">
        <w:t>4</w:t>
      </w:r>
    </w:p>
    <w:p w:rsidR="001056D9" w:rsidRPr="002860EE" w:rsidRDefault="001056D9" w:rsidP="001056D9">
      <w:pPr>
        <w:tabs>
          <w:tab w:val="right" w:pos="850"/>
          <w:tab w:val="right" w:leader="dot" w:pos="7654"/>
          <w:tab w:val="right" w:pos="8929"/>
          <w:tab w:val="right" w:pos="9638"/>
        </w:tabs>
        <w:spacing w:after="100"/>
        <w:ind w:left="1134" w:hanging="1134"/>
      </w:pPr>
      <w:r w:rsidRPr="002860EE">
        <w:tab/>
        <w:t>III.</w:t>
      </w:r>
      <w:r w:rsidRPr="002860EE">
        <w:tab/>
        <w:t xml:space="preserve">Questions découlant des travaux d’organes des Nations Unies </w:t>
      </w:r>
      <w:r w:rsidRPr="002860EE">
        <w:br/>
        <w:t>ou d’autres organisations (point 2 de l’ordre du jour)</w:t>
      </w:r>
      <w:r w:rsidRPr="002860EE">
        <w:tab/>
      </w:r>
      <w:r w:rsidRPr="002860EE">
        <w:tab/>
        <w:t>6−12</w:t>
      </w:r>
      <w:r w:rsidRPr="002860EE">
        <w:tab/>
      </w:r>
      <w:r w:rsidR="007F3A78">
        <w:t>4</w:t>
      </w:r>
    </w:p>
    <w:p w:rsidR="001056D9" w:rsidRPr="002860EE" w:rsidRDefault="001056D9" w:rsidP="001056D9">
      <w:pPr>
        <w:tabs>
          <w:tab w:val="right" w:leader="dot" w:pos="7654"/>
          <w:tab w:val="right" w:pos="8929"/>
          <w:tab w:val="right" w:pos="9638"/>
        </w:tabs>
        <w:spacing w:after="100"/>
        <w:ind w:left="1559" w:hanging="425"/>
      </w:pPr>
      <w:r w:rsidRPr="002860EE">
        <w:t>A.</w:t>
      </w:r>
      <w:r w:rsidRPr="002860EE">
        <w:tab/>
        <w:t xml:space="preserve">Stratégie de l’Union européenne pour la région du Danube (EUSDR) : </w:t>
      </w:r>
      <w:r w:rsidRPr="002860EE">
        <w:br/>
        <w:t>travaux dans les domaines prioritaires 1A et 11</w:t>
      </w:r>
      <w:r w:rsidRPr="002860EE">
        <w:tab/>
      </w:r>
      <w:r w:rsidRPr="002860EE">
        <w:tab/>
        <w:t>6−10</w:t>
      </w:r>
      <w:r w:rsidRPr="002860EE">
        <w:tab/>
      </w:r>
      <w:r w:rsidR="007F3A78">
        <w:t>4</w:t>
      </w:r>
    </w:p>
    <w:p w:rsidR="001056D9" w:rsidRPr="002860EE" w:rsidRDefault="001056D9" w:rsidP="001056D9">
      <w:pPr>
        <w:tabs>
          <w:tab w:val="right" w:leader="dot" w:pos="7654"/>
          <w:tab w:val="right" w:pos="8929"/>
          <w:tab w:val="right" w:pos="9638"/>
        </w:tabs>
        <w:spacing w:after="100"/>
        <w:ind w:left="1559" w:hanging="425"/>
      </w:pPr>
      <w:r w:rsidRPr="002860EE">
        <w:t>B.</w:t>
      </w:r>
      <w:r w:rsidRPr="002860EE">
        <w:tab/>
        <w:t>Travaux du Comité des transports intérieurs</w:t>
      </w:r>
      <w:r w:rsidRPr="002860EE">
        <w:tab/>
      </w:r>
      <w:r w:rsidRPr="002860EE">
        <w:tab/>
        <w:t>11−12</w:t>
      </w:r>
      <w:r w:rsidRPr="002860EE">
        <w:tab/>
      </w:r>
      <w:r w:rsidR="007F3A78">
        <w:t>5</w:t>
      </w:r>
    </w:p>
    <w:p w:rsidR="001056D9" w:rsidRPr="002860EE" w:rsidRDefault="001056D9" w:rsidP="001056D9">
      <w:pPr>
        <w:tabs>
          <w:tab w:val="right" w:pos="850"/>
          <w:tab w:val="right" w:leader="dot" w:pos="7654"/>
          <w:tab w:val="right" w:pos="8929"/>
          <w:tab w:val="right" w:pos="9638"/>
        </w:tabs>
        <w:spacing w:after="100"/>
        <w:ind w:left="1134" w:hanging="1134"/>
      </w:pPr>
      <w:r w:rsidRPr="002860EE">
        <w:tab/>
        <w:t>IV.</w:t>
      </w:r>
      <w:r w:rsidRPr="002860EE">
        <w:tab/>
        <w:t xml:space="preserve">Mise en œuvre de l’Accord européen relatif au transport international </w:t>
      </w:r>
      <w:r w:rsidRPr="002860EE">
        <w:br/>
        <w:t xml:space="preserve">des marchandises dangereuses par voies de navigation intérieures (ADN) </w:t>
      </w:r>
      <w:r w:rsidRPr="002860EE">
        <w:br/>
        <w:t>(point 3 de l’ordre du jour)</w:t>
      </w:r>
      <w:r w:rsidRPr="002860EE">
        <w:tab/>
      </w:r>
      <w:r w:rsidRPr="002860EE">
        <w:tab/>
        <w:t>13−36</w:t>
      </w:r>
      <w:r w:rsidRPr="002860EE">
        <w:tab/>
      </w:r>
      <w:r w:rsidR="007F3A78">
        <w:t>5</w:t>
      </w:r>
    </w:p>
    <w:p w:rsidR="001056D9" w:rsidRPr="002860EE" w:rsidRDefault="001056D9" w:rsidP="001056D9">
      <w:pPr>
        <w:tabs>
          <w:tab w:val="right" w:leader="dot" w:pos="7654"/>
          <w:tab w:val="right" w:pos="8929"/>
          <w:tab w:val="right" w:pos="9638"/>
        </w:tabs>
        <w:spacing w:after="100"/>
        <w:ind w:left="1559" w:hanging="425"/>
      </w:pPr>
      <w:r w:rsidRPr="002860EE">
        <w:t>A.</w:t>
      </w:r>
      <w:r w:rsidRPr="002860EE">
        <w:tab/>
        <w:t>État de l’ADN</w:t>
      </w:r>
      <w:r w:rsidRPr="002860EE">
        <w:tab/>
      </w:r>
      <w:r w:rsidRPr="002860EE">
        <w:tab/>
        <w:t>13−14</w:t>
      </w:r>
      <w:r w:rsidRPr="002860EE">
        <w:tab/>
      </w:r>
      <w:r w:rsidR="007F3A78">
        <w:t>5</w:t>
      </w:r>
    </w:p>
    <w:p w:rsidR="001056D9" w:rsidRPr="002860EE" w:rsidRDefault="001056D9" w:rsidP="001056D9">
      <w:pPr>
        <w:tabs>
          <w:tab w:val="right" w:leader="dot" w:pos="7654"/>
          <w:tab w:val="right" w:pos="8929"/>
          <w:tab w:val="right" w:pos="9638"/>
        </w:tabs>
        <w:spacing w:after="100"/>
        <w:ind w:left="1559" w:hanging="425"/>
      </w:pPr>
      <w:r w:rsidRPr="002860EE">
        <w:t>B.</w:t>
      </w:r>
      <w:r w:rsidRPr="002860EE">
        <w:tab/>
        <w:t>Autorisations spéciales, dérogations et équivalences</w:t>
      </w:r>
      <w:r w:rsidRPr="002860EE">
        <w:tab/>
      </w:r>
      <w:r w:rsidRPr="002860EE">
        <w:tab/>
        <w:t>15</w:t>
      </w:r>
      <w:r w:rsidRPr="002860EE">
        <w:tab/>
      </w:r>
      <w:r w:rsidR="007F3A78">
        <w:t>5</w:t>
      </w:r>
    </w:p>
    <w:p w:rsidR="001056D9" w:rsidRPr="002860EE" w:rsidRDefault="001056D9" w:rsidP="001056D9">
      <w:pPr>
        <w:tabs>
          <w:tab w:val="right" w:leader="dot" w:pos="7654"/>
          <w:tab w:val="right" w:pos="8929"/>
          <w:tab w:val="right" w:pos="9638"/>
        </w:tabs>
        <w:spacing w:after="100"/>
        <w:ind w:left="1559" w:hanging="425"/>
      </w:pPr>
      <w:r w:rsidRPr="002860EE">
        <w:t>C.</w:t>
      </w:r>
      <w:r w:rsidRPr="002860EE">
        <w:tab/>
        <w:t>Interprétation du Règlement annexé à l’ADN</w:t>
      </w:r>
      <w:r w:rsidRPr="002860EE">
        <w:tab/>
      </w:r>
      <w:r w:rsidRPr="002860EE">
        <w:tab/>
        <w:t>16−19</w:t>
      </w:r>
      <w:r w:rsidRPr="002860EE">
        <w:tab/>
      </w:r>
      <w:r w:rsidR="007F3A78">
        <w:t>5</w:t>
      </w:r>
    </w:p>
    <w:p w:rsidR="001056D9" w:rsidRPr="002860EE" w:rsidRDefault="001056D9" w:rsidP="001056D9">
      <w:pPr>
        <w:tabs>
          <w:tab w:val="right" w:leader="dot" w:pos="7654"/>
          <w:tab w:val="right" w:pos="8929"/>
          <w:tab w:val="right" w:pos="9638"/>
        </w:tabs>
        <w:spacing w:after="100"/>
        <w:ind w:left="1984" w:hanging="425"/>
      </w:pPr>
      <w:r w:rsidRPr="002860EE">
        <w:t>1.</w:t>
      </w:r>
      <w:r w:rsidRPr="002860EE">
        <w:tab/>
        <w:t xml:space="preserve">Installation d’extinction d’incendie à bord d’un convoi </w:t>
      </w:r>
      <w:r w:rsidRPr="002860EE">
        <w:br/>
        <w:t>ou à bord d’une barge seule</w:t>
      </w:r>
      <w:r w:rsidRPr="002860EE">
        <w:tab/>
      </w:r>
      <w:r w:rsidRPr="002860EE">
        <w:tab/>
        <w:t>16−17</w:t>
      </w:r>
      <w:r w:rsidRPr="002860EE">
        <w:tab/>
      </w:r>
      <w:r w:rsidR="007F3A78">
        <w:t>5</w:t>
      </w:r>
    </w:p>
    <w:p w:rsidR="001056D9" w:rsidRPr="002860EE" w:rsidRDefault="001056D9" w:rsidP="001056D9">
      <w:pPr>
        <w:tabs>
          <w:tab w:val="right" w:leader="dot" w:pos="7654"/>
          <w:tab w:val="right" w:pos="8929"/>
          <w:tab w:val="right" w:pos="9638"/>
        </w:tabs>
        <w:spacing w:after="100"/>
        <w:ind w:left="1984" w:hanging="425"/>
      </w:pPr>
      <w:r w:rsidRPr="002860EE">
        <w:t>2.</w:t>
      </w:r>
      <w:r w:rsidRPr="002860EE">
        <w:tab/>
        <w:t xml:space="preserve">Utilisation des numéros CAS (Chemical Abstracts Service) </w:t>
      </w:r>
      <w:r w:rsidRPr="002860EE">
        <w:br/>
        <w:t>ou CE pour la notification des marchandises dangereuses</w:t>
      </w:r>
      <w:r w:rsidRPr="002860EE">
        <w:tab/>
      </w:r>
      <w:r w:rsidRPr="002860EE">
        <w:tab/>
        <w:t>18</w:t>
      </w:r>
      <w:r w:rsidRPr="002860EE">
        <w:tab/>
      </w:r>
      <w:r w:rsidR="007F3A78">
        <w:t>6</w:t>
      </w:r>
    </w:p>
    <w:p w:rsidR="001056D9" w:rsidRPr="002860EE" w:rsidRDefault="001056D9" w:rsidP="001056D9">
      <w:pPr>
        <w:tabs>
          <w:tab w:val="right" w:leader="dot" w:pos="7654"/>
          <w:tab w:val="right" w:pos="8929"/>
          <w:tab w:val="right" w:pos="9638"/>
        </w:tabs>
        <w:spacing w:after="100"/>
        <w:ind w:left="1984" w:hanging="425"/>
      </w:pPr>
      <w:r w:rsidRPr="002860EE">
        <w:t>3.</w:t>
      </w:r>
      <w:r w:rsidRPr="002860EE">
        <w:tab/>
        <w:t>Mesures relatives au dégazage</w:t>
      </w:r>
      <w:r w:rsidRPr="002860EE">
        <w:tab/>
      </w:r>
      <w:r w:rsidRPr="002860EE">
        <w:tab/>
        <w:t>19</w:t>
      </w:r>
      <w:r w:rsidRPr="002860EE">
        <w:tab/>
      </w:r>
      <w:r w:rsidR="00DC0490">
        <w:t>6</w:t>
      </w:r>
    </w:p>
    <w:p w:rsidR="001056D9" w:rsidRPr="002860EE" w:rsidRDefault="001056D9" w:rsidP="001056D9">
      <w:pPr>
        <w:tabs>
          <w:tab w:val="right" w:leader="dot" w:pos="7654"/>
          <w:tab w:val="right" w:pos="8929"/>
          <w:tab w:val="right" w:pos="9638"/>
        </w:tabs>
        <w:spacing w:after="100"/>
        <w:ind w:left="1559" w:hanging="425"/>
      </w:pPr>
      <w:r w:rsidRPr="002860EE">
        <w:t>D.</w:t>
      </w:r>
      <w:r w:rsidRPr="002860EE">
        <w:tab/>
        <w:t>Formation des experts</w:t>
      </w:r>
      <w:r w:rsidRPr="002860EE">
        <w:tab/>
      </w:r>
      <w:r w:rsidRPr="002860EE">
        <w:tab/>
        <w:t>20−25</w:t>
      </w:r>
      <w:r w:rsidRPr="002860EE">
        <w:tab/>
      </w:r>
      <w:r w:rsidR="00DC0490">
        <w:t>6</w:t>
      </w:r>
    </w:p>
    <w:p w:rsidR="001056D9" w:rsidRPr="002860EE" w:rsidRDefault="001056D9" w:rsidP="001056D9">
      <w:pPr>
        <w:tabs>
          <w:tab w:val="right" w:leader="dot" w:pos="7654"/>
          <w:tab w:val="right" w:pos="8929"/>
          <w:tab w:val="right" w:pos="9638"/>
        </w:tabs>
        <w:spacing w:after="100"/>
        <w:ind w:left="1559" w:hanging="425"/>
      </w:pPr>
      <w:r w:rsidRPr="002860EE">
        <w:tab/>
        <w:t>Travaux du groupe de travail informel sur la formation des experts</w:t>
      </w:r>
      <w:r w:rsidRPr="002860EE">
        <w:tab/>
      </w:r>
      <w:r w:rsidRPr="002860EE">
        <w:tab/>
        <w:t>20−25</w:t>
      </w:r>
      <w:r w:rsidRPr="002860EE">
        <w:tab/>
      </w:r>
      <w:r w:rsidR="00DC0490">
        <w:t>6</w:t>
      </w:r>
    </w:p>
    <w:p w:rsidR="001056D9" w:rsidRPr="002860EE" w:rsidRDefault="001056D9" w:rsidP="001056D9">
      <w:pPr>
        <w:tabs>
          <w:tab w:val="right" w:leader="dot" w:pos="7654"/>
          <w:tab w:val="right" w:pos="8929"/>
          <w:tab w:val="right" w:pos="9638"/>
        </w:tabs>
        <w:spacing w:after="100"/>
        <w:ind w:left="1559" w:hanging="425"/>
      </w:pPr>
      <w:r w:rsidRPr="002860EE">
        <w:t>E.</w:t>
      </w:r>
      <w:r w:rsidRPr="002860EE">
        <w:tab/>
        <w:t>Questions relatives aux sociétés de classification</w:t>
      </w:r>
      <w:r w:rsidRPr="002860EE">
        <w:tab/>
      </w:r>
      <w:r w:rsidRPr="002860EE">
        <w:tab/>
        <w:t>26−36</w:t>
      </w:r>
      <w:r w:rsidRPr="002860EE">
        <w:tab/>
      </w:r>
      <w:r w:rsidR="00DC0490">
        <w:t>7</w:t>
      </w:r>
    </w:p>
    <w:p w:rsidR="001056D9" w:rsidRPr="002860EE" w:rsidRDefault="001056D9" w:rsidP="001056D9">
      <w:pPr>
        <w:tabs>
          <w:tab w:val="right" w:leader="dot" w:pos="7654"/>
          <w:tab w:val="right" w:pos="8929"/>
          <w:tab w:val="right" w:pos="9638"/>
        </w:tabs>
        <w:spacing w:after="100"/>
        <w:ind w:left="1984" w:hanging="425"/>
      </w:pPr>
      <w:r w:rsidRPr="002860EE">
        <w:t>1.</w:t>
      </w:r>
      <w:r w:rsidRPr="002860EE">
        <w:tab/>
        <w:t xml:space="preserve">Référence à la conformité à la norme ISO/CEI </w:t>
      </w:r>
      <w:proofErr w:type="gramStart"/>
      <w:r w:rsidRPr="002860EE">
        <w:t>17020:</w:t>
      </w:r>
      <w:proofErr w:type="gramEnd"/>
      <w:r w:rsidRPr="002860EE">
        <w:t>2012</w:t>
      </w:r>
      <w:r w:rsidRPr="002860EE">
        <w:tab/>
      </w:r>
      <w:r w:rsidRPr="002860EE">
        <w:tab/>
        <w:t>26−27</w:t>
      </w:r>
      <w:r w:rsidRPr="002860EE">
        <w:tab/>
      </w:r>
      <w:r w:rsidR="00DC0490">
        <w:t>7</w:t>
      </w:r>
    </w:p>
    <w:p w:rsidR="001056D9" w:rsidRPr="002860EE" w:rsidRDefault="001056D9" w:rsidP="001056D9">
      <w:pPr>
        <w:tabs>
          <w:tab w:val="right" w:leader="dot" w:pos="7654"/>
          <w:tab w:val="right" w:pos="8929"/>
          <w:tab w:val="right" w:pos="9638"/>
        </w:tabs>
        <w:spacing w:after="100"/>
        <w:ind w:left="1984" w:hanging="425"/>
      </w:pPr>
      <w:r w:rsidRPr="002860EE">
        <w:t>2.</w:t>
      </w:r>
      <w:r w:rsidRPr="002860EE">
        <w:tab/>
        <w:t xml:space="preserve">Liste des références à l’ADN dans les règles de classification </w:t>
      </w:r>
      <w:r w:rsidRPr="002860EE">
        <w:br/>
        <w:t>du Registre maritime russe</w:t>
      </w:r>
      <w:r w:rsidRPr="002860EE">
        <w:tab/>
      </w:r>
      <w:r w:rsidRPr="002860EE">
        <w:tab/>
        <w:t>28</w:t>
      </w:r>
      <w:r w:rsidRPr="002860EE">
        <w:tab/>
      </w:r>
      <w:r w:rsidR="00DC0490">
        <w:t>8</w:t>
      </w:r>
    </w:p>
    <w:p w:rsidR="001056D9" w:rsidRPr="002860EE" w:rsidRDefault="001056D9" w:rsidP="001056D9">
      <w:pPr>
        <w:tabs>
          <w:tab w:val="right" w:leader="dot" w:pos="7654"/>
          <w:tab w:val="right" w:pos="8929"/>
          <w:tab w:val="right" w:pos="9638"/>
        </w:tabs>
        <w:spacing w:after="100"/>
        <w:ind w:left="1984" w:hanging="425"/>
      </w:pPr>
      <w:r w:rsidRPr="002860EE">
        <w:t>3.</w:t>
      </w:r>
      <w:r w:rsidRPr="002860EE">
        <w:tab/>
        <w:t xml:space="preserve">Rapport de la quinzième réunion du groupe de travail informel </w:t>
      </w:r>
      <w:r w:rsidRPr="002860EE">
        <w:br/>
        <w:t>des sociétés de classification recommandées ADN</w:t>
      </w:r>
      <w:r w:rsidRPr="002860EE">
        <w:tab/>
      </w:r>
      <w:r w:rsidRPr="002860EE">
        <w:tab/>
        <w:t>29−33</w:t>
      </w:r>
      <w:r w:rsidRPr="002860EE">
        <w:tab/>
      </w:r>
      <w:r w:rsidR="00DC0490">
        <w:t>8</w:t>
      </w:r>
    </w:p>
    <w:p w:rsidR="001056D9" w:rsidRPr="002860EE" w:rsidRDefault="001056D9" w:rsidP="001056D9">
      <w:pPr>
        <w:tabs>
          <w:tab w:val="right" w:leader="dot" w:pos="7654"/>
          <w:tab w:val="right" w:pos="8929"/>
          <w:tab w:val="right" w:pos="9638"/>
        </w:tabs>
        <w:spacing w:after="100"/>
        <w:ind w:left="1984" w:hanging="425"/>
      </w:pPr>
      <w:r w:rsidRPr="002860EE">
        <w:t>4.</w:t>
      </w:r>
      <w:r w:rsidRPr="002860EE">
        <w:tab/>
        <w:t>État d’avancement de l’agrément des instruments de chargement</w:t>
      </w:r>
      <w:r w:rsidRPr="002860EE">
        <w:tab/>
      </w:r>
      <w:r w:rsidRPr="002860EE">
        <w:tab/>
        <w:t>34</w:t>
      </w:r>
      <w:r w:rsidRPr="002860EE">
        <w:tab/>
      </w:r>
      <w:r w:rsidR="00DC0490">
        <w:t>8</w:t>
      </w:r>
    </w:p>
    <w:p w:rsidR="001056D9" w:rsidRPr="002860EE" w:rsidRDefault="001056D9" w:rsidP="001056D9">
      <w:pPr>
        <w:tabs>
          <w:tab w:val="right" w:leader="dot" w:pos="7654"/>
          <w:tab w:val="right" w:pos="8929"/>
          <w:tab w:val="right" w:pos="9638"/>
        </w:tabs>
        <w:spacing w:after="100"/>
        <w:ind w:left="1984" w:hanging="425"/>
      </w:pPr>
      <w:r w:rsidRPr="002860EE">
        <w:t>5.</w:t>
      </w:r>
      <w:r w:rsidRPr="002860EE">
        <w:tab/>
        <w:t xml:space="preserve">Demande de la Croatie visant à faire figurer le Registre </w:t>
      </w:r>
      <w:r>
        <w:br/>
      </w:r>
      <w:r w:rsidRPr="002860EE">
        <w:t xml:space="preserve">de la navigation croate dans la liste des sociétés de classification </w:t>
      </w:r>
      <w:r>
        <w:br/>
      </w:r>
      <w:r w:rsidRPr="002860EE">
        <w:t>recommandées pour agrément</w:t>
      </w:r>
      <w:r w:rsidRPr="002860EE">
        <w:tab/>
      </w:r>
      <w:r w:rsidRPr="002860EE">
        <w:tab/>
        <w:t>35−36</w:t>
      </w:r>
      <w:r w:rsidRPr="002860EE">
        <w:tab/>
      </w:r>
      <w:r w:rsidR="00DC0490">
        <w:t>9</w:t>
      </w:r>
    </w:p>
    <w:p w:rsidR="001056D9" w:rsidRPr="002860EE" w:rsidRDefault="001056D9" w:rsidP="001056D9">
      <w:pPr>
        <w:tabs>
          <w:tab w:val="right" w:pos="850"/>
          <w:tab w:val="right" w:leader="dot" w:pos="7654"/>
          <w:tab w:val="right" w:pos="8929"/>
          <w:tab w:val="right" w:pos="9638"/>
        </w:tabs>
        <w:spacing w:after="100"/>
        <w:ind w:left="1134" w:hanging="1134"/>
      </w:pPr>
      <w:r w:rsidRPr="002860EE">
        <w:tab/>
        <w:t>V.</w:t>
      </w:r>
      <w:r w:rsidRPr="002860EE">
        <w:tab/>
      </w:r>
      <w:r w:rsidRPr="004918D3">
        <w:t xml:space="preserve">Propositions d’amendements au Règlement annexé à l’ADN </w:t>
      </w:r>
      <w:r>
        <w:br/>
      </w:r>
      <w:r w:rsidRPr="004918D3">
        <w:t>(point 4 de l’ordre du jour</w:t>
      </w:r>
      <w:r>
        <w:rPr>
          <w:b/>
        </w:rPr>
        <w:t>)</w:t>
      </w:r>
      <w:r w:rsidRPr="002860EE">
        <w:tab/>
      </w:r>
      <w:r w:rsidRPr="002860EE">
        <w:tab/>
        <w:t>37−67</w:t>
      </w:r>
      <w:r w:rsidRPr="002860EE">
        <w:tab/>
      </w:r>
      <w:r w:rsidR="00DC0490">
        <w:t>9</w:t>
      </w:r>
    </w:p>
    <w:p w:rsidR="001056D9" w:rsidRPr="000A610B" w:rsidRDefault="001056D9" w:rsidP="001056D9">
      <w:pPr>
        <w:tabs>
          <w:tab w:val="right" w:leader="dot" w:pos="7654"/>
          <w:tab w:val="right" w:pos="8929"/>
          <w:tab w:val="right" w:pos="9638"/>
        </w:tabs>
        <w:spacing w:after="100"/>
        <w:ind w:left="1559" w:hanging="425"/>
      </w:pPr>
      <w:r w:rsidRPr="000A610B">
        <w:t>A.</w:t>
      </w:r>
      <w:r w:rsidRPr="000A610B">
        <w:tab/>
        <w:t>Travaux de la Réunion commune RID/ADR/ADN</w:t>
      </w:r>
      <w:r w:rsidRPr="000A610B">
        <w:tab/>
      </w:r>
      <w:r w:rsidRPr="000A610B">
        <w:tab/>
        <w:t>37−41</w:t>
      </w:r>
      <w:r w:rsidRPr="000A610B">
        <w:tab/>
      </w:r>
      <w:r w:rsidR="00DC0490">
        <w:t>9</w:t>
      </w:r>
    </w:p>
    <w:p w:rsidR="001056D9" w:rsidRPr="000A610B" w:rsidRDefault="001056D9" w:rsidP="001056D9">
      <w:pPr>
        <w:tabs>
          <w:tab w:val="right" w:leader="dot" w:pos="7654"/>
          <w:tab w:val="right" w:pos="8929"/>
          <w:tab w:val="right" w:pos="9638"/>
        </w:tabs>
        <w:spacing w:after="100"/>
        <w:ind w:left="1984" w:hanging="425"/>
      </w:pPr>
      <w:r w:rsidRPr="000A610B">
        <w:t>1.</w:t>
      </w:r>
      <w:r w:rsidRPr="000A610B">
        <w:tab/>
        <w:t>Nouveaux amendements</w:t>
      </w:r>
      <w:r w:rsidRPr="000A610B">
        <w:tab/>
      </w:r>
      <w:r w:rsidRPr="000A610B">
        <w:tab/>
        <w:t>37−39</w:t>
      </w:r>
      <w:r w:rsidRPr="000A610B">
        <w:tab/>
      </w:r>
      <w:r w:rsidR="00DC0490">
        <w:t>9</w:t>
      </w:r>
    </w:p>
    <w:p w:rsidR="001056D9" w:rsidRPr="002860EE" w:rsidRDefault="001056D9" w:rsidP="001056D9">
      <w:pPr>
        <w:tabs>
          <w:tab w:val="right" w:leader="dot" w:pos="7654"/>
          <w:tab w:val="right" w:pos="8929"/>
          <w:tab w:val="right" w:pos="9638"/>
        </w:tabs>
        <w:spacing w:after="100"/>
        <w:ind w:left="1984" w:hanging="425"/>
      </w:pPr>
      <w:r w:rsidRPr="000A610B">
        <w:t>2.</w:t>
      </w:r>
      <w:r w:rsidRPr="000A610B">
        <w:tab/>
        <w:t>Corrections aux amendements p</w:t>
      </w:r>
      <w:r>
        <w:t xml:space="preserve">récédemment adoptés </w:t>
      </w:r>
      <w:r>
        <w:br/>
        <w:t>(ECE/ADN/45)</w:t>
      </w:r>
      <w:r>
        <w:tab/>
      </w:r>
      <w:r w:rsidRPr="002860EE">
        <w:tab/>
        <w:t>40</w:t>
      </w:r>
      <w:r w:rsidRPr="002860EE">
        <w:tab/>
      </w:r>
      <w:r w:rsidR="00DC0490">
        <w:t>9</w:t>
      </w:r>
    </w:p>
    <w:p w:rsidR="001056D9" w:rsidRPr="008C50BE" w:rsidRDefault="001056D9" w:rsidP="001056D9">
      <w:pPr>
        <w:tabs>
          <w:tab w:val="right" w:leader="dot" w:pos="7654"/>
          <w:tab w:val="right" w:pos="8929"/>
          <w:tab w:val="right" w:pos="9638"/>
        </w:tabs>
        <w:spacing w:after="100"/>
        <w:ind w:left="1984" w:hanging="425"/>
      </w:pPr>
      <w:r w:rsidRPr="008C50BE">
        <w:t>3.</w:t>
      </w:r>
      <w:r w:rsidRPr="008C50BE">
        <w:tab/>
        <w:t>Corrections au Règlement annexé à l’ADN</w:t>
      </w:r>
      <w:r w:rsidRPr="008C50BE">
        <w:tab/>
      </w:r>
      <w:r w:rsidRPr="008C50BE">
        <w:tab/>
        <w:t>41</w:t>
      </w:r>
      <w:r w:rsidRPr="008C50BE">
        <w:tab/>
      </w:r>
      <w:r w:rsidR="00DC0490">
        <w:t>10</w:t>
      </w:r>
    </w:p>
    <w:p w:rsidR="001056D9" w:rsidRPr="008C50BE" w:rsidRDefault="001056D9" w:rsidP="001056D9">
      <w:pPr>
        <w:tabs>
          <w:tab w:val="right" w:leader="dot" w:pos="7654"/>
          <w:tab w:val="right" w:pos="8929"/>
          <w:tab w:val="right" w:pos="9638"/>
        </w:tabs>
        <w:spacing w:after="100"/>
        <w:ind w:left="1559" w:hanging="425"/>
      </w:pPr>
      <w:r w:rsidRPr="008C50BE">
        <w:t>B.</w:t>
      </w:r>
      <w:r w:rsidRPr="008C50BE">
        <w:tab/>
        <w:t>Autres propositions</w:t>
      </w:r>
      <w:r w:rsidRPr="008C50BE">
        <w:tab/>
      </w:r>
      <w:r w:rsidRPr="008C50BE">
        <w:tab/>
        <w:t>42−67</w:t>
      </w:r>
      <w:r w:rsidRPr="008C50BE">
        <w:tab/>
      </w:r>
      <w:r w:rsidR="00DC0490">
        <w:t>10</w:t>
      </w:r>
    </w:p>
    <w:p w:rsidR="001056D9" w:rsidRPr="008C50BE" w:rsidRDefault="001056D9" w:rsidP="001056D9">
      <w:pPr>
        <w:tabs>
          <w:tab w:val="right" w:leader="dot" w:pos="7654"/>
          <w:tab w:val="right" w:pos="8929"/>
          <w:tab w:val="right" w:pos="9638"/>
        </w:tabs>
        <w:spacing w:after="100"/>
        <w:ind w:left="1984" w:hanging="425"/>
      </w:pPr>
      <w:r w:rsidRPr="008C50BE">
        <w:t>1.</w:t>
      </w:r>
      <w:r w:rsidRPr="008C50BE">
        <w:tab/>
        <w:t>Feu et lumière non protégée (9.1.0.41.3)</w:t>
      </w:r>
      <w:r w:rsidRPr="008C50BE">
        <w:tab/>
      </w:r>
      <w:r w:rsidRPr="008C50BE">
        <w:tab/>
        <w:t>42</w:t>
      </w:r>
      <w:r w:rsidRPr="008C50BE">
        <w:tab/>
      </w:r>
      <w:r w:rsidR="00DC0490">
        <w:t>10</w:t>
      </w:r>
    </w:p>
    <w:p w:rsidR="001056D9" w:rsidRPr="008C50BE" w:rsidRDefault="001056D9" w:rsidP="001056D9">
      <w:pPr>
        <w:tabs>
          <w:tab w:val="right" w:leader="dot" w:pos="7654"/>
          <w:tab w:val="right" w:pos="8929"/>
          <w:tab w:val="right" w:pos="9638"/>
        </w:tabs>
        <w:spacing w:after="100"/>
        <w:ind w:left="1984" w:hanging="425"/>
      </w:pPr>
      <w:r w:rsidRPr="008C50BE">
        <w:t>2.</w:t>
      </w:r>
      <w:r w:rsidRPr="008C50BE">
        <w:tab/>
        <w:t>Numéro de matière 9001 − Nom et description</w:t>
      </w:r>
      <w:r w:rsidRPr="008C50BE">
        <w:tab/>
      </w:r>
      <w:r w:rsidRPr="008C50BE">
        <w:tab/>
        <w:t>43</w:t>
      </w:r>
      <w:r w:rsidRPr="008C50BE">
        <w:tab/>
      </w:r>
      <w:r w:rsidR="00DC0490">
        <w:t>10</w:t>
      </w:r>
    </w:p>
    <w:p w:rsidR="001056D9" w:rsidRPr="006913BD" w:rsidRDefault="001056D9" w:rsidP="001056D9">
      <w:pPr>
        <w:tabs>
          <w:tab w:val="right" w:leader="dot" w:pos="7654"/>
          <w:tab w:val="right" w:pos="8929"/>
          <w:tab w:val="right" w:pos="9638"/>
        </w:tabs>
        <w:spacing w:after="100"/>
        <w:ind w:left="1984" w:hanging="425"/>
      </w:pPr>
      <w:r w:rsidRPr="006913BD">
        <w:t>3.</w:t>
      </w:r>
      <w:r w:rsidRPr="006913BD">
        <w:tab/>
        <w:t>Correction dans l’ADN 2019</w:t>
      </w:r>
      <w:r w:rsidRPr="006913BD">
        <w:tab/>
      </w:r>
      <w:r w:rsidRPr="006913BD">
        <w:tab/>
        <w:t>44</w:t>
      </w:r>
      <w:r w:rsidRPr="006913BD">
        <w:tab/>
      </w:r>
      <w:r w:rsidR="00DC0490">
        <w:t>10</w:t>
      </w:r>
    </w:p>
    <w:p w:rsidR="001056D9" w:rsidRPr="006913BD" w:rsidRDefault="001056D9" w:rsidP="001056D9">
      <w:pPr>
        <w:tabs>
          <w:tab w:val="right" w:leader="dot" w:pos="7654"/>
          <w:tab w:val="right" w:pos="8929"/>
          <w:tab w:val="right" w:pos="9638"/>
        </w:tabs>
        <w:spacing w:after="120"/>
        <w:ind w:left="1984" w:hanging="425"/>
      </w:pPr>
      <w:r w:rsidRPr="006913BD">
        <w:t>4.</w:t>
      </w:r>
      <w:r w:rsidRPr="006913BD">
        <w:tab/>
        <w:t>Canot (7.2.3.29.1)</w:t>
      </w:r>
      <w:r w:rsidRPr="006913BD">
        <w:tab/>
      </w:r>
      <w:r w:rsidRPr="006913BD">
        <w:tab/>
        <w:t>45−48</w:t>
      </w:r>
      <w:r w:rsidRPr="006913BD">
        <w:tab/>
      </w:r>
      <w:r w:rsidR="00DC0490">
        <w:t>10</w:t>
      </w:r>
    </w:p>
    <w:p w:rsidR="001056D9" w:rsidRPr="006913BD" w:rsidRDefault="001056D9" w:rsidP="001056D9">
      <w:pPr>
        <w:tabs>
          <w:tab w:val="right" w:leader="dot" w:pos="7654"/>
          <w:tab w:val="right" w:pos="8929"/>
          <w:tab w:val="right" w:pos="9638"/>
        </w:tabs>
        <w:spacing w:after="100"/>
        <w:ind w:left="1984" w:hanging="425"/>
      </w:pPr>
      <w:r w:rsidRPr="006913BD">
        <w:lastRenderedPageBreak/>
        <w:t>5.</w:t>
      </w:r>
      <w:r w:rsidRPr="006913BD">
        <w:tab/>
        <w:t xml:space="preserve">Modifications concernant la protection contre l’explosion à bord </w:t>
      </w:r>
      <w:r w:rsidRPr="006913BD">
        <w:br/>
        <w:t>de bateaux de navigation intérieure</w:t>
      </w:r>
      <w:r w:rsidRPr="006913BD">
        <w:tab/>
      </w:r>
      <w:r w:rsidRPr="006913BD">
        <w:tab/>
        <w:t>49</w:t>
      </w:r>
      <w:r w:rsidRPr="006913BD">
        <w:tab/>
      </w:r>
      <w:r w:rsidR="00DC0490">
        <w:t>11</w:t>
      </w:r>
    </w:p>
    <w:p w:rsidR="001056D9" w:rsidRPr="006913BD" w:rsidRDefault="001056D9" w:rsidP="001056D9">
      <w:pPr>
        <w:tabs>
          <w:tab w:val="right" w:leader="dot" w:pos="7654"/>
          <w:tab w:val="right" w:pos="8929"/>
          <w:tab w:val="right" w:pos="9638"/>
        </w:tabs>
        <w:spacing w:after="100"/>
        <w:ind w:left="1984" w:hanging="425"/>
      </w:pPr>
      <w:r w:rsidRPr="006913BD">
        <w:t>6.</w:t>
      </w:r>
      <w:r w:rsidRPr="006913BD">
        <w:tab/>
        <w:t>Critères d’affectation des matières dans le 3.2.4.3</w:t>
      </w:r>
      <w:r w:rsidRPr="006913BD">
        <w:tab/>
      </w:r>
      <w:r w:rsidRPr="006913BD">
        <w:tab/>
        <w:t>50</w:t>
      </w:r>
      <w:r w:rsidRPr="006913BD">
        <w:tab/>
      </w:r>
      <w:r w:rsidR="00DC0490">
        <w:t>11</w:t>
      </w:r>
    </w:p>
    <w:p w:rsidR="001056D9" w:rsidRPr="006913BD" w:rsidRDefault="001056D9" w:rsidP="001056D9">
      <w:pPr>
        <w:tabs>
          <w:tab w:val="right" w:leader="dot" w:pos="7654"/>
          <w:tab w:val="right" w:pos="8929"/>
          <w:tab w:val="right" w:pos="9638"/>
        </w:tabs>
        <w:spacing w:after="100"/>
        <w:ind w:left="1984" w:hanging="425"/>
      </w:pPr>
      <w:r w:rsidRPr="006913BD">
        <w:t>7.</w:t>
      </w:r>
      <w:r w:rsidRPr="006913BD">
        <w:tab/>
        <w:t xml:space="preserve">Utilisation de conduites de retour de gaz pendant le déchargement </w:t>
      </w:r>
      <w:r w:rsidRPr="006913BD">
        <w:br/>
        <w:t>(1.4.3.7.1)</w:t>
      </w:r>
      <w:r w:rsidRPr="006913BD">
        <w:tab/>
      </w:r>
      <w:r w:rsidRPr="006913BD">
        <w:tab/>
        <w:t>51</w:t>
      </w:r>
      <w:r w:rsidRPr="006913BD">
        <w:tab/>
      </w:r>
      <w:r w:rsidR="00DC0490">
        <w:t>11</w:t>
      </w:r>
    </w:p>
    <w:p w:rsidR="001056D9" w:rsidRPr="006913BD" w:rsidRDefault="001056D9" w:rsidP="001056D9">
      <w:pPr>
        <w:tabs>
          <w:tab w:val="right" w:leader="dot" w:pos="7654"/>
          <w:tab w:val="right" w:pos="8929"/>
          <w:tab w:val="right" w:pos="9638"/>
        </w:tabs>
        <w:spacing w:after="100"/>
        <w:ind w:left="1984" w:hanging="425"/>
      </w:pPr>
      <w:r w:rsidRPr="006913BD">
        <w:t>8.</w:t>
      </w:r>
      <w:r w:rsidRPr="006913BD">
        <w:tab/>
        <w:t>Titre du tableau C</w:t>
      </w:r>
      <w:r w:rsidRPr="006913BD">
        <w:tab/>
      </w:r>
      <w:r w:rsidRPr="006913BD">
        <w:tab/>
        <w:t>52</w:t>
      </w:r>
      <w:r w:rsidRPr="006913BD">
        <w:tab/>
      </w:r>
      <w:r w:rsidR="00DC0490">
        <w:t>12</w:t>
      </w:r>
      <w:r w:rsidRPr="006913BD">
        <w:tab/>
      </w:r>
    </w:p>
    <w:p w:rsidR="001056D9" w:rsidRPr="002860EE" w:rsidRDefault="001056D9" w:rsidP="001056D9">
      <w:pPr>
        <w:tabs>
          <w:tab w:val="right" w:leader="dot" w:pos="7654"/>
          <w:tab w:val="right" w:pos="8929"/>
          <w:tab w:val="right" w:pos="9638"/>
        </w:tabs>
        <w:spacing w:after="100"/>
        <w:ind w:left="1984" w:hanging="425"/>
      </w:pPr>
      <w:r w:rsidRPr="006913BD">
        <w:t>9.</w:t>
      </w:r>
      <w:r w:rsidRPr="006913BD">
        <w:tab/>
        <w:t>Incohérence dans les consignes écrites</w:t>
      </w:r>
      <w:r w:rsidRPr="002860EE">
        <w:tab/>
      </w:r>
      <w:r w:rsidRPr="002860EE">
        <w:tab/>
        <w:t>53</w:t>
      </w:r>
      <w:r w:rsidRPr="002860EE">
        <w:tab/>
      </w:r>
      <w:r w:rsidR="00DC0490">
        <w:t>12</w:t>
      </w:r>
    </w:p>
    <w:p w:rsidR="001056D9" w:rsidRPr="002860EE" w:rsidRDefault="001056D9" w:rsidP="001056D9">
      <w:pPr>
        <w:tabs>
          <w:tab w:val="right" w:leader="dot" w:pos="7654"/>
          <w:tab w:val="right" w:pos="8929"/>
          <w:tab w:val="right" w:pos="9638"/>
        </w:tabs>
        <w:spacing w:after="100"/>
        <w:ind w:left="1984" w:hanging="425"/>
      </w:pPr>
      <w:r w:rsidRPr="002860EE">
        <w:t>10.</w:t>
      </w:r>
      <w:r w:rsidRPr="002860EE">
        <w:tab/>
      </w:r>
      <w:r w:rsidRPr="008B6EED">
        <w:t xml:space="preserve">Proposition de modification des tableaux A, B et C du Règlement </w:t>
      </w:r>
      <w:r w:rsidRPr="008B6EED">
        <w:br/>
        <w:t>annexé à l’A</w:t>
      </w:r>
      <w:r w:rsidR="0017397D">
        <w:t>DN</w:t>
      </w:r>
      <w:r w:rsidRPr="002860EE">
        <w:tab/>
      </w:r>
      <w:r w:rsidRPr="002860EE">
        <w:tab/>
        <w:t>54−56</w:t>
      </w:r>
      <w:r w:rsidRPr="002860EE">
        <w:tab/>
      </w:r>
      <w:r w:rsidR="00DC0490">
        <w:t>12</w:t>
      </w:r>
    </w:p>
    <w:p w:rsidR="001056D9" w:rsidRPr="00134552" w:rsidRDefault="001056D9" w:rsidP="001056D9">
      <w:pPr>
        <w:tabs>
          <w:tab w:val="right" w:leader="dot" w:pos="7654"/>
          <w:tab w:val="right" w:pos="8929"/>
          <w:tab w:val="right" w:pos="9638"/>
        </w:tabs>
        <w:spacing w:after="100"/>
        <w:ind w:left="1984" w:hanging="425"/>
      </w:pPr>
      <w:r w:rsidRPr="00134552">
        <w:t>11.</w:t>
      </w:r>
      <w:r w:rsidRPr="00134552">
        <w:tab/>
        <w:t xml:space="preserve">Propositions d’amendements à la </w:t>
      </w:r>
      <w:r w:rsidR="00BE40F8">
        <w:t>p</w:t>
      </w:r>
      <w:r w:rsidRPr="00134552">
        <w:t xml:space="preserve">artie 2 du Règlement annexé </w:t>
      </w:r>
      <w:r w:rsidRPr="00134552">
        <w:br/>
        <w:t>à l’ADN</w:t>
      </w:r>
      <w:r w:rsidRPr="00134552">
        <w:tab/>
      </w:r>
      <w:r w:rsidRPr="00134552">
        <w:tab/>
        <w:t>57</w:t>
      </w:r>
      <w:r w:rsidRPr="00134552">
        <w:tab/>
      </w:r>
      <w:r w:rsidR="00DC0490">
        <w:t>12</w:t>
      </w:r>
    </w:p>
    <w:p w:rsidR="001056D9" w:rsidRPr="00134552" w:rsidRDefault="001056D9" w:rsidP="001056D9">
      <w:pPr>
        <w:tabs>
          <w:tab w:val="right" w:leader="dot" w:pos="7654"/>
          <w:tab w:val="right" w:pos="8929"/>
          <w:tab w:val="right" w:pos="9638"/>
        </w:tabs>
        <w:spacing w:after="100"/>
        <w:ind w:left="1984" w:hanging="425"/>
      </w:pPr>
      <w:r w:rsidRPr="00134552">
        <w:t>12.</w:t>
      </w:r>
      <w:r w:rsidRPr="00134552">
        <w:tab/>
        <w:t>Amendement au 7.1.4.1 : limitation des quantités transportées</w:t>
      </w:r>
      <w:r w:rsidRPr="00134552">
        <w:tab/>
      </w:r>
      <w:r w:rsidRPr="00134552">
        <w:tab/>
        <w:t>58</w:t>
      </w:r>
      <w:r w:rsidRPr="00134552">
        <w:tab/>
      </w:r>
      <w:r w:rsidR="00DC0490">
        <w:t>12</w:t>
      </w:r>
    </w:p>
    <w:p w:rsidR="001056D9" w:rsidRPr="002860EE" w:rsidRDefault="001056D9" w:rsidP="001056D9">
      <w:pPr>
        <w:tabs>
          <w:tab w:val="right" w:leader="dot" w:pos="7654"/>
          <w:tab w:val="right" w:pos="8929"/>
          <w:tab w:val="right" w:pos="9638"/>
        </w:tabs>
        <w:spacing w:after="100"/>
        <w:ind w:left="1984" w:hanging="425"/>
      </w:pPr>
      <w:r w:rsidRPr="002860EE">
        <w:t>13.</w:t>
      </w:r>
      <w:r w:rsidRPr="002860EE">
        <w:tab/>
      </w:r>
      <w:r w:rsidRPr="00134552">
        <w:t>Utilisation du terme « accumulateur » dans le chapitre 9</w:t>
      </w:r>
      <w:r w:rsidRPr="002860EE">
        <w:tab/>
      </w:r>
      <w:r w:rsidRPr="002860EE">
        <w:tab/>
        <w:t>59</w:t>
      </w:r>
      <w:r w:rsidRPr="002860EE">
        <w:tab/>
      </w:r>
      <w:r w:rsidR="00DC0490">
        <w:t>13</w:t>
      </w:r>
    </w:p>
    <w:p w:rsidR="001056D9" w:rsidRPr="001A58E6" w:rsidRDefault="001056D9" w:rsidP="001056D9">
      <w:pPr>
        <w:tabs>
          <w:tab w:val="right" w:leader="dot" w:pos="7654"/>
          <w:tab w:val="right" w:pos="8929"/>
          <w:tab w:val="right" w:pos="9638"/>
        </w:tabs>
        <w:spacing w:after="100"/>
        <w:ind w:left="1984" w:hanging="425"/>
      </w:pPr>
      <w:r w:rsidRPr="001A58E6">
        <w:t>14.</w:t>
      </w:r>
      <w:r w:rsidRPr="001A58E6">
        <w:tab/>
        <w:t>Clarification du 1.1.3.6.1 et du 1.1.3.6.2</w:t>
      </w:r>
      <w:r w:rsidRPr="001A58E6">
        <w:tab/>
      </w:r>
      <w:r w:rsidRPr="001A58E6">
        <w:tab/>
        <w:t>60</w:t>
      </w:r>
      <w:r w:rsidRPr="001A58E6">
        <w:tab/>
      </w:r>
      <w:r w:rsidR="00DC0490">
        <w:t>13</w:t>
      </w:r>
    </w:p>
    <w:p w:rsidR="001056D9" w:rsidRPr="001A58E6" w:rsidRDefault="001056D9" w:rsidP="001056D9">
      <w:pPr>
        <w:tabs>
          <w:tab w:val="right" w:leader="dot" w:pos="7654"/>
          <w:tab w:val="right" w:pos="8929"/>
          <w:tab w:val="right" w:pos="9638"/>
        </w:tabs>
        <w:spacing w:after="100"/>
        <w:ind w:left="1984" w:hanging="425"/>
      </w:pPr>
      <w:r w:rsidRPr="001A58E6">
        <w:t>15.</w:t>
      </w:r>
      <w:r w:rsidRPr="001A58E6">
        <w:tab/>
        <w:t>Amendements au 7.1.0.5.0.2 et au 7.1.6.12</w:t>
      </w:r>
      <w:r w:rsidRPr="001A58E6">
        <w:tab/>
      </w:r>
      <w:r w:rsidRPr="001A58E6">
        <w:tab/>
        <w:t>61−62</w:t>
      </w:r>
      <w:r w:rsidRPr="001A58E6">
        <w:tab/>
      </w:r>
      <w:r w:rsidR="00DC0490">
        <w:t>13</w:t>
      </w:r>
    </w:p>
    <w:p w:rsidR="001056D9" w:rsidRPr="001A58E6" w:rsidRDefault="001056D9" w:rsidP="001056D9">
      <w:pPr>
        <w:tabs>
          <w:tab w:val="right" w:leader="dot" w:pos="7654"/>
          <w:tab w:val="right" w:pos="8929"/>
          <w:tab w:val="right" w:pos="9638"/>
        </w:tabs>
        <w:spacing w:after="100"/>
        <w:ind w:left="1984" w:hanging="425"/>
      </w:pPr>
      <w:r w:rsidRPr="001A58E6">
        <w:t>16.</w:t>
      </w:r>
      <w:r w:rsidRPr="001A58E6">
        <w:tab/>
        <w:t xml:space="preserve">Exemptions figurant au 1.1.3.6 liées aux quantités exemptées </w:t>
      </w:r>
      <w:r w:rsidRPr="001A58E6">
        <w:br/>
        <w:t>à bord des bateaux</w:t>
      </w:r>
      <w:r w:rsidRPr="001A58E6">
        <w:tab/>
      </w:r>
      <w:r w:rsidRPr="001A58E6">
        <w:tab/>
        <w:t>63</w:t>
      </w:r>
      <w:r w:rsidRPr="001A58E6">
        <w:tab/>
      </w:r>
      <w:r w:rsidR="00F76823">
        <w:t>13</w:t>
      </w:r>
    </w:p>
    <w:p w:rsidR="001056D9" w:rsidRPr="001A58E6" w:rsidRDefault="001056D9" w:rsidP="001056D9">
      <w:pPr>
        <w:tabs>
          <w:tab w:val="right" w:leader="dot" w:pos="7654"/>
          <w:tab w:val="right" w:pos="8929"/>
          <w:tab w:val="right" w:pos="9638"/>
        </w:tabs>
        <w:spacing w:after="100"/>
        <w:ind w:left="1984" w:hanging="425"/>
      </w:pPr>
      <w:r w:rsidRPr="001A58E6">
        <w:t>17.</w:t>
      </w:r>
      <w:r w:rsidRPr="001A58E6">
        <w:tab/>
        <w:t>Corrections au 9.</w:t>
      </w:r>
      <w:proofErr w:type="gramStart"/>
      <w:r w:rsidRPr="001A58E6">
        <w:t>3.x.</w:t>
      </w:r>
      <w:proofErr w:type="gramEnd"/>
      <w:r w:rsidRPr="001A58E6">
        <w:t>52.6</w:t>
      </w:r>
      <w:r w:rsidRPr="001A58E6">
        <w:tab/>
      </w:r>
      <w:r w:rsidRPr="001A58E6">
        <w:tab/>
        <w:t>64</w:t>
      </w:r>
      <w:r w:rsidRPr="001A58E6">
        <w:tab/>
      </w:r>
      <w:r w:rsidR="00F76823">
        <w:t>13</w:t>
      </w:r>
    </w:p>
    <w:p w:rsidR="001056D9" w:rsidRPr="002860EE" w:rsidRDefault="001056D9" w:rsidP="001056D9">
      <w:pPr>
        <w:tabs>
          <w:tab w:val="right" w:leader="dot" w:pos="7654"/>
          <w:tab w:val="right" w:pos="8929"/>
          <w:tab w:val="right" w:pos="9638"/>
        </w:tabs>
        <w:spacing w:after="100"/>
        <w:ind w:left="1984" w:hanging="425"/>
      </w:pPr>
      <w:r w:rsidRPr="001A58E6">
        <w:t>18.</w:t>
      </w:r>
      <w:r w:rsidRPr="001A58E6">
        <w:tab/>
        <w:t xml:space="preserve">Analyse pour la classification des groupes d’explosion </w:t>
      </w:r>
      <w:r>
        <w:br/>
      </w:r>
      <w:r w:rsidRPr="001A58E6">
        <w:t>pour des numéros ONU supplémentaires</w:t>
      </w:r>
      <w:r w:rsidRPr="002860EE">
        <w:tab/>
      </w:r>
      <w:r w:rsidRPr="002860EE">
        <w:tab/>
        <w:t>65</w:t>
      </w:r>
      <w:r w:rsidRPr="002860EE">
        <w:tab/>
      </w:r>
      <w:r w:rsidR="00F76823">
        <w:t>13</w:t>
      </w:r>
    </w:p>
    <w:p w:rsidR="001056D9" w:rsidRPr="002860EE" w:rsidRDefault="001056D9" w:rsidP="001056D9">
      <w:pPr>
        <w:tabs>
          <w:tab w:val="right" w:leader="dot" w:pos="7654"/>
          <w:tab w:val="right" w:pos="8929"/>
          <w:tab w:val="right" w:pos="9638"/>
        </w:tabs>
        <w:spacing w:after="100"/>
        <w:ind w:left="1984" w:hanging="425"/>
      </w:pPr>
      <w:r w:rsidRPr="002860EE">
        <w:t>19.</w:t>
      </w:r>
      <w:r w:rsidRPr="002860EE">
        <w:tab/>
      </w:r>
      <w:r w:rsidRPr="008E25AC">
        <w:t xml:space="preserve">Résultats des vérifications concernant l’interstice maximal de sécurité </w:t>
      </w:r>
      <w:r w:rsidRPr="008E25AC">
        <w:br/>
        <w:t>et l’accord multilatéral M 018</w:t>
      </w:r>
      <w:r w:rsidRPr="002860EE">
        <w:tab/>
      </w:r>
      <w:r w:rsidRPr="002860EE">
        <w:tab/>
        <w:t>66</w:t>
      </w:r>
      <w:r w:rsidRPr="002860EE">
        <w:tab/>
      </w:r>
      <w:r w:rsidR="00F76823">
        <w:t>14</w:t>
      </w:r>
    </w:p>
    <w:p w:rsidR="001056D9" w:rsidRPr="002860EE" w:rsidRDefault="001056D9" w:rsidP="001056D9">
      <w:pPr>
        <w:tabs>
          <w:tab w:val="right" w:leader="dot" w:pos="7654"/>
          <w:tab w:val="right" w:pos="8929"/>
          <w:tab w:val="right" w:pos="9638"/>
        </w:tabs>
        <w:spacing w:after="100"/>
        <w:ind w:left="1984" w:hanging="425"/>
      </w:pPr>
      <w:r w:rsidRPr="002860EE">
        <w:t>20.</w:t>
      </w:r>
      <w:r w:rsidRPr="002860EE">
        <w:tab/>
      </w:r>
      <w:r w:rsidRPr="008E25AC">
        <w:t>Divergences dans les diagrammes A et B du 3.2.3.3 de l’ADN</w:t>
      </w:r>
      <w:r w:rsidRPr="002860EE">
        <w:tab/>
      </w:r>
      <w:r w:rsidRPr="002860EE">
        <w:tab/>
        <w:t>67</w:t>
      </w:r>
      <w:r w:rsidRPr="002860EE">
        <w:tab/>
      </w:r>
      <w:r w:rsidR="00F76823">
        <w:t>14</w:t>
      </w:r>
    </w:p>
    <w:p w:rsidR="001056D9" w:rsidRPr="008E25AC" w:rsidRDefault="001056D9" w:rsidP="001056D9">
      <w:pPr>
        <w:tabs>
          <w:tab w:val="right" w:pos="850"/>
          <w:tab w:val="right" w:leader="dot" w:pos="7654"/>
          <w:tab w:val="right" w:pos="8929"/>
          <w:tab w:val="right" w:pos="9638"/>
        </w:tabs>
        <w:spacing w:after="100"/>
        <w:ind w:left="1134" w:hanging="1134"/>
      </w:pPr>
      <w:r w:rsidRPr="002860EE">
        <w:tab/>
        <w:t>VI.</w:t>
      </w:r>
      <w:r w:rsidRPr="008E25AC">
        <w:tab/>
        <w:t>Rapports des groupes de travail informels (point 5 de l’ordre du jour)</w:t>
      </w:r>
      <w:r w:rsidRPr="008E25AC">
        <w:tab/>
      </w:r>
      <w:r w:rsidRPr="008E25AC">
        <w:tab/>
        <w:t>68−77</w:t>
      </w:r>
      <w:r w:rsidRPr="008E25AC">
        <w:tab/>
      </w:r>
      <w:r w:rsidR="00F76823">
        <w:t>14</w:t>
      </w:r>
    </w:p>
    <w:p w:rsidR="001056D9" w:rsidRPr="002860EE" w:rsidRDefault="001056D9" w:rsidP="001056D9">
      <w:pPr>
        <w:tabs>
          <w:tab w:val="right" w:leader="dot" w:pos="7654"/>
          <w:tab w:val="right" w:pos="8929"/>
          <w:tab w:val="right" w:pos="9638"/>
        </w:tabs>
        <w:spacing w:after="100"/>
        <w:ind w:left="1559" w:hanging="425"/>
      </w:pPr>
      <w:r w:rsidRPr="008E25AC">
        <w:t>A.</w:t>
      </w:r>
      <w:r w:rsidRPr="008E25AC">
        <w:tab/>
        <w:t>Groupe de travail informel des cuves à membrane</w:t>
      </w:r>
      <w:r w:rsidRPr="002860EE">
        <w:tab/>
      </w:r>
      <w:r w:rsidRPr="002860EE">
        <w:tab/>
        <w:t>68−69</w:t>
      </w:r>
      <w:r w:rsidRPr="002860EE">
        <w:tab/>
      </w:r>
      <w:r w:rsidR="00F76823">
        <w:t>14</w:t>
      </w:r>
    </w:p>
    <w:p w:rsidR="001056D9" w:rsidRPr="002860EE" w:rsidRDefault="001056D9" w:rsidP="001056D9">
      <w:pPr>
        <w:tabs>
          <w:tab w:val="right" w:leader="dot" w:pos="7654"/>
          <w:tab w:val="right" w:pos="8929"/>
          <w:tab w:val="right" w:pos="9638"/>
        </w:tabs>
        <w:spacing w:after="100"/>
        <w:ind w:left="1559" w:hanging="425"/>
      </w:pPr>
      <w:r w:rsidRPr="002860EE">
        <w:t>B.</w:t>
      </w:r>
      <w:r w:rsidRPr="002860EE">
        <w:tab/>
      </w:r>
      <w:r w:rsidRPr="00AF10DB">
        <w:t xml:space="preserve">Deuxième réunion du groupe de travail informel du mélange </w:t>
      </w:r>
      <w:r w:rsidRPr="00AF10DB">
        <w:br/>
        <w:t>de cargaisons</w:t>
      </w:r>
      <w:r w:rsidRPr="002860EE">
        <w:tab/>
      </w:r>
      <w:r w:rsidRPr="002860EE">
        <w:tab/>
        <w:t>71−73</w:t>
      </w:r>
      <w:r w:rsidRPr="002860EE">
        <w:tab/>
      </w:r>
      <w:r w:rsidR="00F76823">
        <w:t>15</w:t>
      </w:r>
    </w:p>
    <w:p w:rsidR="001056D9" w:rsidRPr="002860EE" w:rsidRDefault="001056D9" w:rsidP="001056D9">
      <w:pPr>
        <w:tabs>
          <w:tab w:val="right" w:leader="dot" w:pos="7654"/>
          <w:tab w:val="right" w:pos="8929"/>
          <w:tab w:val="right" w:pos="9638"/>
        </w:tabs>
        <w:spacing w:after="100"/>
        <w:ind w:left="1559" w:hanging="425"/>
      </w:pPr>
      <w:r w:rsidRPr="002860EE">
        <w:t>C.</w:t>
      </w:r>
      <w:r w:rsidRPr="002860EE">
        <w:tab/>
      </w:r>
      <w:r w:rsidRPr="00AF10DB">
        <w:t>Groupe de travail informel des matières</w:t>
      </w:r>
      <w:r w:rsidRPr="002860EE">
        <w:tab/>
      </w:r>
      <w:r w:rsidRPr="002860EE">
        <w:tab/>
        <w:t>74-77</w:t>
      </w:r>
      <w:r w:rsidRPr="002860EE">
        <w:tab/>
      </w:r>
      <w:r w:rsidR="00F76823">
        <w:t>15</w:t>
      </w:r>
    </w:p>
    <w:p w:rsidR="001056D9" w:rsidRPr="002860EE" w:rsidRDefault="001056D9" w:rsidP="001056D9">
      <w:pPr>
        <w:tabs>
          <w:tab w:val="right" w:pos="850"/>
          <w:tab w:val="right" w:leader="dot" w:pos="7654"/>
          <w:tab w:val="right" w:pos="8929"/>
          <w:tab w:val="right" w:pos="9638"/>
        </w:tabs>
        <w:spacing w:after="100"/>
        <w:ind w:left="1134" w:hanging="1134"/>
      </w:pPr>
      <w:r w:rsidRPr="002860EE">
        <w:tab/>
        <w:t>VII.</w:t>
      </w:r>
      <w:r w:rsidRPr="002860EE">
        <w:tab/>
      </w:r>
      <w:r w:rsidRPr="00AF10DB">
        <w:t xml:space="preserve">Programme de travail et calendrier des réunions </w:t>
      </w:r>
      <w:r w:rsidRPr="00AF10DB">
        <w:br/>
        <w:t>(point 6 de l’ordre du jour)</w:t>
      </w:r>
      <w:r w:rsidRPr="002860EE">
        <w:tab/>
      </w:r>
      <w:r w:rsidRPr="002860EE">
        <w:tab/>
        <w:t>78−79</w:t>
      </w:r>
      <w:r w:rsidRPr="002860EE">
        <w:tab/>
      </w:r>
      <w:r w:rsidR="00F76823">
        <w:t>16</w:t>
      </w:r>
    </w:p>
    <w:p w:rsidR="001056D9" w:rsidRPr="00AF10DB" w:rsidRDefault="001056D9" w:rsidP="001056D9">
      <w:pPr>
        <w:tabs>
          <w:tab w:val="right" w:pos="850"/>
          <w:tab w:val="right" w:leader="dot" w:pos="7654"/>
          <w:tab w:val="right" w:pos="8929"/>
          <w:tab w:val="right" w:pos="9638"/>
        </w:tabs>
        <w:spacing w:after="100"/>
        <w:ind w:left="1134" w:hanging="1134"/>
      </w:pPr>
      <w:r w:rsidRPr="002860EE">
        <w:tab/>
      </w:r>
      <w:r w:rsidRPr="00AF10DB">
        <w:t>VIII.</w:t>
      </w:r>
      <w:r w:rsidRPr="00AF10DB">
        <w:tab/>
        <w:t>Questions diverses (point 7 de l’ordre du jour)</w:t>
      </w:r>
      <w:r w:rsidRPr="00AF10DB">
        <w:tab/>
      </w:r>
      <w:r w:rsidRPr="00AF10DB">
        <w:tab/>
        <w:t>80−82</w:t>
      </w:r>
      <w:r w:rsidRPr="00AF10DB">
        <w:tab/>
      </w:r>
      <w:r w:rsidR="00F76823">
        <w:t>16</w:t>
      </w:r>
    </w:p>
    <w:p w:rsidR="001056D9" w:rsidRPr="00AF10DB" w:rsidRDefault="001056D9" w:rsidP="001056D9">
      <w:pPr>
        <w:tabs>
          <w:tab w:val="right" w:leader="dot" w:pos="7654"/>
          <w:tab w:val="right" w:pos="8929"/>
          <w:tab w:val="right" w:pos="9638"/>
        </w:tabs>
        <w:spacing w:after="100"/>
        <w:ind w:left="1559" w:hanging="425"/>
      </w:pPr>
      <w:r w:rsidRPr="00AF10DB">
        <w:t>A.</w:t>
      </w:r>
      <w:r w:rsidRPr="00AF10DB">
        <w:tab/>
        <w:t xml:space="preserve">Meilleures pratiques en matière de prélèvement d’échantillons </w:t>
      </w:r>
      <w:r w:rsidRPr="00AF10DB">
        <w:br/>
        <w:t>sur les barges</w:t>
      </w:r>
      <w:r w:rsidRPr="00AF10DB">
        <w:tab/>
      </w:r>
      <w:r w:rsidRPr="00AF10DB">
        <w:tab/>
        <w:t>80</w:t>
      </w:r>
      <w:r w:rsidRPr="00AF10DB">
        <w:tab/>
      </w:r>
      <w:r w:rsidR="00F76823">
        <w:t>16</w:t>
      </w:r>
    </w:p>
    <w:p w:rsidR="001056D9" w:rsidRPr="002860EE" w:rsidRDefault="001056D9" w:rsidP="001056D9">
      <w:pPr>
        <w:tabs>
          <w:tab w:val="right" w:leader="dot" w:pos="7654"/>
          <w:tab w:val="right" w:pos="8929"/>
          <w:tab w:val="right" w:pos="9638"/>
        </w:tabs>
        <w:spacing w:after="100"/>
        <w:ind w:left="1559" w:hanging="425"/>
      </w:pPr>
      <w:r w:rsidRPr="00AF10DB">
        <w:t>B.</w:t>
      </w:r>
      <w:r w:rsidRPr="00AF10DB">
        <w:tab/>
        <w:t>Hommages</w:t>
      </w:r>
      <w:r w:rsidRPr="002860EE">
        <w:tab/>
      </w:r>
      <w:r w:rsidRPr="002860EE">
        <w:tab/>
        <w:t>81−82</w:t>
      </w:r>
      <w:r w:rsidRPr="002860EE">
        <w:tab/>
      </w:r>
      <w:r w:rsidR="00F76823">
        <w:t>16</w:t>
      </w:r>
    </w:p>
    <w:p w:rsidR="001056D9" w:rsidRPr="002860EE" w:rsidRDefault="0017397D" w:rsidP="001056D9">
      <w:pPr>
        <w:tabs>
          <w:tab w:val="right" w:pos="850"/>
          <w:tab w:val="right" w:leader="dot" w:pos="7654"/>
          <w:tab w:val="right" w:pos="8929"/>
          <w:tab w:val="right" w:pos="9638"/>
        </w:tabs>
        <w:spacing w:after="100"/>
        <w:ind w:left="1134" w:hanging="1134"/>
      </w:pPr>
      <w:r>
        <w:tab/>
      </w:r>
      <w:r w:rsidR="001056D9" w:rsidRPr="002860EE">
        <w:t>IX.</w:t>
      </w:r>
      <w:r w:rsidR="001056D9" w:rsidRPr="002860EE">
        <w:tab/>
      </w:r>
      <w:r w:rsidR="001056D9" w:rsidRPr="00AF10DB">
        <w:t>Adoption du rapport (point 8 de l’ordre du jour)</w:t>
      </w:r>
      <w:r w:rsidR="001056D9" w:rsidRPr="002860EE">
        <w:tab/>
      </w:r>
      <w:r w:rsidR="001056D9" w:rsidRPr="002860EE">
        <w:tab/>
        <w:t>83</w:t>
      </w:r>
      <w:r w:rsidR="001056D9" w:rsidRPr="002860EE">
        <w:tab/>
      </w:r>
      <w:r w:rsidR="00F76823">
        <w:t>17</w:t>
      </w:r>
    </w:p>
    <w:p w:rsidR="001056D9" w:rsidRPr="002860EE" w:rsidRDefault="001056D9" w:rsidP="001056D9">
      <w:pPr>
        <w:tabs>
          <w:tab w:val="right" w:pos="850"/>
        </w:tabs>
        <w:spacing w:after="100"/>
      </w:pPr>
      <w:r w:rsidRPr="002860EE">
        <w:tab/>
        <w:t>Annexes</w:t>
      </w:r>
    </w:p>
    <w:p w:rsidR="001056D9" w:rsidRPr="002860EE" w:rsidRDefault="001056D9" w:rsidP="001056D9">
      <w:pPr>
        <w:tabs>
          <w:tab w:val="right" w:pos="850"/>
          <w:tab w:val="right" w:leader="dot" w:pos="8929"/>
          <w:tab w:val="right" w:pos="9638"/>
        </w:tabs>
        <w:spacing w:after="100"/>
        <w:ind w:left="1134" w:hanging="1134"/>
      </w:pPr>
      <w:r w:rsidRPr="002860EE">
        <w:tab/>
        <w:t>I.</w:t>
      </w:r>
      <w:r w:rsidRPr="002860EE">
        <w:tab/>
      </w:r>
      <w:r w:rsidRPr="005F6314">
        <w:rPr>
          <w:lang w:val="fr-FR"/>
        </w:rPr>
        <w:t>Projet d</w:t>
      </w:r>
      <w:r>
        <w:rPr>
          <w:lang w:val="fr-FR"/>
        </w:rPr>
        <w:t>’</w:t>
      </w:r>
      <w:r w:rsidRPr="005F6314">
        <w:rPr>
          <w:lang w:val="fr-FR"/>
        </w:rPr>
        <w:t>amendements au Règlement annexé à l</w:t>
      </w:r>
      <w:r>
        <w:rPr>
          <w:lang w:val="fr-FR"/>
        </w:rPr>
        <w:t>’</w:t>
      </w:r>
      <w:r w:rsidRPr="005F6314">
        <w:rPr>
          <w:lang w:val="fr-FR"/>
        </w:rPr>
        <w:t>ADN</w:t>
      </w:r>
      <w:r>
        <w:rPr>
          <w:lang w:val="fr-FR"/>
        </w:rPr>
        <w:t xml:space="preserve"> </w:t>
      </w:r>
      <w:r w:rsidRPr="005F6314">
        <w:rPr>
          <w:lang w:val="fr-FR"/>
        </w:rPr>
        <w:t xml:space="preserve">pour </w:t>
      </w:r>
      <w:proofErr w:type="spellStart"/>
      <w:r w:rsidRPr="005F6314">
        <w:rPr>
          <w:lang w:val="fr-FR"/>
        </w:rPr>
        <w:t>entrée</w:t>
      </w:r>
      <w:proofErr w:type="spellEnd"/>
      <w:r w:rsidRPr="005F6314">
        <w:rPr>
          <w:lang w:val="fr-FR"/>
        </w:rPr>
        <w:t xml:space="preserve"> en vigueur le 1</w:t>
      </w:r>
      <w:r w:rsidRPr="005F6314">
        <w:rPr>
          <w:vertAlign w:val="superscript"/>
          <w:lang w:val="fr-FR"/>
        </w:rPr>
        <w:t>er</w:t>
      </w:r>
      <w:r w:rsidRPr="005F6314">
        <w:rPr>
          <w:lang w:val="fr-FR"/>
        </w:rPr>
        <w:t xml:space="preserve"> janvier 2021</w:t>
      </w:r>
      <w:r w:rsidRPr="002860EE">
        <w:tab/>
      </w:r>
      <w:r w:rsidRPr="002860EE">
        <w:tab/>
      </w:r>
      <w:r w:rsidR="00F76823">
        <w:t>18</w:t>
      </w:r>
    </w:p>
    <w:p w:rsidR="001056D9" w:rsidRPr="002860EE" w:rsidRDefault="001056D9" w:rsidP="001056D9">
      <w:pPr>
        <w:tabs>
          <w:tab w:val="right" w:pos="850"/>
          <w:tab w:val="right" w:leader="dot" w:pos="8929"/>
          <w:tab w:val="right" w:pos="9638"/>
        </w:tabs>
        <w:spacing w:after="100"/>
        <w:ind w:left="1134" w:hanging="1134"/>
      </w:pPr>
      <w:r w:rsidRPr="002860EE">
        <w:tab/>
        <w:t>II.</w:t>
      </w:r>
      <w:r w:rsidRPr="002860EE">
        <w:tab/>
      </w:r>
      <w:r>
        <w:t xml:space="preserve">Projet d’amendements au Règlement annexé à l’ADN pour </w:t>
      </w:r>
      <w:proofErr w:type="spellStart"/>
      <w:r>
        <w:t>entrée</w:t>
      </w:r>
      <w:proofErr w:type="spellEnd"/>
      <w:r>
        <w:t xml:space="preserve"> en vigueur le 1</w:t>
      </w:r>
      <w:r w:rsidRPr="00B71EB8">
        <w:rPr>
          <w:vertAlign w:val="superscript"/>
        </w:rPr>
        <w:t>er</w:t>
      </w:r>
      <w:r>
        <w:t> janvier 2019</w:t>
      </w:r>
      <w:r w:rsidRPr="002860EE">
        <w:tab/>
      </w:r>
      <w:r w:rsidRPr="002860EE">
        <w:tab/>
      </w:r>
      <w:r w:rsidR="00F76823">
        <w:t>23</w:t>
      </w:r>
    </w:p>
    <w:p w:rsidR="001056D9" w:rsidRPr="002860EE" w:rsidRDefault="001056D9" w:rsidP="001056D9">
      <w:pPr>
        <w:tabs>
          <w:tab w:val="right" w:pos="850"/>
          <w:tab w:val="right" w:leader="dot" w:pos="8929"/>
          <w:tab w:val="right" w:pos="9638"/>
        </w:tabs>
        <w:spacing w:after="100"/>
        <w:ind w:left="1134" w:hanging="1134"/>
      </w:pPr>
      <w:r w:rsidRPr="002860EE">
        <w:tab/>
        <w:t>III.</w:t>
      </w:r>
      <w:r w:rsidRPr="002860EE">
        <w:tab/>
      </w:r>
      <w:r>
        <w:t xml:space="preserve">Projet de rectificatif aux amendements au Règlement annexé à l’ADN pour </w:t>
      </w:r>
      <w:proofErr w:type="spellStart"/>
      <w:r>
        <w:t>entrée</w:t>
      </w:r>
      <w:proofErr w:type="spellEnd"/>
      <w:r>
        <w:t xml:space="preserve"> en vigueur </w:t>
      </w:r>
      <w:r>
        <w:br/>
        <w:t>le 1</w:t>
      </w:r>
      <w:r w:rsidRPr="00B71EB8">
        <w:rPr>
          <w:vertAlign w:val="superscript"/>
        </w:rPr>
        <w:t>er</w:t>
      </w:r>
      <w:r>
        <w:t> janvier 2019</w:t>
      </w:r>
      <w:r w:rsidR="001D5B33">
        <w:t xml:space="preserve"> </w:t>
      </w:r>
      <w:r w:rsidR="001D5B33" w:rsidRPr="003A2030">
        <w:rPr>
          <w:bCs/>
        </w:rPr>
        <w:t>(sous réserve d’acceptation par les Parties contractantes)</w:t>
      </w:r>
      <w:r w:rsidRPr="002860EE">
        <w:tab/>
      </w:r>
      <w:r w:rsidRPr="002860EE">
        <w:tab/>
      </w:r>
      <w:r w:rsidR="00F76823">
        <w:t>24</w:t>
      </w:r>
    </w:p>
    <w:p w:rsidR="001056D9" w:rsidRPr="002860EE" w:rsidRDefault="001056D9" w:rsidP="001056D9">
      <w:pPr>
        <w:tabs>
          <w:tab w:val="right" w:pos="850"/>
          <w:tab w:val="right" w:leader="dot" w:pos="8929"/>
          <w:tab w:val="right" w:pos="9638"/>
        </w:tabs>
        <w:spacing w:after="100"/>
        <w:ind w:left="1134" w:hanging="1134"/>
      </w:pPr>
      <w:r w:rsidRPr="002860EE">
        <w:tab/>
        <w:t>IV.</w:t>
      </w:r>
      <w:r w:rsidRPr="002860EE">
        <w:tab/>
      </w:r>
      <w:r w:rsidRPr="003A2030">
        <w:t xml:space="preserve">Propositions de corrections au Règlement annexé à l’ADN </w:t>
      </w:r>
      <w:r w:rsidRPr="003A2030">
        <w:rPr>
          <w:bCs/>
        </w:rPr>
        <w:t xml:space="preserve">(sous réserve d’acceptation </w:t>
      </w:r>
      <w:r>
        <w:rPr>
          <w:bCs/>
        </w:rPr>
        <w:br/>
      </w:r>
      <w:r w:rsidRPr="003A2030">
        <w:rPr>
          <w:bCs/>
        </w:rPr>
        <w:t>par les Parties contractantes)</w:t>
      </w:r>
      <w:r w:rsidRPr="002860EE">
        <w:tab/>
      </w:r>
      <w:r w:rsidRPr="002860EE">
        <w:tab/>
      </w:r>
      <w:r w:rsidR="00F76823">
        <w:t>25</w:t>
      </w:r>
    </w:p>
    <w:p w:rsidR="001056D9" w:rsidRPr="002860EE" w:rsidRDefault="001056D9" w:rsidP="001056D9">
      <w:pPr>
        <w:tabs>
          <w:tab w:val="right" w:pos="850"/>
          <w:tab w:val="right" w:leader="dot" w:pos="8929"/>
          <w:tab w:val="right" w:pos="9638"/>
        </w:tabs>
        <w:spacing w:after="120"/>
        <w:ind w:left="1134" w:hanging="1134"/>
      </w:pPr>
      <w:r w:rsidRPr="002860EE">
        <w:tab/>
        <w:t>V.</w:t>
      </w:r>
      <w:r w:rsidRPr="002860EE">
        <w:tab/>
      </w:r>
      <w:r w:rsidRPr="003A2030">
        <w:t xml:space="preserve">Corrections au document ECE/TRANS/258 (publication ADN 2017) </w:t>
      </w:r>
      <w:r w:rsidRPr="003A2030">
        <w:br/>
        <w:t>(ne nécessitant pas l’acceptation par les Parties contractantes)</w:t>
      </w:r>
      <w:r w:rsidRPr="002860EE">
        <w:tab/>
      </w:r>
      <w:r w:rsidRPr="002860EE">
        <w:tab/>
      </w:r>
      <w:r w:rsidR="00F76823">
        <w:t>26</w:t>
      </w:r>
    </w:p>
    <w:p w:rsidR="005B4102" w:rsidRDefault="00555C62" w:rsidP="00343F05">
      <w:pPr>
        <w:pStyle w:val="HChG"/>
      </w:pPr>
      <w:r>
        <w:br w:type="page"/>
      </w:r>
      <w:r w:rsidR="00343F05">
        <w:lastRenderedPageBreak/>
        <w:tab/>
      </w:r>
      <w:r w:rsidR="005B4102">
        <w:t>I.</w:t>
      </w:r>
      <w:r w:rsidR="005B4102">
        <w:tab/>
        <w:t>Participation</w:t>
      </w:r>
    </w:p>
    <w:p w:rsidR="005B4102" w:rsidRDefault="005B4102" w:rsidP="00343F05">
      <w:pPr>
        <w:pStyle w:val="SingleTxtG"/>
      </w:pPr>
      <w:r>
        <w:t>1.</w:t>
      </w:r>
      <w:r>
        <w:tab/>
        <w:t xml:space="preserve">La Réunion commune </w:t>
      </w:r>
      <w:r w:rsidRPr="00592D08">
        <w:t>d</w:t>
      </w:r>
      <w:r>
        <w:t>’</w:t>
      </w:r>
      <w:r w:rsidRPr="00592D08">
        <w:t>experts sur le Règlement annexé à l</w:t>
      </w:r>
      <w:r>
        <w:t>’</w:t>
      </w:r>
      <w:r w:rsidRPr="00592D08">
        <w:t>Accord européen relatif au transport international des marchandises dangereuses par voies de navigation intérieures (ADN) (Comité de sécurité de l</w:t>
      </w:r>
      <w:r>
        <w:t>’</w:t>
      </w:r>
      <w:r w:rsidRPr="00592D08">
        <w:t>ADN)</w:t>
      </w:r>
      <w:r>
        <w:t xml:space="preserve"> a tenu sa trente-troisième session à Genève du 27 au 31</w:t>
      </w:r>
      <w:r w:rsidR="00816C48">
        <w:t> </w:t>
      </w:r>
      <w:r>
        <w:t>août 2018.</w:t>
      </w:r>
    </w:p>
    <w:p w:rsidR="005B4102" w:rsidRDefault="005B4102" w:rsidP="00343F05">
      <w:pPr>
        <w:pStyle w:val="SingleTxtG"/>
      </w:pPr>
      <w:r>
        <w:t>2.</w:t>
      </w:r>
      <w:r>
        <w:tab/>
        <w:t>Des représentants des pays suivants ont pris part aux travaux de cette session : Allemagne, Autriche, Belgique, Croatie, Fédération de Russie, France, Luxembourg, Pays</w:t>
      </w:r>
      <w:r w:rsidR="00534447">
        <w:noBreakHyphen/>
      </w:r>
      <w:r>
        <w:t xml:space="preserve">Bas, République tchèque, Roumanie, Serbie, Slovaquie et Suisse. </w:t>
      </w:r>
    </w:p>
    <w:p w:rsidR="005B4102" w:rsidRDefault="005B4102" w:rsidP="00343F05">
      <w:pPr>
        <w:pStyle w:val="SingleTxtG"/>
      </w:pPr>
      <w:r>
        <w:t>3.</w:t>
      </w:r>
      <w:r>
        <w:tab/>
        <w:t>Étaient représentées les organisations intergouvernementales ci-après : Commission centrale pour la navigation du Rhin (CCNR), Commission du Danube et Union européenne.</w:t>
      </w:r>
    </w:p>
    <w:p w:rsidR="005B4102" w:rsidRDefault="005B4102" w:rsidP="00343F05">
      <w:pPr>
        <w:pStyle w:val="SingleTxtG"/>
      </w:pPr>
      <w:r>
        <w:t>4.</w:t>
      </w:r>
      <w:r>
        <w:tab/>
        <w:t>Les organisations non gouvernementales suivantes étaient aussi représentées : Comité international de prévention des accidents du travail de la navigation intérieure (CIPA</w:t>
      </w:r>
      <w:r w:rsidR="00F47DA2">
        <w:t>)</w:t>
      </w:r>
      <w:r>
        <w:t xml:space="preserve">, Conseil européen de l’industrie chimique (CEFIC), </w:t>
      </w:r>
      <w:proofErr w:type="spellStart"/>
      <w:r w:rsidRPr="009236E9">
        <w:t>European</w:t>
      </w:r>
      <w:proofErr w:type="spellEnd"/>
      <w:r w:rsidRPr="009236E9">
        <w:t xml:space="preserve"> Bulk </w:t>
      </w:r>
      <w:proofErr w:type="spellStart"/>
      <w:r w:rsidRPr="009236E9">
        <w:t>Oil</w:t>
      </w:r>
      <w:proofErr w:type="spellEnd"/>
      <w:r w:rsidRPr="009236E9">
        <w:t xml:space="preserve"> Traders</w:t>
      </w:r>
      <w:r>
        <w:t>’</w:t>
      </w:r>
      <w:r w:rsidRPr="009236E9">
        <w:t xml:space="preserve"> Association (EBOTA)</w:t>
      </w:r>
      <w:r>
        <w:t xml:space="preserve">, </w:t>
      </w:r>
      <w:proofErr w:type="spellStart"/>
      <w:r w:rsidRPr="009236E9">
        <w:t>Federation</w:t>
      </w:r>
      <w:proofErr w:type="spellEnd"/>
      <w:r w:rsidRPr="009236E9">
        <w:t xml:space="preserve"> of </w:t>
      </w:r>
      <w:proofErr w:type="spellStart"/>
      <w:r w:rsidRPr="009236E9">
        <w:t>European</w:t>
      </w:r>
      <w:proofErr w:type="spellEnd"/>
      <w:r w:rsidRPr="009236E9">
        <w:t xml:space="preserve"> T</w:t>
      </w:r>
      <w:r>
        <w:t xml:space="preserve">ank Storage Associations (FETSA), </w:t>
      </w:r>
      <w:proofErr w:type="spellStart"/>
      <w:r>
        <w:t>FuelsEurope</w:t>
      </w:r>
      <w:proofErr w:type="spellEnd"/>
      <w:r>
        <w:t xml:space="preserve">, Organisation européenne des bateliers (OEB), sociétés de classification recommandées ADN et Union européenne de la navigation fluviale (UENF). </w:t>
      </w:r>
    </w:p>
    <w:p w:rsidR="005B4102" w:rsidRDefault="00343F05" w:rsidP="00343F05">
      <w:pPr>
        <w:pStyle w:val="HChG"/>
      </w:pPr>
      <w:r>
        <w:tab/>
      </w:r>
      <w:r w:rsidR="005B4102">
        <w:t>II.</w:t>
      </w:r>
      <w:r w:rsidR="005B4102">
        <w:tab/>
        <w:t>Adoption de l’ordre du jour (point 1 de l’ordre du jour)</w:t>
      </w:r>
    </w:p>
    <w:p w:rsidR="005B4102" w:rsidRDefault="005B4102" w:rsidP="00AD3BCC">
      <w:pPr>
        <w:pStyle w:val="SingleTxtG"/>
        <w:ind w:left="3402" w:hanging="2268"/>
      </w:pPr>
      <w:r>
        <w:rPr>
          <w:i/>
        </w:rPr>
        <w:t>Document</w:t>
      </w:r>
      <w:r w:rsidR="00137E35">
        <w:rPr>
          <w:i/>
        </w:rPr>
        <w:t>s</w:t>
      </w:r>
      <w:r>
        <w:rPr>
          <w:i/>
        </w:rPr>
        <w:t> </w:t>
      </w:r>
      <w:r>
        <w:t>:</w:t>
      </w:r>
      <w:r>
        <w:tab/>
      </w:r>
      <w:r>
        <w:tab/>
      </w:r>
      <w:r w:rsidRPr="009236E9">
        <w:t xml:space="preserve">ECE/TRANS/WP.15/AC.2/67 </w:t>
      </w:r>
      <w:r>
        <w:t>et</w:t>
      </w:r>
      <w:r w:rsidRPr="009236E9">
        <w:t xml:space="preserve"> Add.1</w:t>
      </w:r>
      <w:r>
        <w:t>.</w:t>
      </w:r>
    </w:p>
    <w:p w:rsidR="005B4102" w:rsidRDefault="005B4102" w:rsidP="00343F05">
      <w:pPr>
        <w:pStyle w:val="SingleTxtG"/>
      </w:pPr>
      <w:r>
        <w:rPr>
          <w:i/>
        </w:rPr>
        <w:t>Document</w:t>
      </w:r>
      <w:r w:rsidR="00137E35">
        <w:rPr>
          <w:i/>
        </w:rPr>
        <w:t>s</w:t>
      </w:r>
      <w:r>
        <w:rPr>
          <w:i/>
        </w:rPr>
        <w:t xml:space="preserve"> informel</w:t>
      </w:r>
      <w:r w:rsidR="00137E35">
        <w:rPr>
          <w:i/>
        </w:rPr>
        <w:t>s</w:t>
      </w:r>
      <w:r>
        <w:rPr>
          <w:i/>
        </w:rPr>
        <w:t> </w:t>
      </w:r>
      <w:r>
        <w:t>:</w:t>
      </w:r>
      <w:r>
        <w:tab/>
      </w:r>
      <w:r w:rsidRPr="009236E9">
        <w:t xml:space="preserve">INF.1 </w:t>
      </w:r>
      <w:r>
        <w:t>et INF.10 (secré</w:t>
      </w:r>
      <w:r w:rsidRPr="009236E9">
        <w:t>tariat)</w:t>
      </w:r>
      <w:r>
        <w:t>.</w:t>
      </w:r>
    </w:p>
    <w:p w:rsidR="005B4102" w:rsidRDefault="005B4102" w:rsidP="00343F05">
      <w:pPr>
        <w:pStyle w:val="SingleTxtG"/>
      </w:pPr>
      <w:r>
        <w:t>5.</w:t>
      </w:r>
      <w:r>
        <w:tab/>
        <w:t xml:space="preserve">Le Comité de sécurité a adopté l’ordre du jour établi par le secrétariat, tel que modifié par le document informel INF.1 pour tenir compte des documents informels INF.1 à INF.26. </w:t>
      </w:r>
    </w:p>
    <w:p w:rsidR="005B4102" w:rsidRDefault="00FA01F8" w:rsidP="00FA01F8">
      <w:pPr>
        <w:pStyle w:val="HChG"/>
      </w:pPr>
      <w:r>
        <w:tab/>
      </w:r>
      <w:r w:rsidR="005B4102">
        <w:t>III.</w:t>
      </w:r>
      <w:r w:rsidR="005B4102">
        <w:tab/>
        <w:t>Questions découlant des travaux d’organes des Nations</w:t>
      </w:r>
      <w:r>
        <w:t> </w:t>
      </w:r>
      <w:r w:rsidR="005B4102">
        <w:t>Unies ou d’autres organisations (point 2 de l’ordre du jour)</w:t>
      </w:r>
    </w:p>
    <w:p w:rsidR="005B4102" w:rsidRDefault="00FA01F8" w:rsidP="00FA01F8">
      <w:pPr>
        <w:pStyle w:val="H1G"/>
      </w:pPr>
      <w:r>
        <w:tab/>
      </w:r>
      <w:r w:rsidR="005B4102">
        <w:t>A.</w:t>
      </w:r>
      <w:r w:rsidR="005B4102">
        <w:tab/>
        <w:t>Stratégie de l’Union européenne pour la région du Danube (EUSDR) : travaux dans les domaines prioritaires 1A et 11</w:t>
      </w:r>
    </w:p>
    <w:p w:rsidR="005B4102" w:rsidRDefault="005B4102" w:rsidP="00AD3BCC">
      <w:pPr>
        <w:pStyle w:val="SingleTxtG"/>
        <w:ind w:left="3402" w:hanging="2268"/>
      </w:pPr>
      <w:r>
        <w:rPr>
          <w:i/>
        </w:rPr>
        <w:t>Document informel </w:t>
      </w:r>
      <w:r>
        <w:t>:</w:t>
      </w:r>
      <w:r>
        <w:tab/>
      </w:r>
      <w:r>
        <w:tab/>
        <w:t>INF.14 (Commission du Danube).</w:t>
      </w:r>
    </w:p>
    <w:p w:rsidR="005B4102" w:rsidRDefault="005B4102" w:rsidP="00343F05">
      <w:pPr>
        <w:pStyle w:val="SingleTxtG"/>
      </w:pPr>
      <w:r>
        <w:t>6.</w:t>
      </w:r>
      <w:r>
        <w:tab/>
        <w:t>Le Comité de sécurité a félicité la Commission du Danube à l’occasion du soixante</w:t>
      </w:r>
      <w:r w:rsidR="00554480">
        <w:noBreakHyphen/>
      </w:r>
      <w:r>
        <w:t>dixième anniversaire de sa création.</w:t>
      </w:r>
    </w:p>
    <w:p w:rsidR="005B4102" w:rsidRDefault="005B4102" w:rsidP="00343F05">
      <w:pPr>
        <w:pStyle w:val="SingleTxtG"/>
      </w:pPr>
      <w:r>
        <w:t>7.</w:t>
      </w:r>
      <w:r>
        <w:tab/>
        <w:t>Le Comité de sécurité a pris note des informations sur les activités en cours et futures du groupe de travail conjoint des domaines prioritaires 1A (mobilité des voies navigables) et 11 (sécurité) œuvrant dans le cadre de la Stratégie de l’Union européenne pour la région du Danube (notamment en ce qui concerne l’échange de données électroniques et l’adoption de formulaires types pour la navigation sur le Danube). Il a également noté que le groupe de travail conjoint avait pour objectifs la simplification, l’harmonisation et la numérisation des procédures afin d’améliorer les contrôles aux frontières le long du Danube et d’éviter les contrôles redondants.</w:t>
      </w:r>
    </w:p>
    <w:p w:rsidR="005B4102" w:rsidRDefault="005B4102" w:rsidP="00343F05">
      <w:pPr>
        <w:pStyle w:val="SingleTxtG"/>
        <w:rPr>
          <w:b/>
        </w:rPr>
      </w:pPr>
      <w:r>
        <w:t>8.</w:t>
      </w:r>
      <w:r>
        <w:tab/>
        <w:t>Le représentant de la Commission du Danube a informé le Comité de sécurité de l’organisation d’un atelier transnational au printemps 2019, auquel devraient participer des experts et des représentants des autorités compétentes de plusie</w:t>
      </w:r>
      <w:r w:rsidR="00C82AD0">
        <w:t>urs pays de la région du Danube.</w:t>
      </w:r>
    </w:p>
    <w:p w:rsidR="005B4102" w:rsidRDefault="005B4102" w:rsidP="00AB5D99">
      <w:pPr>
        <w:pStyle w:val="SingleTxtG"/>
        <w:keepLines/>
      </w:pPr>
      <w:r w:rsidRPr="006E7764">
        <w:t>9.</w:t>
      </w:r>
      <w:r>
        <w:tab/>
        <w:t>Notant que ces activités visaient à faciliter la formation et l’échange de savoir-faire à l’échelon transnational et à améliorer la compréhension mutuelle entre les autorités de contrôle sur les questions de navigation intérieure (notamment dans le domaine du transport de marchandises dangereuses), le Comité de sécurité a demandé instamment à la Commission du Danube de tenir compte des prescriptions de l’ADN (en ce qui concerne les contrôles, les certificats requis, etc.) dans toutes les discussions pertinentes.</w:t>
      </w:r>
    </w:p>
    <w:p w:rsidR="005B4102" w:rsidRDefault="005B4102" w:rsidP="00343F05">
      <w:pPr>
        <w:pStyle w:val="SingleTxtG"/>
      </w:pPr>
      <w:r>
        <w:lastRenderedPageBreak/>
        <w:t>10.</w:t>
      </w:r>
      <w:r>
        <w:tab/>
        <w:t>Le Comité de sécurité a invité le représentant de la Commission du Danube à continuer de le tenir informé des progrès accomplis dans ces domaines.</w:t>
      </w:r>
    </w:p>
    <w:p w:rsidR="005B4102" w:rsidRDefault="00554480" w:rsidP="00554480">
      <w:pPr>
        <w:pStyle w:val="H1G"/>
      </w:pPr>
      <w:r>
        <w:tab/>
      </w:r>
      <w:r w:rsidR="005B4102">
        <w:t>B.</w:t>
      </w:r>
      <w:r w:rsidR="005B4102">
        <w:tab/>
        <w:t>Travaux du Comité des transports intérieurs</w:t>
      </w:r>
    </w:p>
    <w:p w:rsidR="005B4102" w:rsidRDefault="005B4102" w:rsidP="00816C48">
      <w:pPr>
        <w:pStyle w:val="SingleTxtG"/>
      </w:pPr>
      <w:r>
        <w:t>11.</w:t>
      </w:r>
      <w:r>
        <w:tab/>
        <w:t xml:space="preserve">Le Comité de sécurité a noté que la liste des principales décisions prises par le Comité des transports intérieurs (CTI) à sa quatre-vingtième session, telle que reproduite dans le document informel INF.13, figurait sur le site Web de la CEE, et que le rapport de la session était disponible en anglais, en français et en russe sous les cotes </w:t>
      </w:r>
      <w:r w:rsidRPr="009236E9">
        <w:rPr>
          <w:rFonts w:eastAsia="SimSun"/>
          <w:lang w:eastAsia="zh-CN"/>
        </w:rPr>
        <w:t xml:space="preserve">ECE/TRANS/274 </w:t>
      </w:r>
      <w:r>
        <w:rPr>
          <w:rFonts w:eastAsia="SimSun"/>
          <w:lang w:eastAsia="zh-CN"/>
        </w:rPr>
        <w:t>et</w:t>
      </w:r>
      <w:r w:rsidRPr="009236E9">
        <w:rPr>
          <w:rFonts w:eastAsia="SimSun"/>
          <w:lang w:eastAsia="zh-CN"/>
        </w:rPr>
        <w:t xml:space="preserve"> Add.1</w:t>
      </w:r>
      <w:r>
        <w:rPr>
          <w:rFonts w:eastAsia="SimSun"/>
          <w:lang w:eastAsia="zh-CN"/>
        </w:rPr>
        <w:t>.</w:t>
      </w:r>
      <w:r>
        <w:t xml:space="preserve"> </w:t>
      </w:r>
    </w:p>
    <w:p w:rsidR="005B4102" w:rsidRDefault="005B4102" w:rsidP="00816C48">
      <w:pPr>
        <w:pStyle w:val="SingleTxtG"/>
      </w:pPr>
      <w:r>
        <w:t>12.</w:t>
      </w:r>
      <w:r>
        <w:tab/>
        <w:t>L’attention du Comité de sécurité a été appelée, en particulier, sur le fait que le CTI avait invité les groupes de travail à communiquer, après la clôture de leur session annuelle, des informations pertinentes qui seraient utilisées pour élaborer la stratégie et le plan de mise en œuvre, dont l’adoption définitive devrait intervenir à la session restreinte qui se tiendrait à la quatre-vingt-unième session annuelle du CTI, comme indiqué au paragraphe 17 du rapport du CTI sur sa quatre-vingtième session (ECE/TRANS/274). Le</w:t>
      </w:r>
      <w:r w:rsidR="00603328">
        <w:t> </w:t>
      </w:r>
      <w:r>
        <w:t>Comité de sécurité a noté que le document serait distribué par courrier électronique aux représentants de gouvernements participant au Comité et que la date limite de communication des observations était fixée au 30 septembre.</w:t>
      </w:r>
    </w:p>
    <w:p w:rsidR="005B4102" w:rsidRDefault="00554480" w:rsidP="00554480">
      <w:pPr>
        <w:pStyle w:val="HChG"/>
      </w:pPr>
      <w:r>
        <w:tab/>
      </w:r>
      <w:r w:rsidR="005B4102">
        <w:t>IV.</w:t>
      </w:r>
      <w:r w:rsidR="005B4102">
        <w:tab/>
        <w:t>Mise en œuvre de l’Accord européen relatif au transport international des marchandises dangereuses par voies de navigation intérieures (ADN) (point 3 de l’ordre du jour)</w:t>
      </w:r>
    </w:p>
    <w:p w:rsidR="005B4102" w:rsidRDefault="00A54295" w:rsidP="00A54295">
      <w:pPr>
        <w:pStyle w:val="H1G"/>
      </w:pPr>
      <w:r>
        <w:tab/>
      </w:r>
      <w:r w:rsidR="005B4102">
        <w:t>A.</w:t>
      </w:r>
      <w:r w:rsidR="005B4102">
        <w:tab/>
        <w:t>État de l’ADN</w:t>
      </w:r>
    </w:p>
    <w:p w:rsidR="005B4102" w:rsidRDefault="005B4102" w:rsidP="00816C48">
      <w:pPr>
        <w:pStyle w:val="SingleTxtG"/>
      </w:pPr>
      <w:r>
        <w:t>13.</w:t>
      </w:r>
      <w:r>
        <w:tab/>
        <w:t>Le Comité de sécurité a noté que l’Accord ne comptait pas de nouvelles Parties contractantes, dont le nombre s’élevait donc toujours à 18.</w:t>
      </w:r>
    </w:p>
    <w:p w:rsidR="005B4102" w:rsidRDefault="005B4102" w:rsidP="00816C48">
      <w:pPr>
        <w:pStyle w:val="SingleTxtG"/>
      </w:pPr>
      <w:r>
        <w:t>14.</w:t>
      </w:r>
      <w:r>
        <w:tab/>
        <w:t>Il a également été noté que les propositions d’amendements adoptées par le Comité d’administration à sa dernière session (ECE/ADN/45) avaient été communiquées aux Parties contractantes le 1</w:t>
      </w:r>
      <w:r w:rsidRPr="005D2E7F">
        <w:rPr>
          <w:vertAlign w:val="superscript"/>
        </w:rPr>
        <w:t>er</w:t>
      </w:r>
      <w:r>
        <w:t> juillet 2018 pour acceptation, sous couvert de la notification dépositaire C.N.</w:t>
      </w:r>
      <w:proofErr w:type="gramStart"/>
      <w:r>
        <w:t>297.2018.TREATIES</w:t>
      </w:r>
      <w:proofErr w:type="gramEnd"/>
      <w:r>
        <w:t>-XI-D-6. À moins qu’un nombre suffisant d’objections soient soumises avant le 1</w:t>
      </w:r>
      <w:r w:rsidRPr="00E44A4E">
        <w:rPr>
          <w:vertAlign w:val="superscript"/>
        </w:rPr>
        <w:t>er</w:t>
      </w:r>
      <w:r>
        <w:t xml:space="preserve"> octobre 2018, elles seront réputées acceptées pour </w:t>
      </w:r>
      <w:proofErr w:type="spellStart"/>
      <w:r>
        <w:t>entrée</w:t>
      </w:r>
      <w:proofErr w:type="spellEnd"/>
      <w:r>
        <w:t xml:space="preserve"> en vigueur au 1</w:t>
      </w:r>
      <w:r w:rsidRPr="00286EFF">
        <w:rPr>
          <w:vertAlign w:val="superscript"/>
        </w:rPr>
        <w:t>er</w:t>
      </w:r>
      <w:r>
        <w:t xml:space="preserve"> janvier 2019. </w:t>
      </w:r>
    </w:p>
    <w:p w:rsidR="005B4102" w:rsidRDefault="00A54295" w:rsidP="00A54295">
      <w:pPr>
        <w:pStyle w:val="H1G"/>
      </w:pPr>
      <w:r>
        <w:tab/>
      </w:r>
      <w:r w:rsidR="005B4102">
        <w:t>B.</w:t>
      </w:r>
      <w:r w:rsidR="005B4102">
        <w:tab/>
        <w:t>Autorisations spéciales, dérogations et équivalences</w:t>
      </w:r>
    </w:p>
    <w:p w:rsidR="005B4102" w:rsidRDefault="005B4102" w:rsidP="00816C48">
      <w:pPr>
        <w:pStyle w:val="SingleTxtG"/>
      </w:pPr>
      <w:r>
        <w:t>15.</w:t>
      </w:r>
      <w:r>
        <w:tab/>
        <w:t>Aucun document n’ayant été soumis au titre de ce point de l’ordre du jour, cette question n’a pas été abordée.</w:t>
      </w:r>
    </w:p>
    <w:p w:rsidR="005B4102" w:rsidRDefault="00A54295" w:rsidP="00A54295">
      <w:pPr>
        <w:pStyle w:val="H1G"/>
      </w:pPr>
      <w:r>
        <w:tab/>
      </w:r>
      <w:r w:rsidR="005B4102">
        <w:t>C.</w:t>
      </w:r>
      <w:r w:rsidR="005B4102">
        <w:tab/>
        <w:t>Interprétation du Règlement annexé à l’ADN</w:t>
      </w:r>
    </w:p>
    <w:p w:rsidR="005B4102" w:rsidRDefault="00A54295" w:rsidP="00A54295">
      <w:pPr>
        <w:pStyle w:val="H23G"/>
      </w:pPr>
      <w:r>
        <w:tab/>
      </w:r>
      <w:r w:rsidR="005B4102">
        <w:t>1.</w:t>
      </w:r>
      <w:r w:rsidR="005B4102">
        <w:tab/>
        <w:t>Installation d’extinction d’incendie à bord d’un convoi ou à bord d’une barge seule</w:t>
      </w:r>
    </w:p>
    <w:p w:rsidR="005B4102" w:rsidRDefault="005B4102" w:rsidP="00AD3BCC">
      <w:pPr>
        <w:pStyle w:val="SingleTxtG"/>
        <w:ind w:left="3402" w:hanging="2268"/>
      </w:pPr>
      <w:r>
        <w:rPr>
          <w:i/>
        </w:rPr>
        <w:t>Document </w:t>
      </w:r>
      <w:r>
        <w:t>:</w:t>
      </w:r>
      <w:r>
        <w:tab/>
      </w:r>
      <w:r>
        <w:tab/>
      </w:r>
      <w:r w:rsidRPr="009236E9">
        <w:t>ECE/TRANS/WP.15/AC.2/2018/33</w:t>
      </w:r>
      <w:r>
        <w:t xml:space="preserve"> </w:t>
      </w:r>
      <w:r w:rsidRPr="009236E9">
        <w:t>(France)</w:t>
      </w:r>
      <w:r w:rsidR="00AD3BCC">
        <w:t>.</w:t>
      </w:r>
    </w:p>
    <w:p w:rsidR="005B4102" w:rsidRDefault="005B4102" w:rsidP="00816C48">
      <w:pPr>
        <w:pStyle w:val="SingleTxtG"/>
      </w:pPr>
      <w:r>
        <w:t>16.</w:t>
      </w:r>
      <w:r>
        <w:tab/>
        <w:t>Les avis étaient partagés quant à l’applicabilité des prescriptions relatives aux installations d’extinction d’incendie visées au 9.3.x.40.1, lues conjointement avec les dispositions du 7.2.2.19.2 et du 7.2.2.19.3, aux barges-citernes non motorisées faisant partie d’un convoi poussé ou d’une formation à couple. Le Comité de sécurité a estimé qu’il convenait de trouver dès que possible une solution aux problèmes soulevés, vu que la disposition transitoire applicable au renouvellement des certificats d’agrément arriverait à expiration le 31 décembre 2018.</w:t>
      </w:r>
    </w:p>
    <w:p w:rsidR="005B4102" w:rsidRDefault="005B4102" w:rsidP="00816C48">
      <w:pPr>
        <w:pStyle w:val="SingleTxtG"/>
      </w:pPr>
      <w:r>
        <w:t>17.</w:t>
      </w:r>
      <w:r>
        <w:tab/>
        <w:t xml:space="preserve">À l’issue d’un échange de vues, le Président a estimé que le Comité de sécurité avait besoin d’informations plus détaillées pour pouvoir se mettre d’accord sur l’interprétation des dispositions. Il a exhorté les pays et les organisations non gouvernementales, en particulier </w:t>
      </w:r>
      <w:r>
        <w:lastRenderedPageBreak/>
        <w:t>les sociétés de classification recommandées ADN, à faire part au représentant de la France des pratiques en vigueur afin que ce dernier puisse élaborer un document plus détaillé pour la prochaine session. Ce document devrait, si possible, contenir une proposition d’interprétation consensuelle des dispositions ou une proposition de clarification visant à prévenir les divergences d’interprétation. Il a été suggéré que, si une solution ne pouvait être trouvée, un accord multilatéral soit envisagé afin d’éviter que des problèmes ne se posent dans la mise en œuvre des nouvelles dispositions.</w:t>
      </w:r>
    </w:p>
    <w:p w:rsidR="005B4102" w:rsidRDefault="00AB5D99" w:rsidP="00AB5D99">
      <w:pPr>
        <w:pStyle w:val="H23G"/>
      </w:pPr>
      <w:r>
        <w:tab/>
      </w:r>
      <w:r w:rsidR="005B4102">
        <w:t>2.</w:t>
      </w:r>
      <w:r w:rsidR="005B4102">
        <w:tab/>
        <w:t xml:space="preserve">Utilisation des numéros CAS (Chemical Abstracts Service) </w:t>
      </w:r>
      <w:r>
        <w:br/>
      </w:r>
      <w:r w:rsidR="005B4102">
        <w:t>ou CE pour la notification des marchandises dangereuses</w:t>
      </w:r>
    </w:p>
    <w:p w:rsidR="005B4102" w:rsidRDefault="005B4102" w:rsidP="00AB5D99">
      <w:pPr>
        <w:pStyle w:val="SingleTxtG"/>
        <w:ind w:left="3402" w:hanging="2268"/>
        <w:jc w:val="left"/>
      </w:pPr>
      <w:r>
        <w:rPr>
          <w:i/>
        </w:rPr>
        <w:t>Document</w:t>
      </w:r>
      <w:r w:rsidR="00137E35">
        <w:rPr>
          <w:i/>
        </w:rPr>
        <w:t>s</w:t>
      </w:r>
      <w:r>
        <w:rPr>
          <w:i/>
        </w:rPr>
        <w:t xml:space="preserve"> informel</w:t>
      </w:r>
      <w:r w:rsidR="00137E35">
        <w:rPr>
          <w:i/>
        </w:rPr>
        <w:t>s</w:t>
      </w:r>
      <w:r>
        <w:rPr>
          <w:i/>
        </w:rPr>
        <w:t> </w:t>
      </w:r>
      <w:r>
        <w:t>:</w:t>
      </w:r>
      <w:r>
        <w:tab/>
        <w:t>INF.5 (Autriche) ;</w:t>
      </w:r>
      <w:r w:rsidR="00AB5D99">
        <w:br/>
      </w:r>
      <w:r>
        <w:tab/>
        <w:t>INF.22 (CEFIC).</w:t>
      </w:r>
    </w:p>
    <w:p w:rsidR="005B4102" w:rsidRDefault="005B4102" w:rsidP="00816C48">
      <w:pPr>
        <w:pStyle w:val="SingleTxtG"/>
      </w:pPr>
      <w:r>
        <w:t>18.</w:t>
      </w:r>
      <w:r>
        <w:tab/>
        <w:t>Les participants n’ont pas appuyé la proposition du groupe d’experts de la notification électronique internationale (ERI) tendant à faire figurer dans le document de transport les numéros CAS (Chemical Abstracts Service) ou CE (Commission européenne). Le Comité de sécurité s’est rallié au point de vue exprimé dans le document informel du CEFIC et a estimé que l’introduction de ces numéros dans le document de transport n’apporterait rien par rapport aux informations déjà fournies par le numéro ONU, la désignation officielle de transport, la classe et la division des marchandises transportées, ainsi que par les étiquettes, plaques-étiquettes, marques, etc. prévues par les règlements concernant les transports.</w:t>
      </w:r>
    </w:p>
    <w:p w:rsidR="005B4102" w:rsidRDefault="00B04272" w:rsidP="00B04272">
      <w:pPr>
        <w:pStyle w:val="H23G"/>
      </w:pPr>
      <w:r>
        <w:tab/>
      </w:r>
      <w:r w:rsidR="005B4102">
        <w:t>3.</w:t>
      </w:r>
      <w:r w:rsidR="005B4102">
        <w:tab/>
        <w:t>Mesures relatives au dégazage</w:t>
      </w:r>
    </w:p>
    <w:p w:rsidR="005B4102" w:rsidRDefault="005B4102" w:rsidP="00AD3BCC">
      <w:pPr>
        <w:pStyle w:val="SingleTxtG"/>
        <w:ind w:left="3402" w:hanging="2268"/>
      </w:pPr>
      <w:r>
        <w:rPr>
          <w:i/>
        </w:rPr>
        <w:t>Document</w:t>
      </w:r>
      <w:r w:rsidR="00137E35">
        <w:rPr>
          <w:i/>
        </w:rPr>
        <w:t>s</w:t>
      </w:r>
      <w:r>
        <w:rPr>
          <w:i/>
        </w:rPr>
        <w:t xml:space="preserve"> informel</w:t>
      </w:r>
      <w:r w:rsidR="00137E35">
        <w:rPr>
          <w:i/>
        </w:rPr>
        <w:t>s</w:t>
      </w:r>
      <w:r>
        <w:rPr>
          <w:i/>
        </w:rPr>
        <w:t> </w:t>
      </w:r>
      <w:r>
        <w:t>:</w:t>
      </w:r>
      <w:r>
        <w:tab/>
      </w:r>
      <w:r>
        <w:tab/>
        <w:t>INF.6 et INF.26 (Autriche et Pays-Bas).</w:t>
      </w:r>
    </w:p>
    <w:p w:rsidR="005B4102" w:rsidRDefault="005B4102" w:rsidP="00816C48">
      <w:pPr>
        <w:pStyle w:val="SingleTxtG"/>
      </w:pPr>
      <w:r>
        <w:t>19.</w:t>
      </w:r>
      <w:r>
        <w:tab/>
        <w:t>Le Comité de sécurité a adopté l’amendement au second alinéa du 7.2.4.25.5 proposé dans le document informel INF.26 pour l’édition 2021 de l’ADN (voir l’annexe I). Afin de favoriser une interprétation uniforme du 7.2.4.25.5 b) dans l’édition 2019 de l’ADN, le Comité a pris la décision suivante :</w:t>
      </w:r>
    </w:p>
    <w:p w:rsidR="005B4102" w:rsidRDefault="005B4102" w:rsidP="00603328">
      <w:pPr>
        <w:pStyle w:val="SingleTxtG"/>
        <w:ind w:left="1701"/>
      </w:pPr>
      <w:r>
        <w:t xml:space="preserve">« S’agissant de l’interprétation de l’expression “ les résultats des mesures devant être consignés par écrit ”, qui figure à la fin du second alinéa du 7.2.4.25.5, tel qu’adopté pour </w:t>
      </w:r>
      <w:proofErr w:type="spellStart"/>
      <w:r>
        <w:t>entrée</w:t>
      </w:r>
      <w:proofErr w:type="spellEnd"/>
      <w:r>
        <w:t xml:space="preserve"> en vigueur au 1</w:t>
      </w:r>
      <w:r w:rsidRPr="00286EFF">
        <w:rPr>
          <w:vertAlign w:val="superscript"/>
        </w:rPr>
        <w:t>er</w:t>
      </w:r>
      <w:r>
        <w:t> janvier 2019 (voir le document ECE/ADN/45), le Comité de sécurité a confirmé que l’obligation de consigner les concentrations mesurées était applicable uniquement dans les cas suivants :</w:t>
      </w:r>
    </w:p>
    <w:p w:rsidR="005B4102" w:rsidRDefault="005B4102" w:rsidP="00603328">
      <w:pPr>
        <w:pStyle w:val="SingleTxtG"/>
        <w:ind w:left="1701" w:firstLine="567"/>
      </w:pPr>
      <w:r>
        <w:t>a)</w:t>
      </w:r>
      <w:r>
        <w:tab/>
        <w:t>Les conditions énoncées dans ledit alinéa n’étaient pas réunies ; et</w:t>
      </w:r>
    </w:p>
    <w:p w:rsidR="005B4102" w:rsidRDefault="005B4102" w:rsidP="00603328">
      <w:pPr>
        <w:pStyle w:val="SingleTxtG"/>
        <w:ind w:left="1701" w:firstLine="567"/>
      </w:pPr>
      <w:r>
        <w:t>b)</w:t>
      </w:r>
      <w:r>
        <w:tab/>
        <w:t>La conduite de retour de gaz n’était pas utilisée. ». </w:t>
      </w:r>
    </w:p>
    <w:p w:rsidR="005B4102" w:rsidRDefault="00093CAB" w:rsidP="00093CAB">
      <w:pPr>
        <w:pStyle w:val="H1G"/>
      </w:pPr>
      <w:r>
        <w:tab/>
      </w:r>
      <w:r w:rsidR="005B4102">
        <w:t>D.</w:t>
      </w:r>
      <w:r w:rsidR="005B4102">
        <w:tab/>
        <w:t>Formation des experts</w:t>
      </w:r>
    </w:p>
    <w:p w:rsidR="005B4102" w:rsidRDefault="00093CAB" w:rsidP="00093CAB">
      <w:pPr>
        <w:pStyle w:val="H23G"/>
      </w:pPr>
      <w:r>
        <w:tab/>
      </w:r>
      <w:r>
        <w:tab/>
      </w:r>
      <w:r w:rsidR="005B4102">
        <w:t>Travaux du groupe de travail informel sur la formation des experts</w:t>
      </w:r>
    </w:p>
    <w:p w:rsidR="005B4102" w:rsidRDefault="005B4102" w:rsidP="00AD3BCC">
      <w:pPr>
        <w:pStyle w:val="SingleTxtG"/>
        <w:ind w:left="3402" w:hanging="2268"/>
      </w:pPr>
      <w:r>
        <w:rPr>
          <w:i/>
        </w:rPr>
        <w:t>Document </w:t>
      </w:r>
      <w:r w:rsidR="00093CAB">
        <w:t>:</w:t>
      </w:r>
      <w:r w:rsidR="00093CAB">
        <w:tab/>
      </w:r>
      <w:r w:rsidR="00093CAB">
        <w:tab/>
      </w:r>
      <w:r w:rsidRPr="009236E9">
        <w:t>ECE/TRANS/WP.15/AC.2/2018/43</w:t>
      </w:r>
      <w:r>
        <w:t xml:space="preserve"> (CCNR).</w:t>
      </w:r>
    </w:p>
    <w:p w:rsidR="005B4102" w:rsidRDefault="005B4102" w:rsidP="00AD3BCC">
      <w:pPr>
        <w:pStyle w:val="SingleTxtG"/>
        <w:ind w:left="3402" w:hanging="2268"/>
      </w:pPr>
      <w:r>
        <w:rPr>
          <w:i/>
        </w:rPr>
        <w:t>Document informel </w:t>
      </w:r>
      <w:r>
        <w:t>:</w:t>
      </w:r>
      <w:r>
        <w:tab/>
        <w:t>INF.11 (UENF et OEB).</w:t>
      </w:r>
    </w:p>
    <w:p w:rsidR="005B4102" w:rsidRDefault="005B4102" w:rsidP="00816C48">
      <w:pPr>
        <w:pStyle w:val="SingleTxtG"/>
      </w:pPr>
      <w:r>
        <w:t>20.</w:t>
      </w:r>
      <w:r>
        <w:tab/>
        <w:t>Le Comité de sécurité a pris note du rapport sur la dix-huitième réunion du groupe de travail informel sur la formation des experts, publié sous la cote ECE/TRANS/WP.15/AC.2/2018/43.</w:t>
      </w:r>
    </w:p>
    <w:p w:rsidR="005B4102" w:rsidRDefault="005B4102" w:rsidP="00816C48">
      <w:pPr>
        <w:pStyle w:val="SingleTxtG"/>
      </w:pPr>
      <w:r>
        <w:t>21.</w:t>
      </w:r>
      <w:r>
        <w:tab/>
        <w:t>Il a été noté que la révision du catalogue de questions conformément aux dispositions de l’édition 2019 de l’ADN se poursuivait, que le catalogue révisé devrait être adopté par le groupe de travail informel à sa prochaine réunion (18-20 septembre 2018) et qu’il serait soumis au Comité de sécurité à sa trente-qu</w:t>
      </w:r>
      <w:r w:rsidR="00093CAB">
        <w:t>atrième session (janvier 2019).</w:t>
      </w:r>
    </w:p>
    <w:p w:rsidR="005B4102" w:rsidRDefault="005B4102" w:rsidP="00816C48">
      <w:pPr>
        <w:pStyle w:val="SingleTxtG"/>
      </w:pPr>
      <w:r>
        <w:t>22.</w:t>
      </w:r>
      <w:r>
        <w:tab/>
        <w:t>En ce qui concerne l’instauration éventuelle d’une rotation des bonnes réponses d’A à D, le Comité de sécurité partageait l’opinion du groupe de travail informel selon lequel cela devrait être autorisé et a appuyé la proposition. Il a également appuyé la proposition tendant à instaurer un délai minimum de trois jours avant qu’un candidat puisse repasser les épreuves après un cours de recyclage.</w:t>
      </w:r>
    </w:p>
    <w:p w:rsidR="005B4102" w:rsidRDefault="005B4102" w:rsidP="00816C48">
      <w:pPr>
        <w:pStyle w:val="SingleTxtG"/>
      </w:pPr>
      <w:r>
        <w:lastRenderedPageBreak/>
        <w:t>23.</w:t>
      </w:r>
      <w:r>
        <w:tab/>
        <w:t>Le Comité de sécurité a, en outre, appuyé la proposition visant à inclure des exigences applicables aux examens électroniques dans la directive du Comité d’administration relative à l’utilisation du catalogue de questions pour l’examen des experts ADN et a déclaré souhaiter qu’une proposition à cet effet lui soit soumise à une prochaine session.</w:t>
      </w:r>
    </w:p>
    <w:p w:rsidR="005B4102" w:rsidRDefault="005B4102" w:rsidP="00816C48">
      <w:pPr>
        <w:pStyle w:val="SingleTxtG"/>
      </w:pPr>
      <w:r>
        <w:t>24.</w:t>
      </w:r>
      <w:r>
        <w:tab/>
        <w:t>En ce qui concerne la proposition d’allonger la durée de l’examen sanctionnant le cours de base et le cours de recyclage, plusieurs délégations ont indiqué qu’elles n’étaient pas au courant de problèmes liés à la durée des épreuves. Il a été souligné que d’autres facteurs pouvaient intervenir dans l’évaluation du temps nécessaire pour qu’un candidat moyen bien préparé termine l’examen, comme la formulation des questions (par exemple, questions trop longues ou trop complexes pour être comprises rapidement), le niveau d’expérience de la personne chargée de sélectionner les questions composant l’examen (par exemple, respect de l’équilibre entre des questions difficiles et questions faciles), le fait que les candidats puissent passer l’examen dans une langue étrangère, etc. Pour ces motifs, le Comité de sécurité a estimé que les informations fournies à ce jour et les données disponibles sur le taux de réussite ne justifiaient pas une augmentation de la durée des examens, actuellement fixée à 60 minutes. Si les données et d’autres travaux de recherche faisaient apparaître une tendance différente dans l’avenir, le Comité de sécurité pourrait envisager de réexaminer cette question.</w:t>
      </w:r>
    </w:p>
    <w:p w:rsidR="005B4102" w:rsidRDefault="005B4102" w:rsidP="00816C48">
      <w:pPr>
        <w:pStyle w:val="SingleTxtG"/>
      </w:pPr>
      <w:r>
        <w:t>25.</w:t>
      </w:r>
      <w:r>
        <w:tab/>
        <w:t>En ce qui concerne le recours possible à l’enseignement à distance pour les cours de base et les cours spécialisés, le Comité de sécurité a été informé que cette question serait également examinée par la Réunion commune RID/ADR/ADN à sa session d’automne 2018 et que l’Union internationale des transports routiers (IRU) devait faire un exposé sur les cours de recyclage en ligne pour les conducteurs afin d’illustrer la manière dont on pourrait répondre aux préoccupations exprimées par certaines délégations à la session d</w:t>
      </w:r>
      <w:r w:rsidR="00603328">
        <w:t>u</w:t>
      </w:r>
      <w:r>
        <w:t xml:space="preserve"> printemps 2018 (voir le document ECE/TRANS/WP.15/AC.1/150, par. 23 à 26).</w:t>
      </w:r>
    </w:p>
    <w:p w:rsidR="005B4102" w:rsidRDefault="00093CAB" w:rsidP="00093CAB">
      <w:pPr>
        <w:pStyle w:val="H1G"/>
      </w:pPr>
      <w:r>
        <w:tab/>
      </w:r>
      <w:r w:rsidR="005B4102">
        <w:t>E.</w:t>
      </w:r>
      <w:r w:rsidR="005B4102">
        <w:tab/>
        <w:t>Questions relatives aux sociétés de classification</w:t>
      </w:r>
    </w:p>
    <w:p w:rsidR="005B4102" w:rsidRDefault="00093CAB" w:rsidP="00093CAB">
      <w:pPr>
        <w:pStyle w:val="H23G"/>
      </w:pPr>
      <w:r>
        <w:tab/>
      </w:r>
      <w:r w:rsidR="005B4102">
        <w:t>1.</w:t>
      </w:r>
      <w:r w:rsidR="005B4102">
        <w:tab/>
        <w:t xml:space="preserve">Référence à la conformité à la norme ISO/CEI </w:t>
      </w:r>
      <w:proofErr w:type="gramStart"/>
      <w:r w:rsidR="005B4102">
        <w:t>17020:</w:t>
      </w:r>
      <w:proofErr w:type="gramEnd"/>
      <w:r w:rsidR="005B4102">
        <w:t>2012</w:t>
      </w:r>
    </w:p>
    <w:p w:rsidR="005B4102" w:rsidRDefault="005B4102" w:rsidP="00AD3BCC">
      <w:pPr>
        <w:pStyle w:val="SingleTxtG"/>
        <w:ind w:left="3402" w:hanging="2268"/>
      </w:pPr>
      <w:r>
        <w:rPr>
          <w:i/>
        </w:rPr>
        <w:t>Document </w:t>
      </w:r>
      <w:r w:rsidR="002077E2">
        <w:t>:</w:t>
      </w:r>
      <w:r w:rsidR="002077E2">
        <w:tab/>
      </w:r>
      <w:r w:rsidR="002077E2">
        <w:tab/>
      </w:r>
      <w:r w:rsidRPr="009236E9">
        <w:t>ECE/TRANS/WP.15/AC.2/2018/27</w:t>
      </w:r>
      <w:r>
        <w:t xml:space="preserve"> (Registre maritime russe).</w:t>
      </w:r>
    </w:p>
    <w:p w:rsidR="005B4102" w:rsidRDefault="00137E35" w:rsidP="00AD3BCC">
      <w:pPr>
        <w:pStyle w:val="SingleTxtG"/>
        <w:ind w:left="3402" w:hanging="2268"/>
      </w:pPr>
      <w:r>
        <w:rPr>
          <w:i/>
        </w:rPr>
        <w:t>Document informel</w:t>
      </w:r>
      <w:r w:rsidR="005B4102">
        <w:rPr>
          <w:i/>
        </w:rPr>
        <w:t> </w:t>
      </w:r>
      <w:r w:rsidR="005B4102">
        <w:t>:</w:t>
      </w:r>
      <w:r w:rsidR="005B4102">
        <w:tab/>
        <w:t>INF.2 (Registre maritime russe).</w:t>
      </w:r>
    </w:p>
    <w:p w:rsidR="005B4102" w:rsidRDefault="005B4102" w:rsidP="00816C48">
      <w:pPr>
        <w:pStyle w:val="SingleTxtG"/>
      </w:pPr>
      <w:r>
        <w:t>26.</w:t>
      </w:r>
      <w:r>
        <w:tab/>
        <w:t xml:space="preserve">Notant que certains des organismes d’accréditation, des normes et des filiales énumérés dans le document informel INF.2 concernaient le transport maritime, certaines délégations se sont interrogées sur leur adéquation et leur pertinence pour l’ADN. D’autres ont relevé que différentes éditions de la norme ISO 9001 (ISO </w:t>
      </w:r>
      <w:proofErr w:type="gramStart"/>
      <w:r>
        <w:t>9001:</w:t>
      </w:r>
      <w:proofErr w:type="gramEnd"/>
      <w:r>
        <w:t>2008 et ISO</w:t>
      </w:r>
      <w:r w:rsidR="00FD6C89">
        <w:t> </w:t>
      </w:r>
      <w:r>
        <w:t>9001:2015) étaient citées dans les documents soumis par le Registre maritime russe. Ayant été informé que le renouvellement des certificats était en cours, le Comité de sécurité a indiqué attendre avec intérêt toute mise à jour ultérieure sur cette question.</w:t>
      </w:r>
    </w:p>
    <w:p w:rsidR="005B4102" w:rsidRDefault="005B4102" w:rsidP="00816C48">
      <w:pPr>
        <w:pStyle w:val="SingleTxtG"/>
      </w:pPr>
      <w:r>
        <w:t>27.</w:t>
      </w:r>
      <w:r>
        <w:tab/>
        <w:t xml:space="preserve">À l’issue d’un échange de vues, le Comité de sécurité a estimé que des informations complémentaires sur la conformité à la norme ISO/CEI </w:t>
      </w:r>
      <w:proofErr w:type="gramStart"/>
      <w:r>
        <w:t>17020:</w:t>
      </w:r>
      <w:proofErr w:type="gramEnd"/>
      <w:r>
        <w:t>2012 étaient nécessaires, en particulier pour ce qui est de la reconnaissance, par une autorité nationale compétente, de l’organe de vérification indépendant chargé de délivrer le</w:t>
      </w:r>
      <w:r w:rsidR="00603328">
        <w:t xml:space="preserve"> certificat. </w:t>
      </w:r>
      <w:r>
        <w:t>Il a été noté, cependant, qu’il faudrait peut-être tenir compte des explications données au paragraphe 4 du document ECE/TRANS/WP.15/AC.2/2018/27 et de la différence entre la certification de caractéristiques techniques et les compétences techniques du personnel. Le Comité de sécurité a invité la Fédération de Russie à procéder à des échanges de vues et à des consultations avec d’autres membres du Comité.</w:t>
      </w:r>
    </w:p>
    <w:p w:rsidR="005B4102" w:rsidRDefault="00FD6C89" w:rsidP="00FD6C89">
      <w:pPr>
        <w:pStyle w:val="H23G"/>
      </w:pPr>
      <w:r>
        <w:tab/>
      </w:r>
      <w:r w:rsidR="005B4102">
        <w:t>2.</w:t>
      </w:r>
      <w:r w:rsidR="005B4102">
        <w:tab/>
        <w:t xml:space="preserve">Liste des références à l’ADN dans les règles de classification </w:t>
      </w:r>
      <w:r>
        <w:br/>
      </w:r>
      <w:r w:rsidR="005B4102">
        <w:t>du Registre maritime russe</w:t>
      </w:r>
    </w:p>
    <w:p w:rsidR="005B4102" w:rsidRDefault="005B4102" w:rsidP="00AD3BCC">
      <w:pPr>
        <w:pStyle w:val="SingleTxtG"/>
        <w:ind w:left="3402" w:hanging="2268"/>
      </w:pPr>
      <w:r>
        <w:rPr>
          <w:i/>
        </w:rPr>
        <w:t>Document </w:t>
      </w:r>
      <w:r w:rsidR="00FD6C89">
        <w:t>:</w:t>
      </w:r>
      <w:r w:rsidR="00FD6C89">
        <w:tab/>
      </w:r>
      <w:r w:rsidR="00FD6C89">
        <w:tab/>
      </w:r>
      <w:r w:rsidRPr="009236E9">
        <w:t>ECE/TRANS/WP.15/AC.2/2018/36</w:t>
      </w:r>
      <w:r>
        <w:t xml:space="preserve"> (Registre maritime russe).</w:t>
      </w:r>
    </w:p>
    <w:p w:rsidR="005B4102" w:rsidRDefault="005B4102" w:rsidP="00AD3BCC">
      <w:pPr>
        <w:pStyle w:val="SingleTxtG"/>
        <w:ind w:left="3402" w:hanging="2268"/>
      </w:pPr>
      <w:r>
        <w:rPr>
          <w:i/>
        </w:rPr>
        <w:t>Document informel </w:t>
      </w:r>
      <w:r>
        <w:t>:</w:t>
      </w:r>
      <w:r>
        <w:tab/>
        <w:t>INF.3 (Registre maritime russe).</w:t>
      </w:r>
    </w:p>
    <w:p w:rsidR="005B4102" w:rsidRDefault="005B4102" w:rsidP="00816C48">
      <w:pPr>
        <w:pStyle w:val="SingleTxtG"/>
      </w:pPr>
      <w:r>
        <w:lastRenderedPageBreak/>
        <w:t>28.</w:t>
      </w:r>
      <w:r>
        <w:tab/>
        <w:t>Le Comité de sécurité a pris note des informations montrant comment les dispositions du Règlement annexé à l’ADN étaient mises en correspondance avec les règles de classification du Registre maritime russe.</w:t>
      </w:r>
    </w:p>
    <w:p w:rsidR="005B4102" w:rsidRDefault="00FD6C89" w:rsidP="00FD6C89">
      <w:pPr>
        <w:pStyle w:val="H23G"/>
      </w:pPr>
      <w:r>
        <w:tab/>
      </w:r>
      <w:r w:rsidR="005B4102">
        <w:t>3.</w:t>
      </w:r>
      <w:r w:rsidR="005B4102">
        <w:tab/>
        <w:t xml:space="preserve">Rapport de la quinzième réunion du groupe de travail informel </w:t>
      </w:r>
      <w:r>
        <w:br/>
      </w:r>
      <w:r w:rsidR="005B4102">
        <w:t>des sociétés de classification recommandées ADN</w:t>
      </w:r>
    </w:p>
    <w:p w:rsidR="005B4102" w:rsidRDefault="005B4102" w:rsidP="00455F27">
      <w:pPr>
        <w:pStyle w:val="SingleTxtG"/>
        <w:ind w:left="3402" w:hanging="2268"/>
        <w:jc w:val="left"/>
      </w:pPr>
      <w:r>
        <w:rPr>
          <w:i/>
        </w:rPr>
        <w:t>Document informel </w:t>
      </w:r>
      <w:r>
        <w:t>:</w:t>
      </w:r>
      <w:r>
        <w:tab/>
        <w:t xml:space="preserve">INF.7 (Président du groupe de travail informel des sociétés </w:t>
      </w:r>
      <w:r w:rsidR="00455F27">
        <w:br/>
      </w:r>
      <w:r>
        <w:t>de classification recommandées ADN)</w:t>
      </w:r>
      <w:r w:rsidR="00455F27">
        <w:t>.</w:t>
      </w:r>
    </w:p>
    <w:p w:rsidR="005B4102" w:rsidRDefault="005B4102" w:rsidP="00816C48">
      <w:pPr>
        <w:pStyle w:val="SingleTxtG"/>
      </w:pPr>
      <w:r>
        <w:t>29.</w:t>
      </w:r>
      <w:r w:rsidR="00455F27">
        <w:tab/>
      </w:r>
      <w:r>
        <w:t xml:space="preserve">En ce qui concerne </w:t>
      </w:r>
      <w:r w:rsidR="00603328">
        <w:t>les</w:t>
      </w:r>
      <w:r>
        <w:t xml:space="preserve"> bateaux alimentés </w:t>
      </w:r>
      <w:r w:rsidR="006C6310">
        <w:t>au gaz d’évaporation (</w:t>
      </w:r>
      <w:proofErr w:type="spellStart"/>
      <w:r w:rsidR="006C6310" w:rsidRPr="006C6310">
        <w:rPr>
          <w:i/>
        </w:rPr>
        <w:t>boil</w:t>
      </w:r>
      <w:proofErr w:type="spellEnd"/>
      <w:r w:rsidR="006C6310" w:rsidRPr="006C6310">
        <w:rPr>
          <w:i/>
        </w:rPr>
        <w:t xml:space="preserve">-off </w:t>
      </w:r>
      <w:proofErr w:type="spellStart"/>
      <w:r w:rsidR="006C6310" w:rsidRPr="006C6310">
        <w:rPr>
          <w:i/>
        </w:rPr>
        <w:t>gas</w:t>
      </w:r>
      <w:proofErr w:type="spellEnd"/>
      <w:r w:rsidR="006C6310">
        <w:t>) de</w:t>
      </w:r>
      <w:r>
        <w:t xml:space="preserve"> gaz naturel liquéfié (GNL) </w:t>
      </w:r>
      <w:r w:rsidR="006C6310">
        <w:t>et les bateaux</w:t>
      </w:r>
      <w:r>
        <w:t xml:space="preserve"> à propulsion électrique et la navigation autonome, le Comité de sécurité a noté que les travaux se poursuivaient au sein du groupe de travail informel et qu’un bilan actualisé serait présenté à la prochaine session.</w:t>
      </w:r>
    </w:p>
    <w:p w:rsidR="005B4102" w:rsidRDefault="005B4102" w:rsidP="00816C48">
      <w:pPr>
        <w:pStyle w:val="SingleTxtG"/>
      </w:pPr>
      <w:r>
        <w:t>30.</w:t>
      </w:r>
      <w:r>
        <w:tab/>
        <w:t>Notant qu’il était indiqué que le point</w:t>
      </w:r>
      <w:r w:rsidR="006C6310">
        <w:t> 2 a) du document informel INF. </w:t>
      </w:r>
      <w:r>
        <w:t>7 ne nécessitait pas de nouvelles mesures, le Comité de sécurité a rappelé les résultats des débats tenus sur cette question à sa vingt-huitième session, en janvier 2016, tel que consigné dans le rapport de ladite session (voir le document ECE/TRANS/WP.15/AC.2/58, par. 15) : plusieurs délégations avaient appuyé l’idée de revoir le libellé du 1.15.3.8 et le Comité de sécurité avait noté que les sociétés de classification recommandées ADN soumettraient une proposition à la prochaine session. Le Comité de sécurité a invité les sociétés de classification recommandées ADN à soumettre une proposition visant à clarifier le libellé du 1.15.3.8 ou à expliquer pourquoi des éclaircissements ne sont plus nécessaires.</w:t>
      </w:r>
    </w:p>
    <w:p w:rsidR="005B4102" w:rsidRDefault="005B4102" w:rsidP="00816C48">
      <w:pPr>
        <w:pStyle w:val="SingleTxtG"/>
      </w:pPr>
      <w:r>
        <w:t>31.</w:t>
      </w:r>
      <w:r>
        <w:tab/>
        <w:t>En ce qui concerne le point 6 b), le représentant de l’Allemagne a informé le Comité de sécurité que les travaux visant à désigner plus précisément l’autorité compétente mentionnée dans l’ADN se poursuivaient, et qu’à l’issue de ces travaux une proposition serait soumise pour examen par le Comité.</w:t>
      </w:r>
    </w:p>
    <w:p w:rsidR="005B4102" w:rsidRDefault="005B4102" w:rsidP="00816C48">
      <w:pPr>
        <w:pStyle w:val="SingleTxtG"/>
      </w:pPr>
      <w:r>
        <w:t>32.</w:t>
      </w:r>
      <w:r>
        <w:tab/>
        <w:t>Enfin, le Comité de sécurité a noté qu’aucune des sociétés de classification recommandées ADN de la Fédération de Russie n’avait participé à la dernière réunion du groupe de travail informel. Rappelant les obligations des sociétés de classification recommandées énoncées au 1.15.4 et notant que, selon les dispositions du 1.15.4.2, celles</w:t>
      </w:r>
      <w:r w:rsidR="006C6310">
        <w:noBreakHyphen/>
      </w:r>
      <w:r>
        <w:t>ci doivent échanger leurs expériences « au moins une fois par année lors de réunions communes », le Comité de sécurité a invité les sociétés de classification concernées à s’acquitter de cette obligation.</w:t>
      </w:r>
    </w:p>
    <w:p w:rsidR="005B4102" w:rsidRDefault="005B4102" w:rsidP="00816C48">
      <w:pPr>
        <w:pStyle w:val="SingleTxtG"/>
      </w:pPr>
      <w:r>
        <w:t>33.</w:t>
      </w:r>
      <w:r>
        <w:tab/>
        <w:t xml:space="preserve">Le représentant de l’Allemagne a indiqué que le Bureau Veritas n’avait pas encore fourni les informations visées au point 6 c) du document informel INF.10 (trente et unième session), concernant les problèmes de stabilité des bateaux-citernes de types N et G. Les sociétés de classification recommandées ADN ont été invitées à communiquer ces informations dans les meilleurs délais. </w:t>
      </w:r>
    </w:p>
    <w:p w:rsidR="005B4102" w:rsidRDefault="00455F27" w:rsidP="00455F27">
      <w:pPr>
        <w:pStyle w:val="H23G"/>
      </w:pPr>
      <w:r>
        <w:tab/>
      </w:r>
      <w:r w:rsidR="005B4102">
        <w:t>4.</w:t>
      </w:r>
      <w:r w:rsidR="005B4102">
        <w:tab/>
        <w:t>État d’avancement de l’agrément des instruments de chargement</w:t>
      </w:r>
    </w:p>
    <w:p w:rsidR="005B4102" w:rsidRDefault="005B4102" w:rsidP="00455F27">
      <w:pPr>
        <w:pStyle w:val="SingleTxtG"/>
        <w:ind w:left="3402" w:hanging="2268"/>
        <w:jc w:val="left"/>
      </w:pPr>
      <w:r>
        <w:rPr>
          <w:i/>
        </w:rPr>
        <w:t>Document informel </w:t>
      </w:r>
      <w:r>
        <w:t>:</w:t>
      </w:r>
      <w:r>
        <w:tab/>
        <w:t>INF.8 (sociétés de classification recommandées ADN).</w:t>
      </w:r>
    </w:p>
    <w:p w:rsidR="005B4102" w:rsidRDefault="005B4102" w:rsidP="00816C48">
      <w:pPr>
        <w:pStyle w:val="SingleTxtG"/>
      </w:pPr>
      <w:r>
        <w:t>34.</w:t>
      </w:r>
      <w:r>
        <w:tab/>
        <w:t>Le Comité de sécurité a noté avec satisfaction que les sociétés de classification recommandées ADN prévoyaient que tous les bateaux pour lesquels un instrument de chargement agréé était requis seraient dûment équipés d’ici à la fin de la période de transition.</w:t>
      </w:r>
    </w:p>
    <w:p w:rsidR="005B4102" w:rsidRDefault="007A0D96" w:rsidP="007A0D96">
      <w:pPr>
        <w:pStyle w:val="H23G"/>
      </w:pPr>
      <w:r>
        <w:tab/>
      </w:r>
      <w:r w:rsidR="005B4102">
        <w:t>5.</w:t>
      </w:r>
      <w:r w:rsidR="005B4102">
        <w:tab/>
        <w:t xml:space="preserve">Demande de la Croatie visant à faire figurer le Registre de la navigation croate </w:t>
      </w:r>
      <w:r>
        <w:br/>
      </w:r>
      <w:r w:rsidR="005B4102">
        <w:t>dans la liste des sociétés de classification recommandées pour agrément</w:t>
      </w:r>
    </w:p>
    <w:p w:rsidR="005B4102" w:rsidRDefault="005B4102" w:rsidP="003B3F09">
      <w:pPr>
        <w:pStyle w:val="SingleTxtG"/>
        <w:ind w:left="3402" w:hanging="2268"/>
        <w:jc w:val="left"/>
      </w:pPr>
      <w:r>
        <w:rPr>
          <w:i/>
        </w:rPr>
        <w:t>Document informel </w:t>
      </w:r>
      <w:r>
        <w:t>:</w:t>
      </w:r>
      <w:r>
        <w:tab/>
        <w:t>INF.4 (Croatie).</w:t>
      </w:r>
    </w:p>
    <w:p w:rsidR="005B4102" w:rsidRDefault="005B4102" w:rsidP="00816C48">
      <w:pPr>
        <w:pStyle w:val="SingleTxtG"/>
      </w:pPr>
      <w:r>
        <w:t>35.</w:t>
      </w:r>
      <w:r>
        <w:tab/>
        <w:t>Le Comité de sécurité a noté que le Comité d’administration examinerait à sa vingt et unième session une demande de la Croatie visant à faire figurer le Registre de la navigation croate dans la liste des sociétés de classification recommandées pour agrément.</w:t>
      </w:r>
    </w:p>
    <w:p w:rsidR="005B4102" w:rsidRDefault="005B4102" w:rsidP="00816C48">
      <w:pPr>
        <w:pStyle w:val="SingleTxtG"/>
      </w:pPr>
      <w:r>
        <w:t>36.</w:t>
      </w:r>
      <w:r>
        <w:tab/>
        <w:t xml:space="preserve">Il a été rappelé que, conformément à la procédure décrite au 1.15.2, le Comité d’administration pouvait décider d’établir un comité d’experts chargé d’examiner la proposition, de déterminer si la société de classification remplissait les critères spécifiés </w:t>
      </w:r>
      <w:r>
        <w:lastRenderedPageBreak/>
        <w:t>au</w:t>
      </w:r>
      <w:r w:rsidR="006C6310">
        <w:t> </w:t>
      </w:r>
      <w:r>
        <w:t>1.15.3 et de faire une recommandation au Comité d’administration dans un délai de six</w:t>
      </w:r>
      <w:r w:rsidR="006C6310">
        <w:t> </w:t>
      </w:r>
      <w:r>
        <w:t>mois.</w:t>
      </w:r>
    </w:p>
    <w:p w:rsidR="005B4102" w:rsidRDefault="003B3F09" w:rsidP="003B3F09">
      <w:pPr>
        <w:pStyle w:val="HChG"/>
      </w:pPr>
      <w:r>
        <w:tab/>
      </w:r>
      <w:r w:rsidR="005B4102">
        <w:t>V.</w:t>
      </w:r>
      <w:r w:rsidR="005B4102">
        <w:tab/>
        <w:t>Propositions d’amendements au Règlement annexé à l’ADN (point 4 de l’ordre du jour)</w:t>
      </w:r>
    </w:p>
    <w:p w:rsidR="005B4102" w:rsidRDefault="003B3F09" w:rsidP="003B3F09">
      <w:pPr>
        <w:pStyle w:val="H1G"/>
      </w:pPr>
      <w:r>
        <w:tab/>
      </w:r>
      <w:r w:rsidR="005B4102">
        <w:t>A.</w:t>
      </w:r>
      <w:r w:rsidR="005B4102">
        <w:tab/>
        <w:t xml:space="preserve">Travaux de la Réunion commune </w:t>
      </w:r>
      <w:r w:rsidR="005B4102" w:rsidRPr="009236E9">
        <w:t>RID/ADR/ADN</w:t>
      </w:r>
    </w:p>
    <w:p w:rsidR="005B4102" w:rsidRDefault="003B3F09" w:rsidP="003B3F09">
      <w:pPr>
        <w:pStyle w:val="H23G"/>
      </w:pPr>
      <w:r>
        <w:tab/>
      </w:r>
      <w:r w:rsidR="005B4102" w:rsidRPr="00A5400D">
        <w:t>1.</w:t>
      </w:r>
      <w:r w:rsidR="005B4102" w:rsidRPr="00A5400D">
        <w:tab/>
        <w:t>Nouveaux amendements</w:t>
      </w:r>
    </w:p>
    <w:p w:rsidR="005B4102" w:rsidRPr="007F3A78" w:rsidRDefault="005B4102" w:rsidP="003B3F09">
      <w:pPr>
        <w:pStyle w:val="SingleTxtG"/>
        <w:ind w:left="3402" w:hanging="2268"/>
        <w:jc w:val="left"/>
        <w:rPr>
          <w:rFonts w:eastAsia="SimSun"/>
          <w:lang w:eastAsia="zh-CN"/>
        </w:rPr>
      </w:pPr>
      <w:r>
        <w:rPr>
          <w:i/>
        </w:rPr>
        <w:t>Document</w:t>
      </w:r>
      <w:r w:rsidR="00137E35">
        <w:rPr>
          <w:i/>
        </w:rPr>
        <w:t>s</w:t>
      </w:r>
      <w:r>
        <w:rPr>
          <w:i/>
        </w:rPr>
        <w:t> </w:t>
      </w:r>
      <w:r w:rsidR="003B3F09">
        <w:t>:</w:t>
      </w:r>
      <w:r w:rsidR="003B3F09">
        <w:tab/>
      </w:r>
      <w:r w:rsidR="003B3F09">
        <w:tab/>
      </w:r>
      <w:r>
        <w:t>E</w:t>
      </w:r>
      <w:r>
        <w:rPr>
          <w:rFonts w:eastAsia="SimSun"/>
          <w:lang w:eastAsia="zh-CN"/>
        </w:rPr>
        <w:t>CE/TRANS/WP.15/AC.2/2018/24 (secré</w:t>
      </w:r>
      <w:r w:rsidRPr="009236E9">
        <w:rPr>
          <w:rFonts w:eastAsia="SimSun"/>
          <w:lang w:eastAsia="zh-CN"/>
        </w:rPr>
        <w:t>tariat)</w:t>
      </w:r>
      <w:r>
        <w:rPr>
          <w:rFonts w:eastAsia="SimSun"/>
          <w:lang w:eastAsia="zh-CN"/>
        </w:rPr>
        <w:t> ;</w:t>
      </w:r>
      <w:r w:rsidR="003B3F09">
        <w:rPr>
          <w:rFonts w:eastAsia="SimSun"/>
          <w:lang w:eastAsia="zh-CN"/>
        </w:rPr>
        <w:br/>
      </w:r>
      <w:r>
        <w:rPr>
          <w:rFonts w:eastAsia="SimSun"/>
          <w:lang w:eastAsia="zh-CN"/>
        </w:rPr>
        <w:tab/>
      </w:r>
      <w:r w:rsidRPr="007F3A78">
        <w:rPr>
          <w:rFonts w:eastAsia="SimSun"/>
          <w:lang w:eastAsia="zh-CN"/>
        </w:rPr>
        <w:t>ECE/TRANS/WP.15/AC.2/2018/28 (CCNR).</w:t>
      </w:r>
    </w:p>
    <w:p w:rsidR="005B4102" w:rsidRDefault="005B4102" w:rsidP="003B3F09">
      <w:pPr>
        <w:pStyle w:val="SingleTxtG"/>
        <w:ind w:left="3402" w:hanging="2268"/>
        <w:jc w:val="left"/>
        <w:rPr>
          <w:rFonts w:eastAsia="SimSun"/>
          <w:lang w:eastAsia="zh-CN"/>
        </w:rPr>
      </w:pPr>
      <w:r>
        <w:rPr>
          <w:rFonts w:eastAsia="SimSun"/>
          <w:i/>
          <w:lang w:eastAsia="zh-CN"/>
        </w:rPr>
        <w:t>Document</w:t>
      </w:r>
      <w:r w:rsidR="00137E35">
        <w:rPr>
          <w:rFonts w:eastAsia="SimSun"/>
          <w:i/>
          <w:lang w:eastAsia="zh-CN"/>
        </w:rPr>
        <w:t>s</w:t>
      </w:r>
      <w:r>
        <w:rPr>
          <w:rFonts w:eastAsia="SimSun"/>
          <w:i/>
          <w:lang w:eastAsia="zh-CN"/>
        </w:rPr>
        <w:t xml:space="preserve"> informel</w:t>
      </w:r>
      <w:r w:rsidR="00137E35">
        <w:rPr>
          <w:rFonts w:eastAsia="SimSun"/>
          <w:i/>
          <w:lang w:eastAsia="zh-CN"/>
        </w:rPr>
        <w:t>s</w:t>
      </w:r>
      <w:r>
        <w:rPr>
          <w:rFonts w:eastAsia="SimSun"/>
          <w:i/>
          <w:lang w:eastAsia="zh-CN"/>
        </w:rPr>
        <w:t> </w:t>
      </w:r>
      <w:r>
        <w:rPr>
          <w:rFonts w:eastAsia="SimSun"/>
          <w:lang w:eastAsia="zh-CN"/>
        </w:rPr>
        <w:t>:</w:t>
      </w:r>
      <w:r>
        <w:rPr>
          <w:rFonts w:eastAsia="SimSun"/>
          <w:lang w:eastAsia="zh-CN"/>
        </w:rPr>
        <w:tab/>
        <w:t>INF.12 (Allemagne) ;</w:t>
      </w:r>
      <w:r w:rsidR="003B3F09">
        <w:rPr>
          <w:rFonts w:eastAsia="SimSun"/>
          <w:lang w:eastAsia="zh-CN"/>
        </w:rPr>
        <w:br/>
      </w:r>
      <w:r>
        <w:rPr>
          <w:rFonts w:eastAsia="SimSun"/>
          <w:lang w:eastAsia="zh-CN"/>
        </w:rPr>
        <w:tab/>
        <w:t>INF.15, INF.21 et INF.24 (secrétariat).</w:t>
      </w:r>
    </w:p>
    <w:p w:rsidR="005B4102" w:rsidRDefault="005B4102" w:rsidP="00816C48">
      <w:pPr>
        <w:pStyle w:val="SingleTxtG"/>
      </w:pPr>
      <w:r>
        <w:rPr>
          <w:rFonts w:eastAsia="SimSun"/>
          <w:lang w:eastAsia="zh-CN"/>
        </w:rPr>
        <w:t>37.</w:t>
      </w:r>
      <w:r>
        <w:rPr>
          <w:rFonts w:eastAsia="SimSun"/>
          <w:lang w:eastAsia="zh-CN"/>
        </w:rPr>
        <w:tab/>
      </w:r>
      <w:r>
        <w:t>Le Comité de sécurité a adopté les amendements proposés dans le document ECE/TRANS/WP.15/AC.2/2018/24, tel que modifié par le document informel INF.15, et dans le document ECE/TRANS/WP.15/AC.2/2018/28, tel que modifié par la proposition 2 du document informel INF.24 (voir l’annexe II), jugés nécessaires aux fins de l’harmonisation avec le RID et l’ADR, en vue de leur entrée en vigueur au 1</w:t>
      </w:r>
      <w:r w:rsidRPr="00A5400D">
        <w:rPr>
          <w:vertAlign w:val="superscript"/>
        </w:rPr>
        <w:t>er</w:t>
      </w:r>
      <w:r>
        <w:t> janvier 2019.</w:t>
      </w:r>
    </w:p>
    <w:p w:rsidR="005B4102" w:rsidRDefault="005B4102" w:rsidP="00816C48">
      <w:pPr>
        <w:pStyle w:val="SingleTxtG"/>
      </w:pPr>
      <w:r>
        <w:t>38.</w:t>
      </w:r>
      <w:r>
        <w:tab/>
        <w:t xml:space="preserve">En dépit d’une certaine reconnaissance du besoin de clarifier les obligations faites à l’expéditeur, au chargeur et au transporteur </w:t>
      </w:r>
      <w:proofErr w:type="gramStart"/>
      <w:r>
        <w:t>suite à</w:t>
      </w:r>
      <w:proofErr w:type="gramEnd"/>
      <w:r>
        <w:t xml:space="preserve"> l’adoption des nouvelles dispositions du</w:t>
      </w:r>
      <w:r w:rsidR="006C6310">
        <w:t> </w:t>
      </w:r>
      <w:r>
        <w:t>7.1.7, le Comité de sécurité n’a pas adopté les propositions formulées dans le document informel INF.12 en vue de leur entrée en vigueur au 1</w:t>
      </w:r>
      <w:r w:rsidRPr="00986A2F">
        <w:rPr>
          <w:vertAlign w:val="superscript"/>
        </w:rPr>
        <w:t>er</w:t>
      </w:r>
      <w:r>
        <w:t> janvier 2019.</w:t>
      </w:r>
    </w:p>
    <w:p w:rsidR="005B4102" w:rsidRDefault="005B4102" w:rsidP="00816C48">
      <w:pPr>
        <w:pStyle w:val="SingleTxtG"/>
      </w:pPr>
      <w:r>
        <w:t>39.</w:t>
      </w:r>
      <w:r>
        <w:tab/>
        <w:t>Le Comité de sécurité a invité le représentant de l’Allemagne à tenir compte des observations faites durant le débat, ainsi qu’à s’accorder avec les autres délégations intéressées sur les obligations qui devaient être précisées en relation avec l’application des dispositions du 7.1.7, et à faire part des conclusions au Comité de sécurité. Le représentant a également été invité à déterminer si cette question pouvait également concerner les transports ferroviaires et les transports routiers, auquel cas elle devrait être portée à l’attention de la Réunion commune RID/ADR/ADN.</w:t>
      </w:r>
    </w:p>
    <w:p w:rsidR="005B4102" w:rsidRDefault="0026482E" w:rsidP="0026482E">
      <w:pPr>
        <w:pStyle w:val="H23G"/>
      </w:pPr>
      <w:r>
        <w:tab/>
      </w:r>
      <w:r w:rsidR="005B4102">
        <w:t>2.</w:t>
      </w:r>
      <w:r w:rsidR="005B4102">
        <w:tab/>
        <w:t>Corrections aux amendements précédemment adoptés (ECE/ADN/45)</w:t>
      </w:r>
    </w:p>
    <w:p w:rsidR="005B4102" w:rsidRDefault="005B4102" w:rsidP="00AD3BCC">
      <w:pPr>
        <w:pStyle w:val="SingleTxtG"/>
        <w:ind w:left="3402" w:hanging="2268"/>
      </w:pPr>
      <w:r>
        <w:rPr>
          <w:i/>
        </w:rPr>
        <w:t>Document </w:t>
      </w:r>
      <w:r w:rsidR="00137E35">
        <w:t>:</w:t>
      </w:r>
      <w:r w:rsidR="00137E35">
        <w:tab/>
      </w:r>
      <w:r w:rsidR="00137E35">
        <w:tab/>
      </w:r>
      <w:r w:rsidRPr="009236E9">
        <w:rPr>
          <w:rFonts w:eastAsia="SimSun"/>
          <w:lang w:eastAsia="zh-CN"/>
        </w:rPr>
        <w:t>ECE/TRANS/WP.15/AC.2/2018/25</w:t>
      </w:r>
      <w:r w:rsidR="00137E35">
        <w:t>.</w:t>
      </w:r>
    </w:p>
    <w:p w:rsidR="005B4102" w:rsidRDefault="005B4102" w:rsidP="00AD3BCC">
      <w:pPr>
        <w:pStyle w:val="SingleTxtG"/>
        <w:ind w:left="3402" w:hanging="2268"/>
      </w:pPr>
      <w:r>
        <w:rPr>
          <w:i/>
        </w:rPr>
        <w:t>Document</w:t>
      </w:r>
      <w:r w:rsidR="00137E35">
        <w:rPr>
          <w:i/>
        </w:rPr>
        <w:t>s</w:t>
      </w:r>
      <w:r>
        <w:rPr>
          <w:i/>
        </w:rPr>
        <w:t xml:space="preserve"> informel</w:t>
      </w:r>
      <w:r w:rsidR="00137E35">
        <w:rPr>
          <w:i/>
        </w:rPr>
        <w:t>s</w:t>
      </w:r>
      <w:r>
        <w:rPr>
          <w:i/>
        </w:rPr>
        <w:t> </w:t>
      </w:r>
      <w:r>
        <w:t>:</w:t>
      </w:r>
      <w:r>
        <w:tab/>
      </w:r>
      <w:r w:rsidRPr="009236E9">
        <w:rPr>
          <w:rFonts w:eastAsia="SimSun"/>
          <w:lang w:eastAsia="zh-CN"/>
        </w:rPr>
        <w:t xml:space="preserve">INF.13 </w:t>
      </w:r>
      <w:r>
        <w:rPr>
          <w:rFonts w:eastAsia="SimSun"/>
          <w:lang w:eastAsia="zh-CN"/>
        </w:rPr>
        <w:t>et INF.15 (secré</w:t>
      </w:r>
      <w:r w:rsidRPr="009236E9">
        <w:rPr>
          <w:rFonts w:eastAsia="SimSun"/>
          <w:lang w:eastAsia="zh-CN"/>
        </w:rPr>
        <w:t>tariat)</w:t>
      </w:r>
      <w:r>
        <w:rPr>
          <w:rFonts w:eastAsia="SimSun"/>
          <w:lang w:eastAsia="zh-CN"/>
        </w:rPr>
        <w:t>.</w:t>
      </w:r>
    </w:p>
    <w:p w:rsidR="005B4102" w:rsidRDefault="005B4102" w:rsidP="00816C48">
      <w:pPr>
        <w:pStyle w:val="SingleTxtG"/>
      </w:pPr>
      <w:r>
        <w:t>40.</w:t>
      </w:r>
      <w:r>
        <w:tab/>
        <w:t>Le Comité de sécurité a adopté les propositions de corrections au document ECE/ADN/45 figurant dans le document informel INF.13 (voir le document ECE/ADN/45/Corr.1), liées à des erreurs ou à des omissions d’amendements de conséquence (voir l’annexe III). Il a estimé que ces erreurs ou omissions devraient être corrigées dès l’entrée en vigueur des amendements concernés et a suggéré que le Comité d’administration demande d’engager une procédure de correction dès que les amendements auraient été réputés acceptés (en principe le 1</w:t>
      </w:r>
      <w:r w:rsidRPr="00FE0356">
        <w:rPr>
          <w:vertAlign w:val="superscript"/>
        </w:rPr>
        <w:t>er</w:t>
      </w:r>
      <w:r>
        <w:t> octobre 2018).</w:t>
      </w:r>
    </w:p>
    <w:p w:rsidR="005B4102" w:rsidRDefault="0026482E" w:rsidP="0026482E">
      <w:pPr>
        <w:pStyle w:val="H23G"/>
      </w:pPr>
      <w:r>
        <w:tab/>
      </w:r>
      <w:r w:rsidR="005B4102">
        <w:t>3.</w:t>
      </w:r>
      <w:r w:rsidR="005B4102">
        <w:tab/>
        <w:t>Corrections au Règlement annexé à l’ADN</w:t>
      </w:r>
    </w:p>
    <w:p w:rsidR="005B4102" w:rsidRDefault="005B4102" w:rsidP="00AD3BCC">
      <w:pPr>
        <w:pStyle w:val="SingleTxtG"/>
        <w:ind w:left="3402" w:hanging="2268"/>
      </w:pPr>
      <w:r>
        <w:rPr>
          <w:i/>
        </w:rPr>
        <w:t>Document</w:t>
      </w:r>
      <w:r w:rsidR="00137E35">
        <w:rPr>
          <w:i/>
        </w:rPr>
        <w:t>s</w:t>
      </w:r>
      <w:r>
        <w:rPr>
          <w:i/>
        </w:rPr>
        <w:t xml:space="preserve"> informel</w:t>
      </w:r>
      <w:r w:rsidR="00137E35">
        <w:rPr>
          <w:i/>
        </w:rPr>
        <w:t>s</w:t>
      </w:r>
      <w:r>
        <w:rPr>
          <w:i/>
        </w:rPr>
        <w:t> </w:t>
      </w:r>
      <w:r>
        <w:t>:</w:t>
      </w:r>
      <w:r>
        <w:tab/>
        <w:t>INF.13 et INF.15 (secrétariat).</w:t>
      </w:r>
    </w:p>
    <w:p w:rsidR="005B4102" w:rsidRDefault="005B4102" w:rsidP="00816C48">
      <w:pPr>
        <w:pStyle w:val="SingleTxtG"/>
      </w:pPr>
      <w:r>
        <w:t>41.</w:t>
      </w:r>
      <w:r>
        <w:tab/>
        <w:t>Le Comité de sécurité a adopté les corrections apportées au Règlement annexé à l’ADN dans les documents informels INF.13 (correction au 5.4.1.1.3) et INF.15 (correction au 1.8.5.3 a)) (voir l’annexe IV).</w:t>
      </w:r>
    </w:p>
    <w:p w:rsidR="005B4102" w:rsidRDefault="00E47F74" w:rsidP="0026482E">
      <w:pPr>
        <w:pStyle w:val="H1G"/>
      </w:pPr>
      <w:r>
        <w:tab/>
      </w:r>
      <w:r w:rsidR="005B4102" w:rsidRPr="00CD56DE">
        <w:t>B.</w:t>
      </w:r>
      <w:r w:rsidR="005B4102" w:rsidRPr="00CD56DE">
        <w:tab/>
        <w:t>Autres propositions</w:t>
      </w:r>
    </w:p>
    <w:p w:rsidR="005B4102" w:rsidRDefault="0026482E" w:rsidP="0026482E">
      <w:pPr>
        <w:pStyle w:val="H23G"/>
      </w:pPr>
      <w:r>
        <w:tab/>
      </w:r>
      <w:r w:rsidR="005B4102">
        <w:t>1.</w:t>
      </w:r>
      <w:r w:rsidR="005B4102">
        <w:tab/>
        <w:t>Feu et lumière non protégée (9.1.0.41.3)</w:t>
      </w:r>
    </w:p>
    <w:p w:rsidR="005B4102" w:rsidRDefault="005B4102" w:rsidP="00AD3BCC">
      <w:pPr>
        <w:pStyle w:val="SingleTxtG"/>
        <w:ind w:left="3402" w:hanging="2268"/>
      </w:pPr>
      <w:r>
        <w:rPr>
          <w:i/>
        </w:rPr>
        <w:t>Document </w:t>
      </w:r>
      <w:r>
        <w:t>:</w:t>
      </w:r>
      <w:r>
        <w:tab/>
        <w:t>E</w:t>
      </w:r>
      <w:r w:rsidRPr="009236E9">
        <w:t>CE/TRANS/WP.15/AC.2/2018/26 (</w:t>
      </w:r>
      <w:r>
        <w:t>Belgique</w:t>
      </w:r>
      <w:r w:rsidRPr="009236E9">
        <w:t>)</w:t>
      </w:r>
      <w:r>
        <w:t>.</w:t>
      </w:r>
    </w:p>
    <w:p w:rsidR="005B4102" w:rsidRDefault="005B4102" w:rsidP="00816C48">
      <w:pPr>
        <w:pStyle w:val="SingleTxtG"/>
      </w:pPr>
      <w:r>
        <w:lastRenderedPageBreak/>
        <w:t>42.</w:t>
      </w:r>
      <w:r>
        <w:tab/>
        <w:t>Le Comité de sécurité était d’accord avec l’interprétation du représentant de la Belgique selon laquelle seuls les appareils d’éclairage électriques sont autorisés à l’extérieur des logements et de la timonerie et a noté que la même correction était nécessaire au 9.2.0.41.3. Il a adopté la proposition en tant que rectificatif au Règlement annexé à l’ADN et a noté que, puisque le texte français était correct, son acceptation par les Parties contractantes ne nécessiterait pas de notification officielle (voir l’annexe V).</w:t>
      </w:r>
    </w:p>
    <w:p w:rsidR="005B4102" w:rsidRDefault="0026482E" w:rsidP="0026482E">
      <w:pPr>
        <w:pStyle w:val="H23G"/>
      </w:pPr>
      <w:r>
        <w:tab/>
      </w:r>
      <w:r w:rsidR="005B4102">
        <w:t>2.</w:t>
      </w:r>
      <w:r w:rsidR="005B4102">
        <w:tab/>
        <w:t xml:space="preserve">Numéro de matière 9001 </w:t>
      </w:r>
      <w:r>
        <w:t>−</w:t>
      </w:r>
      <w:r w:rsidR="005B4102">
        <w:t xml:space="preserve"> Nom et description</w:t>
      </w:r>
    </w:p>
    <w:p w:rsidR="005B4102" w:rsidRDefault="005B4102" w:rsidP="009F1ABB">
      <w:pPr>
        <w:pStyle w:val="SingleTxtG"/>
        <w:spacing w:after="100"/>
        <w:ind w:left="3402" w:hanging="2268"/>
      </w:pPr>
      <w:r>
        <w:rPr>
          <w:i/>
        </w:rPr>
        <w:t>Document </w:t>
      </w:r>
      <w:r w:rsidR="0026482E">
        <w:t>:</w:t>
      </w:r>
      <w:r w:rsidR="0026482E">
        <w:tab/>
      </w:r>
      <w:r w:rsidR="0026482E">
        <w:tab/>
      </w:r>
      <w:r>
        <w:t>ECE</w:t>
      </w:r>
      <w:r w:rsidRPr="009236E9">
        <w:t>/TRANS/WP.15/AC.2/2018/29</w:t>
      </w:r>
      <w:r>
        <w:t xml:space="preserve"> </w:t>
      </w:r>
      <w:r w:rsidRPr="009236E9">
        <w:t>(</w:t>
      </w:r>
      <w:r>
        <w:t>Allemagne</w:t>
      </w:r>
      <w:r w:rsidRPr="009236E9">
        <w:t>)</w:t>
      </w:r>
      <w:r>
        <w:t>.</w:t>
      </w:r>
    </w:p>
    <w:p w:rsidR="005B4102" w:rsidRDefault="005B4102" w:rsidP="009F1ABB">
      <w:pPr>
        <w:pStyle w:val="SingleTxtG"/>
        <w:spacing w:after="100"/>
        <w:ind w:left="3402" w:hanging="2268"/>
      </w:pPr>
      <w:r>
        <w:rPr>
          <w:i/>
        </w:rPr>
        <w:t>Document informel </w:t>
      </w:r>
      <w:r>
        <w:t>:</w:t>
      </w:r>
      <w:r>
        <w:tab/>
        <w:t>INF.19 (secrétariat).</w:t>
      </w:r>
    </w:p>
    <w:p w:rsidR="005B4102" w:rsidRDefault="005B4102" w:rsidP="009F1ABB">
      <w:pPr>
        <w:pStyle w:val="SingleTxtG"/>
        <w:spacing w:after="100"/>
      </w:pPr>
      <w:r>
        <w:t>43.</w:t>
      </w:r>
      <w:r>
        <w:tab/>
        <w:t>À l’issue d’un échange de vues, le Comité de sécurité a décidé de confier l’examen des questions soulevées dans les documents de l’Allemagne et du secrétariat au groupe de travail informel des matières. Le groupe de travail informel devrait notamment se pencher sur les questions suivantes :</w:t>
      </w:r>
    </w:p>
    <w:p w:rsidR="005B4102" w:rsidRDefault="005B4102" w:rsidP="009F1ABB">
      <w:pPr>
        <w:pStyle w:val="SingleTxtG"/>
        <w:spacing w:after="100"/>
        <w:ind w:firstLine="567"/>
      </w:pPr>
      <w:r>
        <w:t>a)</w:t>
      </w:r>
      <w:r>
        <w:tab/>
        <w:t>La nécessité de passer en revue l’ensemble du texte de l’ADN pour veiller à la cohérence entre la définition des matières portant le code de classification F4, d’une part, et le nom et la description du No ONU 9001 d’autre part ;</w:t>
      </w:r>
    </w:p>
    <w:p w:rsidR="005B4102" w:rsidRDefault="005B4102" w:rsidP="009F1ABB">
      <w:pPr>
        <w:pStyle w:val="SingleTxtG"/>
        <w:spacing w:after="100"/>
        <w:ind w:firstLine="567"/>
      </w:pPr>
      <w:r>
        <w:t>b)</w:t>
      </w:r>
      <w:r>
        <w:tab/>
        <w:t>La nécessité d’éviter toute confusion avec la définition des matières portant le code F2 et, en particulier, l’utilisation de l’expression « à chaud » dans la version française, qui est actuellement associée à ces matières ;</w:t>
      </w:r>
    </w:p>
    <w:p w:rsidR="005B4102" w:rsidRDefault="005B4102" w:rsidP="009F1ABB">
      <w:pPr>
        <w:pStyle w:val="SingleTxtG"/>
        <w:spacing w:after="100"/>
        <w:ind w:firstLine="567"/>
      </w:pPr>
      <w:r>
        <w:t>c)</w:t>
      </w:r>
      <w:r>
        <w:tab/>
        <w:t>La terminologie actuellement utilisée dans l’ADR, le RID et le Règlement type, s’agissant du remplacement éventuel de « range » par « </w:t>
      </w:r>
      <w:proofErr w:type="spellStart"/>
      <w:r>
        <w:t>limiting</w:t>
      </w:r>
      <w:proofErr w:type="spellEnd"/>
      <w:r>
        <w:t xml:space="preserve"> range » dans la version anglaise ;</w:t>
      </w:r>
    </w:p>
    <w:p w:rsidR="005B4102" w:rsidRDefault="005B4102" w:rsidP="009F1ABB">
      <w:pPr>
        <w:pStyle w:val="SingleTxtG"/>
        <w:spacing w:after="100"/>
        <w:ind w:firstLine="567"/>
      </w:pPr>
      <w:r>
        <w:t>d)</w:t>
      </w:r>
      <w:r>
        <w:tab/>
        <w:t>Le besoin de précisions supplémentaires concernant l’utilisation des degrés Kelvin lorsque le terme « plage » pourrait être sous-entendu (par exemple au 3.2.3.3 et au 3.2.4.3, dans le nouveau texte de la colonne 17 proposé dans le document ECE/ADN/45 : « Matières pour lesquelles un chauffage est exigé, en cours de transport, à une température de moins de 15 K en dessous du point d’éclair »).</w:t>
      </w:r>
    </w:p>
    <w:p w:rsidR="005B4102" w:rsidRDefault="009F1ABB" w:rsidP="009F1ABB">
      <w:pPr>
        <w:pStyle w:val="H23G"/>
      </w:pPr>
      <w:r>
        <w:tab/>
      </w:r>
      <w:r w:rsidR="005B4102" w:rsidRPr="000626A4">
        <w:t>3.</w:t>
      </w:r>
      <w:r w:rsidR="005B4102" w:rsidRPr="000626A4">
        <w:tab/>
      </w:r>
      <w:r w:rsidR="005B4102">
        <w:t>Correction dans l’ADN 2019</w:t>
      </w:r>
    </w:p>
    <w:p w:rsidR="005B4102" w:rsidRDefault="005B4102" w:rsidP="00AD3BCC">
      <w:pPr>
        <w:pStyle w:val="SingleTxtG"/>
        <w:ind w:left="3402" w:hanging="2268"/>
      </w:pPr>
      <w:r>
        <w:rPr>
          <w:i/>
        </w:rPr>
        <w:t>Document </w:t>
      </w:r>
      <w:r>
        <w:t>:</w:t>
      </w:r>
      <w:r>
        <w:tab/>
        <w:t>E</w:t>
      </w:r>
      <w:r w:rsidRPr="009236E9">
        <w:t>CE/TRANS/WP.15/AC.2/2018/30 (</w:t>
      </w:r>
      <w:r>
        <w:t>Autriche</w:t>
      </w:r>
      <w:r w:rsidRPr="009236E9">
        <w:t>)</w:t>
      </w:r>
      <w:r>
        <w:t>.</w:t>
      </w:r>
    </w:p>
    <w:p w:rsidR="005B4102" w:rsidRDefault="005B4102" w:rsidP="00F92DF1">
      <w:pPr>
        <w:pStyle w:val="SingleTxtG"/>
      </w:pPr>
      <w:r>
        <w:t>44.</w:t>
      </w:r>
      <w:r>
        <w:tab/>
        <w:t>Le Comité de sécurité a noté que la proposition de correction figurait dans le document ECE/TRANS/WP.15/AC.2/2018/24 et qu’elle avait déjà été examinée et adoptée (voir par. 37).</w:t>
      </w:r>
    </w:p>
    <w:p w:rsidR="005B4102" w:rsidRDefault="009F1ABB" w:rsidP="009F1ABB">
      <w:pPr>
        <w:pStyle w:val="H23G"/>
      </w:pPr>
      <w:r>
        <w:tab/>
      </w:r>
      <w:r w:rsidR="005B4102">
        <w:t>4.</w:t>
      </w:r>
      <w:r w:rsidR="005B4102">
        <w:tab/>
        <w:t>Canot (7.2.3.29.1)</w:t>
      </w:r>
    </w:p>
    <w:p w:rsidR="005B4102" w:rsidRDefault="005B4102" w:rsidP="00AD3BCC">
      <w:pPr>
        <w:pStyle w:val="SingleTxtG"/>
        <w:ind w:left="3402" w:hanging="2268"/>
        <w:rPr>
          <w:rFonts w:eastAsia="SimSun"/>
          <w:lang w:eastAsia="zh-CN"/>
        </w:rPr>
      </w:pPr>
      <w:r>
        <w:rPr>
          <w:i/>
        </w:rPr>
        <w:t>Document </w:t>
      </w:r>
      <w:r w:rsidR="009F1ABB">
        <w:t>:</w:t>
      </w:r>
      <w:r w:rsidR="009F1ABB">
        <w:tab/>
      </w:r>
      <w:r w:rsidR="009F1ABB">
        <w:tab/>
      </w:r>
      <w:r w:rsidRPr="009236E9">
        <w:rPr>
          <w:rFonts w:eastAsia="SimSun"/>
          <w:lang w:eastAsia="zh-CN"/>
        </w:rPr>
        <w:t>ECE/T</w:t>
      </w:r>
      <w:r>
        <w:rPr>
          <w:rFonts w:eastAsia="SimSun"/>
          <w:lang w:eastAsia="zh-CN"/>
        </w:rPr>
        <w:t>RANS/WP.15/AC.2/2018/31 (Allemagne</w:t>
      </w:r>
      <w:r w:rsidRPr="009236E9">
        <w:rPr>
          <w:rFonts w:eastAsia="SimSun"/>
          <w:lang w:eastAsia="zh-CN"/>
        </w:rPr>
        <w:t>)</w:t>
      </w:r>
      <w:r>
        <w:rPr>
          <w:rFonts w:eastAsia="SimSun"/>
          <w:lang w:eastAsia="zh-CN"/>
        </w:rPr>
        <w:t>.</w:t>
      </w:r>
    </w:p>
    <w:p w:rsidR="005B4102" w:rsidRDefault="005B4102" w:rsidP="00AD3BCC">
      <w:pPr>
        <w:pStyle w:val="SingleTxtG"/>
        <w:ind w:left="3402" w:hanging="2268"/>
        <w:rPr>
          <w:rFonts w:eastAsia="SimSun"/>
          <w:lang w:eastAsia="zh-CN"/>
        </w:rPr>
      </w:pPr>
      <w:r>
        <w:rPr>
          <w:rFonts w:eastAsia="SimSun"/>
          <w:i/>
          <w:lang w:eastAsia="zh-CN"/>
        </w:rPr>
        <w:t>Document informel </w:t>
      </w:r>
      <w:r>
        <w:rPr>
          <w:rFonts w:eastAsia="SimSun"/>
          <w:lang w:eastAsia="zh-CN"/>
        </w:rPr>
        <w:t>:</w:t>
      </w:r>
      <w:r>
        <w:rPr>
          <w:rFonts w:eastAsia="SimSun"/>
          <w:lang w:eastAsia="zh-CN"/>
        </w:rPr>
        <w:tab/>
        <w:t>INF.16 (Allemagne).</w:t>
      </w:r>
    </w:p>
    <w:p w:rsidR="005B4102" w:rsidRDefault="005B4102" w:rsidP="00F92DF1">
      <w:pPr>
        <w:pStyle w:val="SingleTxtG"/>
      </w:pPr>
      <w:r>
        <w:rPr>
          <w:rFonts w:eastAsia="SimSun"/>
          <w:lang w:eastAsia="zh-CN"/>
        </w:rPr>
        <w:t>45.</w:t>
      </w:r>
      <w:r>
        <w:rPr>
          <w:rFonts w:eastAsia="SimSun"/>
          <w:lang w:eastAsia="zh-CN"/>
        </w:rPr>
        <w:tab/>
      </w:r>
      <w:r>
        <w:t xml:space="preserve">Le Comité de sécurité n’a pas pu parvenir à un consensus sur la proposition telle qu’elle était formulée. Une délégation a mentionné le manque de justifications sur le plan de la sécurité ainsi que l’absence d’une évaluation des risques à l’appui de la proposition. D’autres délégations ont estimé que la référence faite à des textes qui sont obligatoires uniquement au sein de l’Union européenne </w:t>
      </w:r>
      <w:r w:rsidR="00E47F74">
        <w:t xml:space="preserve">(UE) </w:t>
      </w:r>
      <w:r>
        <w:t>(les directives européennes, par exemple) devait être remplacée par une référence à la législation nationale pour les besoins de l’application dans les États non membres de l’UE.</w:t>
      </w:r>
    </w:p>
    <w:p w:rsidR="005B4102" w:rsidRDefault="005B4102" w:rsidP="00F92DF1">
      <w:pPr>
        <w:pStyle w:val="SingleTxtG"/>
      </w:pPr>
      <w:r>
        <w:t>46.</w:t>
      </w:r>
      <w:r>
        <w:tab/>
        <w:t xml:space="preserve">Quelques autres participants ont demandé des éclaircissements sur l’objet de la proposition, à savoir si les radeaux de sauvetage proposés étaient une option par rapport au canot de service pouvant être placé dans la zone de cargaison dans les conditions décrites au 7.2.3.29.1, ou s’ils devaient le remplacer. Le représentant de l’Allemagne a expliqué que la proposition avait pour but de pallier l’absence dans l’ADN d’une définition appropriée du terme « moyens de sauvetage collectifs », sans modifier les prescriptions actuelles relatives à l’emplacement des canots au 7.2.3.29.1, à savoir qu’ils doivent toujours être placés à l’extérieur de la zone de cargaison, sauf si cela n’est pas possible, en raison par exemple de </w:t>
      </w:r>
      <w:r>
        <w:lastRenderedPageBreak/>
        <w:t>leur taille et de leur conception, auquel cas des moyens de sauvetage collectifs supplémentaires doivent être disponibles en dehors de cette zone.</w:t>
      </w:r>
    </w:p>
    <w:p w:rsidR="005B4102" w:rsidRDefault="005B4102" w:rsidP="00F92DF1">
      <w:pPr>
        <w:pStyle w:val="SingleTxtG"/>
      </w:pPr>
      <w:r>
        <w:t>47.</w:t>
      </w:r>
      <w:r>
        <w:tab/>
        <w:t>D’autres personnes ont posé la question de savoir si un canot de service pouvait être considéré comme un moyen adéquat d’évacuation pour un bateau transportant des marchandises dangereuses dans toutes les circonstances. D’autres encore ont fait observer que dans la mesure où la norme ES-TRIN s’appliquait aux bateaux à passagers, la définition du terme « moyens de sauvetage collectifs » qui y figurait pouvait ne pas convenir aux bateaux de marchandises, et ont suggéré qu’une définition ad hoc soit formulée aux fins de l’ADN.</w:t>
      </w:r>
    </w:p>
    <w:p w:rsidR="005B4102" w:rsidRDefault="005B4102" w:rsidP="00F92DF1">
      <w:pPr>
        <w:pStyle w:val="SingleTxtG"/>
      </w:pPr>
      <w:r>
        <w:t>48.</w:t>
      </w:r>
      <w:r>
        <w:tab/>
        <w:t>Les représentants de l’UENF et de l’Allemagne se sont portés volontaires pour élaborer une proposition révisée en vue de la prochaine session, sur la base de toutes les observations faites au cours de l’échange de vues.</w:t>
      </w:r>
    </w:p>
    <w:p w:rsidR="005B4102" w:rsidRDefault="009F1ABB" w:rsidP="009F1ABB">
      <w:pPr>
        <w:pStyle w:val="H23G"/>
      </w:pPr>
      <w:r>
        <w:tab/>
      </w:r>
      <w:r w:rsidR="005B4102">
        <w:t>5.</w:t>
      </w:r>
      <w:r w:rsidR="005B4102">
        <w:tab/>
        <w:t xml:space="preserve">Modifications concernant la protection contre l’explosion à bord de bateaux </w:t>
      </w:r>
      <w:r>
        <w:br/>
      </w:r>
      <w:r w:rsidR="005B4102">
        <w:t>de navigation intérieure</w:t>
      </w:r>
    </w:p>
    <w:p w:rsidR="005B4102" w:rsidRDefault="005B4102" w:rsidP="00AD3BCC">
      <w:pPr>
        <w:pStyle w:val="SingleTxtG"/>
        <w:ind w:left="3402" w:hanging="2268"/>
        <w:rPr>
          <w:rFonts w:eastAsia="SimSun"/>
          <w:lang w:eastAsia="zh-CN"/>
        </w:rPr>
      </w:pPr>
      <w:r>
        <w:rPr>
          <w:i/>
        </w:rPr>
        <w:t>Document</w:t>
      </w:r>
      <w:r w:rsidR="000376CD">
        <w:rPr>
          <w:i/>
        </w:rPr>
        <w:t>s</w:t>
      </w:r>
      <w:r>
        <w:rPr>
          <w:i/>
        </w:rPr>
        <w:t> </w:t>
      </w:r>
      <w:r>
        <w:t>:</w:t>
      </w:r>
      <w:r>
        <w:tab/>
        <w:t>ECE</w:t>
      </w:r>
      <w:r w:rsidRPr="009236E9">
        <w:rPr>
          <w:rFonts w:eastAsia="SimSun"/>
          <w:lang w:eastAsia="zh-CN"/>
        </w:rPr>
        <w:t xml:space="preserve">/TRANS/WP.15/AC.2/2018/32 </w:t>
      </w:r>
      <w:r>
        <w:rPr>
          <w:rFonts w:eastAsia="SimSun"/>
          <w:lang w:eastAsia="zh-CN"/>
        </w:rPr>
        <w:t>et</w:t>
      </w:r>
      <w:r w:rsidRPr="009236E9">
        <w:rPr>
          <w:rFonts w:eastAsia="SimSun"/>
          <w:lang w:eastAsia="zh-CN"/>
        </w:rPr>
        <w:t xml:space="preserve"> Corr.1</w:t>
      </w:r>
      <w:r>
        <w:rPr>
          <w:rFonts w:eastAsia="SimSun"/>
          <w:lang w:eastAsia="zh-CN"/>
        </w:rPr>
        <w:t xml:space="preserve"> (Allemagne).</w:t>
      </w:r>
    </w:p>
    <w:p w:rsidR="005B4102" w:rsidRDefault="005B4102" w:rsidP="00F92DF1">
      <w:pPr>
        <w:pStyle w:val="SingleTxtG"/>
      </w:pPr>
      <w:r>
        <w:rPr>
          <w:rFonts w:eastAsia="SimSun"/>
          <w:lang w:eastAsia="zh-CN"/>
        </w:rPr>
        <w:t>49.</w:t>
      </w:r>
      <w:r>
        <w:rPr>
          <w:rFonts w:eastAsia="SimSun"/>
          <w:lang w:eastAsia="zh-CN"/>
        </w:rPr>
        <w:tab/>
      </w:r>
      <w:r>
        <w:t xml:space="preserve">Le Comité de sécurité a noté que les amendements présentés aux paragraphes 7 et 10 du document à l’examen avaient déjà été pris en compte dans les propositions d’amendements à l’ADN pour </w:t>
      </w:r>
      <w:proofErr w:type="spellStart"/>
      <w:r>
        <w:t>entrée</w:t>
      </w:r>
      <w:proofErr w:type="spellEnd"/>
      <w:r>
        <w:t xml:space="preserve"> en vigueur au 1</w:t>
      </w:r>
      <w:r w:rsidRPr="002B57DF">
        <w:rPr>
          <w:vertAlign w:val="superscript"/>
        </w:rPr>
        <w:t>er</w:t>
      </w:r>
      <w:r>
        <w:t> janvier 2019 (voir le document ECE/ADN/45) et a adopté les propositions formulées aux paragraphes 4, 6, 9 et 12, comme suit :</w:t>
      </w:r>
    </w:p>
    <w:p w:rsidR="005B4102" w:rsidRDefault="005B4102" w:rsidP="00A80F57">
      <w:pPr>
        <w:pStyle w:val="SingleTxtG"/>
        <w:ind w:firstLine="567"/>
      </w:pPr>
      <w:r>
        <w:t>a)</w:t>
      </w:r>
      <w:r>
        <w:tab/>
        <w:t xml:space="preserve">Propositions énoncées aux paragraphes 4 et 6 : adoptées en tant que corrections aux amendements à l’ADN pour </w:t>
      </w:r>
      <w:proofErr w:type="spellStart"/>
      <w:r>
        <w:t>entrée</w:t>
      </w:r>
      <w:proofErr w:type="spellEnd"/>
      <w:r>
        <w:t xml:space="preserve"> en vigueur au 1</w:t>
      </w:r>
      <w:r w:rsidRPr="002B57DF">
        <w:rPr>
          <w:vertAlign w:val="superscript"/>
        </w:rPr>
        <w:t>er</w:t>
      </w:r>
      <w:r>
        <w:t> janvier 2019 (corrections apportées au document ECE/ADN/45) (voir l’annexe III) ;</w:t>
      </w:r>
    </w:p>
    <w:p w:rsidR="005B4102" w:rsidRDefault="005B4102" w:rsidP="00A80F57">
      <w:pPr>
        <w:pStyle w:val="SingleTxtG"/>
        <w:ind w:firstLine="567"/>
      </w:pPr>
      <w:r>
        <w:t>b)</w:t>
      </w:r>
      <w:r>
        <w:tab/>
        <w:t xml:space="preserve">Propositions énoncées aux paragraphes 9 et 12 : adoptées pour </w:t>
      </w:r>
      <w:proofErr w:type="spellStart"/>
      <w:r>
        <w:t>entrée</w:t>
      </w:r>
      <w:proofErr w:type="spellEnd"/>
      <w:r>
        <w:t xml:space="preserve"> en vigueur au 1</w:t>
      </w:r>
      <w:r w:rsidRPr="002B57DF">
        <w:rPr>
          <w:vertAlign w:val="superscript"/>
        </w:rPr>
        <w:t>er</w:t>
      </w:r>
      <w:r>
        <w:t> janvier 2021 (voir l’annexe I).</w:t>
      </w:r>
    </w:p>
    <w:p w:rsidR="005B4102" w:rsidRDefault="00A80F57" w:rsidP="00A80F57">
      <w:pPr>
        <w:pStyle w:val="H23G"/>
      </w:pPr>
      <w:r>
        <w:tab/>
      </w:r>
      <w:r w:rsidR="005B4102">
        <w:t>6.</w:t>
      </w:r>
      <w:r w:rsidR="005B4102">
        <w:tab/>
        <w:t>Critères d’affectation des matières dans le 3.2.4.3</w:t>
      </w:r>
      <w:r w:rsidR="005B4102">
        <w:tab/>
      </w:r>
    </w:p>
    <w:p w:rsidR="005B4102" w:rsidRDefault="005B4102" w:rsidP="00AD3BCC">
      <w:pPr>
        <w:pStyle w:val="SingleTxtG"/>
        <w:ind w:left="3402" w:hanging="2268"/>
        <w:rPr>
          <w:rFonts w:eastAsia="SimSun"/>
          <w:lang w:eastAsia="zh-CN"/>
        </w:rPr>
      </w:pPr>
      <w:r>
        <w:rPr>
          <w:i/>
        </w:rPr>
        <w:t>Document </w:t>
      </w:r>
      <w:r>
        <w:t>:</w:t>
      </w:r>
      <w:r>
        <w:tab/>
        <w:t>ECE/</w:t>
      </w:r>
      <w:r w:rsidRPr="009236E9">
        <w:rPr>
          <w:rFonts w:eastAsia="SimSun"/>
          <w:lang w:eastAsia="zh-CN"/>
        </w:rPr>
        <w:t>TRANS/WP.15/AC.2/2018/34 (CCNR)</w:t>
      </w:r>
      <w:r>
        <w:rPr>
          <w:rFonts w:eastAsia="SimSun"/>
          <w:lang w:eastAsia="zh-CN"/>
        </w:rPr>
        <w:t>.</w:t>
      </w:r>
    </w:p>
    <w:p w:rsidR="005B4102" w:rsidRDefault="005B4102" w:rsidP="00F92DF1">
      <w:pPr>
        <w:pStyle w:val="SingleTxtG"/>
      </w:pPr>
      <w:r>
        <w:rPr>
          <w:rFonts w:eastAsia="SimSun"/>
          <w:lang w:eastAsia="zh-CN"/>
        </w:rPr>
        <w:t>50.</w:t>
      </w:r>
      <w:r>
        <w:rPr>
          <w:rFonts w:eastAsia="SimSun"/>
          <w:lang w:eastAsia="zh-CN"/>
        </w:rPr>
        <w:tab/>
      </w:r>
      <w:r>
        <w:t xml:space="preserve">Le Comité de sécurité a noté que les amendements présentés au paragraphe 4 avaient déjà été pris en compte dans les propositions d’amendements à l’ADN pour </w:t>
      </w:r>
      <w:proofErr w:type="spellStart"/>
      <w:r>
        <w:t>entrée</w:t>
      </w:r>
      <w:proofErr w:type="spellEnd"/>
      <w:r>
        <w:t xml:space="preserve"> en vigueur au 1</w:t>
      </w:r>
      <w:r w:rsidRPr="002B57DF">
        <w:rPr>
          <w:vertAlign w:val="superscript"/>
        </w:rPr>
        <w:t>er</w:t>
      </w:r>
      <w:r>
        <w:t> janvier 2019 (voir le document ECE/ADN/45).</w:t>
      </w:r>
    </w:p>
    <w:p w:rsidR="005B4102" w:rsidRDefault="00A80F57" w:rsidP="00A80F57">
      <w:pPr>
        <w:pStyle w:val="H23G"/>
      </w:pPr>
      <w:r>
        <w:tab/>
      </w:r>
      <w:r w:rsidR="005B4102">
        <w:t>7.</w:t>
      </w:r>
      <w:r w:rsidR="005B4102">
        <w:tab/>
        <w:t>Utilisation de conduites de retour de gaz pendant le déchargement (1.4.3.7.1)</w:t>
      </w:r>
    </w:p>
    <w:p w:rsidR="005B4102" w:rsidRDefault="005B4102" w:rsidP="00AD3BCC">
      <w:pPr>
        <w:pStyle w:val="SingleTxtG"/>
        <w:ind w:left="3402" w:hanging="2268"/>
        <w:rPr>
          <w:rFonts w:eastAsia="SimSun"/>
          <w:lang w:eastAsia="zh-CN"/>
        </w:rPr>
      </w:pPr>
      <w:r>
        <w:rPr>
          <w:i/>
        </w:rPr>
        <w:t>Document </w:t>
      </w:r>
      <w:r w:rsidR="00903BFE">
        <w:t>:</w:t>
      </w:r>
      <w:r w:rsidR="00903BFE">
        <w:tab/>
      </w:r>
      <w:r w:rsidR="00903BFE">
        <w:tab/>
      </w:r>
      <w:r>
        <w:t>ECE</w:t>
      </w:r>
      <w:r>
        <w:rPr>
          <w:rFonts w:eastAsia="SimSun"/>
          <w:lang w:eastAsia="zh-CN"/>
        </w:rPr>
        <w:t>/</w:t>
      </w:r>
      <w:r w:rsidRPr="009236E9">
        <w:rPr>
          <w:rFonts w:eastAsia="SimSun"/>
          <w:lang w:eastAsia="zh-CN"/>
        </w:rPr>
        <w:t xml:space="preserve">TRANS/WP.15/AC.2/2018/37 (CEFIC </w:t>
      </w:r>
      <w:r>
        <w:rPr>
          <w:rFonts w:eastAsia="SimSun"/>
          <w:lang w:eastAsia="zh-CN"/>
        </w:rPr>
        <w:t>et</w:t>
      </w:r>
      <w:r w:rsidRPr="009236E9">
        <w:rPr>
          <w:rFonts w:eastAsia="SimSun"/>
          <w:lang w:eastAsia="zh-CN"/>
        </w:rPr>
        <w:t xml:space="preserve"> Fuels Europe)</w:t>
      </w:r>
      <w:r>
        <w:rPr>
          <w:rFonts w:eastAsia="SimSun"/>
          <w:lang w:eastAsia="zh-CN"/>
        </w:rPr>
        <w:t>.</w:t>
      </w:r>
    </w:p>
    <w:p w:rsidR="005B4102" w:rsidRDefault="005B4102" w:rsidP="00AD3BCC">
      <w:pPr>
        <w:pStyle w:val="SingleTxtG"/>
        <w:ind w:left="3402" w:hanging="2268"/>
        <w:rPr>
          <w:rFonts w:eastAsia="SimSun"/>
          <w:lang w:eastAsia="zh-CN"/>
        </w:rPr>
      </w:pPr>
      <w:r>
        <w:rPr>
          <w:rFonts w:eastAsia="SimSun"/>
          <w:i/>
          <w:lang w:eastAsia="zh-CN"/>
        </w:rPr>
        <w:t>Document informel </w:t>
      </w:r>
      <w:r>
        <w:rPr>
          <w:rFonts w:eastAsia="SimSun"/>
          <w:lang w:eastAsia="zh-CN"/>
        </w:rPr>
        <w:t>:</w:t>
      </w:r>
      <w:r>
        <w:rPr>
          <w:rFonts w:eastAsia="SimSun"/>
          <w:lang w:eastAsia="zh-CN"/>
        </w:rPr>
        <w:tab/>
        <w:t>INF.18 (CCNR).</w:t>
      </w:r>
    </w:p>
    <w:p w:rsidR="005B4102" w:rsidRDefault="005B4102" w:rsidP="00F92DF1">
      <w:pPr>
        <w:pStyle w:val="SingleTxtG"/>
      </w:pPr>
      <w:r>
        <w:rPr>
          <w:rFonts w:eastAsia="SimSun"/>
          <w:lang w:eastAsia="zh-CN"/>
        </w:rPr>
        <w:t>51.</w:t>
      </w:r>
      <w:r>
        <w:rPr>
          <w:rFonts w:eastAsia="SimSun"/>
          <w:lang w:eastAsia="zh-CN"/>
        </w:rPr>
        <w:tab/>
      </w:r>
      <w:r>
        <w:t>Après examen des documents en séance plénière puis au cours d’une pause, le représentant du CEFIC a retiré la proposition.</w:t>
      </w:r>
    </w:p>
    <w:p w:rsidR="005B4102" w:rsidRDefault="00A80F57" w:rsidP="00A80F57">
      <w:pPr>
        <w:pStyle w:val="H23G"/>
      </w:pPr>
      <w:r>
        <w:tab/>
      </w:r>
      <w:r w:rsidR="005B4102">
        <w:t>8.</w:t>
      </w:r>
      <w:r w:rsidR="005B4102">
        <w:tab/>
        <w:t>Titre du tableau C</w:t>
      </w:r>
    </w:p>
    <w:p w:rsidR="005B4102" w:rsidRDefault="005B4102" w:rsidP="00903BFE">
      <w:pPr>
        <w:pStyle w:val="SingleTxtG"/>
        <w:keepNext/>
        <w:ind w:left="3402" w:hanging="2268"/>
        <w:rPr>
          <w:rFonts w:eastAsia="SimSun"/>
          <w:lang w:eastAsia="zh-CN"/>
        </w:rPr>
      </w:pPr>
      <w:r>
        <w:rPr>
          <w:i/>
        </w:rPr>
        <w:t>Document </w:t>
      </w:r>
      <w:r>
        <w:t>:</w:t>
      </w:r>
      <w:r>
        <w:tab/>
      </w:r>
      <w:r w:rsidRPr="009236E9">
        <w:rPr>
          <w:rFonts w:eastAsia="SimSun"/>
          <w:lang w:eastAsia="zh-CN"/>
        </w:rPr>
        <w:t>ECE/TRANS/WP.15/AC.2/2018/38 (</w:t>
      </w:r>
      <w:r>
        <w:rPr>
          <w:rFonts w:eastAsia="SimSun"/>
          <w:lang w:eastAsia="zh-CN"/>
        </w:rPr>
        <w:t>UENF et OEB</w:t>
      </w:r>
      <w:r w:rsidRPr="009236E9">
        <w:rPr>
          <w:rFonts w:eastAsia="SimSun"/>
          <w:lang w:eastAsia="zh-CN"/>
        </w:rPr>
        <w:t>)</w:t>
      </w:r>
      <w:r>
        <w:rPr>
          <w:rFonts w:eastAsia="SimSun"/>
          <w:lang w:eastAsia="zh-CN"/>
        </w:rPr>
        <w:t>.</w:t>
      </w:r>
    </w:p>
    <w:p w:rsidR="005B4102" w:rsidRDefault="005B4102" w:rsidP="00F92DF1">
      <w:pPr>
        <w:pStyle w:val="SingleTxtG"/>
      </w:pPr>
      <w:r>
        <w:rPr>
          <w:rFonts w:eastAsia="SimSun"/>
          <w:lang w:eastAsia="zh-CN"/>
        </w:rPr>
        <w:t>52.</w:t>
      </w:r>
      <w:r>
        <w:rPr>
          <w:rFonts w:eastAsia="SimSun"/>
          <w:lang w:eastAsia="zh-CN"/>
        </w:rPr>
        <w:tab/>
      </w:r>
      <w:r>
        <w:t>La proposition a été approuvée dans son principe, mais le Comité de sécurité a estimé qu’il fallait examiner plus en détail les références qu’il</w:t>
      </w:r>
      <w:r w:rsidR="001E5008">
        <w:t xml:space="preserve"> était proposé d’ajouter aux en</w:t>
      </w:r>
      <w:r>
        <w:t>têtes du tableau C de l’ADN et a invité les auteurs du document à tenir compte des observations faites et à soumettre une proposition révisée en vue de la prochaine session.</w:t>
      </w:r>
    </w:p>
    <w:p w:rsidR="005B4102" w:rsidRDefault="00A80F57" w:rsidP="00A80F57">
      <w:pPr>
        <w:pStyle w:val="H23G"/>
      </w:pPr>
      <w:r>
        <w:tab/>
      </w:r>
      <w:r w:rsidR="005B4102">
        <w:t>9.</w:t>
      </w:r>
      <w:r w:rsidR="005B4102">
        <w:tab/>
        <w:t>Incohérence dans les consignes écrites</w:t>
      </w:r>
    </w:p>
    <w:p w:rsidR="005B4102" w:rsidRDefault="005B4102" w:rsidP="00AD3BCC">
      <w:pPr>
        <w:pStyle w:val="SingleTxtG"/>
        <w:ind w:left="3402" w:hanging="2268"/>
        <w:rPr>
          <w:rFonts w:eastAsia="SimSun"/>
          <w:lang w:eastAsia="zh-CN"/>
        </w:rPr>
      </w:pPr>
      <w:r>
        <w:rPr>
          <w:i/>
        </w:rPr>
        <w:t>Document </w:t>
      </w:r>
      <w:r>
        <w:t>:</w:t>
      </w:r>
      <w:r>
        <w:tab/>
      </w:r>
      <w:r w:rsidRPr="009236E9">
        <w:rPr>
          <w:rFonts w:eastAsia="SimSun"/>
          <w:lang w:eastAsia="zh-CN"/>
        </w:rPr>
        <w:t>ECE/TRANS/WP.15/AC.2/2018/40 (</w:t>
      </w:r>
      <w:r>
        <w:rPr>
          <w:rFonts w:eastAsia="SimSun"/>
          <w:lang w:eastAsia="zh-CN"/>
        </w:rPr>
        <w:t>UENF et</w:t>
      </w:r>
      <w:r w:rsidRPr="009236E9">
        <w:rPr>
          <w:rFonts w:eastAsia="SimSun"/>
          <w:lang w:eastAsia="zh-CN"/>
        </w:rPr>
        <w:t xml:space="preserve"> </w:t>
      </w:r>
      <w:r>
        <w:rPr>
          <w:rFonts w:eastAsia="SimSun"/>
          <w:lang w:eastAsia="zh-CN"/>
        </w:rPr>
        <w:t>OEB</w:t>
      </w:r>
      <w:r w:rsidRPr="009236E9">
        <w:rPr>
          <w:rFonts w:eastAsia="SimSun"/>
          <w:lang w:eastAsia="zh-CN"/>
        </w:rPr>
        <w:t>)</w:t>
      </w:r>
      <w:r>
        <w:rPr>
          <w:rFonts w:eastAsia="SimSun"/>
          <w:lang w:eastAsia="zh-CN"/>
        </w:rPr>
        <w:t>.</w:t>
      </w:r>
    </w:p>
    <w:p w:rsidR="005B4102" w:rsidRDefault="005B4102" w:rsidP="00F92DF1">
      <w:pPr>
        <w:pStyle w:val="SingleTxtG"/>
      </w:pPr>
      <w:r>
        <w:rPr>
          <w:rFonts w:eastAsia="SimSun"/>
          <w:lang w:eastAsia="zh-CN"/>
        </w:rPr>
        <w:t>53.</w:t>
      </w:r>
      <w:r>
        <w:rPr>
          <w:rFonts w:eastAsia="SimSun"/>
          <w:lang w:eastAsia="zh-CN"/>
        </w:rPr>
        <w:tab/>
      </w:r>
      <w:r>
        <w:t xml:space="preserve">L’amendement proposé au 5.4.3.2 a été adopté pour </w:t>
      </w:r>
      <w:proofErr w:type="spellStart"/>
      <w:r>
        <w:t>entrée</w:t>
      </w:r>
      <w:proofErr w:type="spellEnd"/>
      <w:r>
        <w:t xml:space="preserve"> en vigueur au 1</w:t>
      </w:r>
      <w:r w:rsidRPr="005C7A34">
        <w:rPr>
          <w:vertAlign w:val="superscript"/>
        </w:rPr>
        <w:t>er</w:t>
      </w:r>
      <w:r>
        <w:t> janvier 2021 (voir l’annexe I).</w:t>
      </w:r>
    </w:p>
    <w:p w:rsidR="005B4102" w:rsidRDefault="00A80F57" w:rsidP="00A80F57">
      <w:pPr>
        <w:pStyle w:val="H23G"/>
      </w:pPr>
      <w:r>
        <w:lastRenderedPageBreak/>
        <w:tab/>
      </w:r>
      <w:r w:rsidR="005B4102">
        <w:t>10.</w:t>
      </w:r>
      <w:r w:rsidR="005B4102">
        <w:tab/>
        <w:t>Proposition de modification des tableaux A, B et C du Règlement annexé à l’ADN</w:t>
      </w:r>
    </w:p>
    <w:p w:rsidR="005B4102" w:rsidRDefault="005B4102" w:rsidP="00AD3BCC">
      <w:pPr>
        <w:pStyle w:val="SingleTxtG"/>
        <w:ind w:left="3402" w:hanging="2268"/>
        <w:rPr>
          <w:rFonts w:eastAsia="SimSun"/>
          <w:lang w:eastAsia="zh-CN"/>
        </w:rPr>
      </w:pPr>
      <w:r>
        <w:rPr>
          <w:i/>
        </w:rPr>
        <w:t>Document </w:t>
      </w:r>
      <w:r>
        <w:t>:</w:t>
      </w:r>
      <w:r>
        <w:tab/>
      </w:r>
      <w:r w:rsidRPr="009236E9">
        <w:rPr>
          <w:rFonts w:eastAsia="SimSun"/>
          <w:lang w:eastAsia="zh-CN"/>
        </w:rPr>
        <w:t>ECE/TRANS/WP.15/AC.2/2018/41 (France)</w:t>
      </w:r>
      <w:r>
        <w:rPr>
          <w:rFonts w:eastAsia="SimSun"/>
          <w:lang w:eastAsia="zh-CN"/>
        </w:rPr>
        <w:t>.</w:t>
      </w:r>
    </w:p>
    <w:p w:rsidR="005B4102" w:rsidRDefault="005B4102" w:rsidP="00AD1997">
      <w:pPr>
        <w:pStyle w:val="SingleTxtG"/>
        <w:keepNext/>
      </w:pPr>
      <w:r>
        <w:rPr>
          <w:rFonts w:eastAsia="SimSun"/>
          <w:lang w:eastAsia="zh-CN"/>
        </w:rPr>
        <w:t>54.</w:t>
      </w:r>
      <w:r>
        <w:rPr>
          <w:rFonts w:eastAsia="SimSun"/>
          <w:lang w:eastAsia="zh-CN"/>
        </w:rPr>
        <w:tab/>
      </w:r>
      <w:r>
        <w:t>Le Comité de sécurité a adopté les propositions énoncées aux paragraphes 3 et 4, comme suit :</w:t>
      </w:r>
    </w:p>
    <w:p w:rsidR="005B4102" w:rsidRDefault="005B4102" w:rsidP="00AD1997">
      <w:pPr>
        <w:pStyle w:val="SingleTxtG"/>
        <w:ind w:firstLine="567"/>
      </w:pPr>
      <w:r>
        <w:t>a)</w:t>
      </w:r>
      <w:r>
        <w:tab/>
        <w:t>Proposition énoncée au paragraphe 3 : adoptée en tant que correction au Règlement annexé à l’ADN (voir l’annexe IV) ;</w:t>
      </w:r>
    </w:p>
    <w:p w:rsidR="005B4102" w:rsidRDefault="005B4102" w:rsidP="00AD1997">
      <w:pPr>
        <w:pStyle w:val="SingleTxtG"/>
        <w:ind w:firstLine="567"/>
      </w:pPr>
      <w:r>
        <w:t>b)</w:t>
      </w:r>
      <w:r>
        <w:tab/>
        <w:t xml:space="preserve">Proposition énoncée au paragraphe 4 : adoptée en tant que correction aux amendements à l’ADN pour </w:t>
      </w:r>
      <w:proofErr w:type="spellStart"/>
      <w:r>
        <w:t>entrée</w:t>
      </w:r>
      <w:proofErr w:type="spellEnd"/>
      <w:r>
        <w:t xml:space="preserve"> en vigueur au 1</w:t>
      </w:r>
      <w:r w:rsidRPr="005C7A34">
        <w:rPr>
          <w:vertAlign w:val="superscript"/>
        </w:rPr>
        <w:t>er</w:t>
      </w:r>
      <w:r>
        <w:t> janvier 2019 (corrections apportées au document ECE/ADN/45) (voir l’annexe III).</w:t>
      </w:r>
    </w:p>
    <w:p w:rsidR="005B4102" w:rsidRDefault="005B4102" w:rsidP="00F92DF1">
      <w:pPr>
        <w:pStyle w:val="SingleTxtG"/>
      </w:pPr>
      <w:r>
        <w:t>55.</w:t>
      </w:r>
      <w:r>
        <w:tab/>
        <w:t>En ce qui concerne les observations et les propositions formulées aux paragraphes 6 à 13, le Comité de sécurité a décidé d’en confier l’examen au groupe de travail informel des matières.</w:t>
      </w:r>
      <w:r>
        <w:tab/>
      </w:r>
    </w:p>
    <w:p w:rsidR="005B4102" w:rsidRDefault="005B4102" w:rsidP="00F92DF1">
      <w:pPr>
        <w:pStyle w:val="SingleTxtG"/>
      </w:pPr>
      <w:r>
        <w:t>56.</w:t>
      </w:r>
      <w:r>
        <w:tab/>
        <w:t>Ayant noté qu’il existait des incohérences entre les versions anglaise et française de la désignation officielle de transport pour le No ONU 1203 dans le Règlement type, le représentant des Pays-Bas s’est porté volontaire pour les signaler au Sous-Comité d’experts du transport des marchandises dangereuses.</w:t>
      </w:r>
    </w:p>
    <w:p w:rsidR="005B4102" w:rsidRDefault="0021458E" w:rsidP="0021458E">
      <w:pPr>
        <w:pStyle w:val="H23G"/>
      </w:pPr>
      <w:r>
        <w:tab/>
      </w:r>
      <w:r w:rsidR="005B4102">
        <w:t>11.</w:t>
      </w:r>
      <w:r w:rsidR="005B4102">
        <w:tab/>
        <w:t xml:space="preserve">Propositions d’amendements à la </w:t>
      </w:r>
      <w:r w:rsidR="001E5008">
        <w:t>p</w:t>
      </w:r>
      <w:r w:rsidR="005B4102">
        <w:t>artie 2 du Règlement annexé à l’ADN</w:t>
      </w:r>
    </w:p>
    <w:p w:rsidR="005B4102" w:rsidRDefault="005B4102" w:rsidP="00AD3BCC">
      <w:pPr>
        <w:pStyle w:val="SingleTxtG"/>
        <w:ind w:left="3402" w:hanging="2268"/>
        <w:rPr>
          <w:rFonts w:eastAsia="SimSun"/>
          <w:lang w:eastAsia="zh-CN"/>
        </w:rPr>
      </w:pPr>
      <w:r>
        <w:rPr>
          <w:i/>
        </w:rPr>
        <w:t>Document </w:t>
      </w:r>
      <w:r>
        <w:t>:</w:t>
      </w:r>
      <w:r>
        <w:tab/>
        <w:t>ECE</w:t>
      </w:r>
      <w:r w:rsidRPr="009236E9">
        <w:rPr>
          <w:rFonts w:eastAsia="SimSun"/>
          <w:lang w:eastAsia="zh-CN"/>
        </w:rPr>
        <w:t>/TRANS/WP.15/AC.2/2018/42 (France)</w:t>
      </w:r>
      <w:r>
        <w:rPr>
          <w:rFonts w:eastAsia="SimSun"/>
          <w:lang w:eastAsia="zh-CN"/>
        </w:rPr>
        <w:t>.</w:t>
      </w:r>
    </w:p>
    <w:p w:rsidR="001B19B5" w:rsidRDefault="001B19B5" w:rsidP="00F92DF1">
      <w:pPr>
        <w:pStyle w:val="SingleTxtG"/>
      </w:pPr>
      <w:r>
        <w:rPr>
          <w:rFonts w:eastAsia="SimSun"/>
          <w:lang w:eastAsia="zh-CN"/>
        </w:rPr>
        <w:t>57.</w:t>
      </w:r>
      <w:r>
        <w:rPr>
          <w:rFonts w:eastAsia="SimSun"/>
          <w:lang w:eastAsia="zh-CN"/>
        </w:rPr>
        <w:tab/>
      </w:r>
      <w:r>
        <w:t>Le Comité de sécurité a confié l’examen des propositions énoncées aux paragraphes 6 et 7 au groupe de travail informel des matières. Ayant noté que l’azoture de baryum (No ONU 0224) n’était pas traité de la même façon dans le RID et dans l’ADR (son transport est autorisé par route mais interdit par chemin de fer), le Comité de sécurité a invité le groupe de travail informel à examiner si ce traitement différencié était justifié et à déterminer si l’ADN devait être aligné sur l’ADR ou le RID de façon à assurer la cohérence entre les modes de transport terrestres.</w:t>
      </w:r>
    </w:p>
    <w:p w:rsidR="005B4102" w:rsidRDefault="0021458E" w:rsidP="0021458E">
      <w:pPr>
        <w:pStyle w:val="H23G"/>
      </w:pPr>
      <w:r>
        <w:tab/>
      </w:r>
      <w:r w:rsidR="005B4102">
        <w:t>12.</w:t>
      </w:r>
      <w:r w:rsidR="005B4102">
        <w:tab/>
        <w:t>Amendement au 7.1.4.1 : limitation des quantités transportées</w:t>
      </w:r>
    </w:p>
    <w:p w:rsidR="005B4102" w:rsidRDefault="005B4102" w:rsidP="00AD3BCC">
      <w:pPr>
        <w:pStyle w:val="SingleTxtG"/>
        <w:ind w:left="3402" w:hanging="2268"/>
        <w:rPr>
          <w:rFonts w:eastAsia="SimSun"/>
          <w:lang w:eastAsia="zh-CN"/>
        </w:rPr>
      </w:pPr>
      <w:r>
        <w:rPr>
          <w:i/>
        </w:rPr>
        <w:t>Document </w:t>
      </w:r>
      <w:r>
        <w:t>:</w:t>
      </w:r>
      <w:r>
        <w:tab/>
        <w:t>ECE</w:t>
      </w:r>
      <w:r>
        <w:rPr>
          <w:rFonts w:eastAsia="SimSun"/>
          <w:lang w:eastAsia="zh-CN"/>
        </w:rPr>
        <w:t xml:space="preserve">/TRANS/WP.15/AC.2/2018/45 (UENF, </w:t>
      </w:r>
      <w:r w:rsidRPr="00DD2DF9">
        <w:rPr>
          <w:rFonts w:eastAsia="SimSun"/>
          <w:lang w:eastAsia="zh-CN"/>
        </w:rPr>
        <w:t>ERSTU</w:t>
      </w:r>
      <w:r>
        <w:rPr>
          <w:rFonts w:eastAsia="SimSun"/>
          <w:lang w:eastAsia="zh-CN"/>
        </w:rPr>
        <w:t xml:space="preserve"> et</w:t>
      </w:r>
      <w:r w:rsidRPr="009236E9">
        <w:rPr>
          <w:rFonts w:eastAsia="SimSun"/>
          <w:lang w:eastAsia="zh-CN"/>
        </w:rPr>
        <w:t xml:space="preserve"> </w:t>
      </w:r>
      <w:r>
        <w:rPr>
          <w:rFonts w:eastAsia="SimSun"/>
          <w:lang w:eastAsia="zh-CN"/>
        </w:rPr>
        <w:t>OEB</w:t>
      </w:r>
      <w:r w:rsidRPr="009236E9">
        <w:rPr>
          <w:rFonts w:eastAsia="SimSun"/>
          <w:lang w:eastAsia="zh-CN"/>
        </w:rPr>
        <w:t>)</w:t>
      </w:r>
      <w:r>
        <w:rPr>
          <w:rFonts w:eastAsia="SimSun"/>
          <w:lang w:eastAsia="zh-CN"/>
        </w:rPr>
        <w:t>.</w:t>
      </w:r>
    </w:p>
    <w:p w:rsidR="005B4102" w:rsidRDefault="005B4102" w:rsidP="00F92DF1">
      <w:pPr>
        <w:pStyle w:val="SingleTxtG"/>
      </w:pPr>
      <w:r>
        <w:rPr>
          <w:rFonts w:eastAsia="SimSun"/>
          <w:lang w:eastAsia="zh-CN"/>
        </w:rPr>
        <w:t>58.</w:t>
      </w:r>
      <w:r>
        <w:rPr>
          <w:rFonts w:eastAsia="SimSun"/>
          <w:lang w:eastAsia="zh-CN"/>
        </w:rPr>
        <w:tab/>
      </w:r>
      <w:r>
        <w:t>Après un échange de vues, les représentants de l’UENF et de l’OEB se sont portés volontaires pour réviser la proposition dans le cadre d’un groupe de travail informel par correspondance, en tenant compte des observations qui avaient été faites, et pour soumettre la proposition révisée en vue de la prochaine session. Les représentants de l’Allemagne, de l’Autriche, de la Belgique, de la France et des Pays-Bas ont fait part de leur souhait de participer à cette tâche.</w:t>
      </w:r>
    </w:p>
    <w:p w:rsidR="005B4102" w:rsidRDefault="00107F4D" w:rsidP="00847E7A">
      <w:pPr>
        <w:pStyle w:val="H23G"/>
        <w:spacing w:after="100"/>
      </w:pPr>
      <w:r>
        <w:tab/>
      </w:r>
      <w:r w:rsidR="005B4102">
        <w:t>13.</w:t>
      </w:r>
      <w:r w:rsidR="005B4102">
        <w:tab/>
        <w:t>Utilisation du terme « accumulateur » dans le chapitre 9</w:t>
      </w:r>
    </w:p>
    <w:p w:rsidR="005B4102" w:rsidRDefault="005B4102" w:rsidP="00847E7A">
      <w:pPr>
        <w:pStyle w:val="SingleTxtG"/>
        <w:keepNext/>
        <w:spacing w:after="100"/>
        <w:ind w:left="3402" w:hanging="2268"/>
        <w:rPr>
          <w:rFonts w:eastAsia="SimSun"/>
          <w:lang w:eastAsia="zh-CN"/>
        </w:rPr>
      </w:pPr>
      <w:r>
        <w:rPr>
          <w:i/>
        </w:rPr>
        <w:t>Document </w:t>
      </w:r>
      <w:r>
        <w:t>:</w:t>
      </w:r>
      <w:r>
        <w:tab/>
        <w:t>ECE/</w:t>
      </w:r>
      <w:r w:rsidRPr="009236E9">
        <w:rPr>
          <w:rFonts w:eastAsia="SimSun"/>
          <w:lang w:eastAsia="zh-CN"/>
        </w:rPr>
        <w:t>TRANS/WP.15/AC.2/2018/46 (</w:t>
      </w:r>
      <w:r>
        <w:rPr>
          <w:rFonts w:eastAsia="SimSun"/>
          <w:lang w:eastAsia="zh-CN"/>
        </w:rPr>
        <w:t>UENF et OEB</w:t>
      </w:r>
      <w:r w:rsidRPr="009236E9">
        <w:rPr>
          <w:rFonts w:eastAsia="SimSun"/>
          <w:lang w:eastAsia="zh-CN"/>
        </w:rPr>
        <w:t>)</w:t>
      </w:r>
      <w:r>
        <w:rPr>
          <w:rFonts w:eastAsia="SimSun"/>
          <w:lang w:eastAsia="zh-CN"/>
        </w:rPr>
        <w:t>.</w:t>
      </w:r>
    </w:p>
    <w:p w:rsidR="005B4102" w:rsidRDefault="005B4102" w:rsidP="00847E7A">
      <w:pPr>
        <w:pStyle w:val="SingleTxtG"/>
        <w:spacing w:after="100"/>
      </w:pPr>
      <w:r>
        <w:rPr>
          <w:rFonts w:eastAsia="SimSun"/>
          <w:lang w:eastAsia="zh-CN"/>
        </w:rPr>
        <w:t>59.</w:t>
      </w:r>
      <w:r>
        <w:rPr>
          <w:rFonts w:eastAsia="SimSun"/>
          <w:lang w:eastAsia="zh-CN"/>
        </w:rPr>
        <w:tab/>
      </w:r>
      <w:r>
        <w:t>La proposition telle que formulée par écrit n’a reçu aucun appui du fait qu’il a été jugé nécessaire de disposer de temps supplémentaire pour examiner la définition dans la norme ES-TRIN et déterminer si le même terme pouvait être employé dans le contexte de l’ADN. Les auteurs de la proposition ont été invités à la réexaminer à la lumière des observations faites.</w:t>
      </w:r>
    </w:p>
    <w:p w:rsidR="005B4102" w:rsidRDefault="00107F4D" w:rsidP="00847E7A">
      <w:pPr>
        <w:pStyle w:val="H23G"/>
        <w:spacing w:after="100"/>
      </w:pPr>
      <w:r>
        <w:tab/>
      </w:r>
      <w:r w:rsidR="005B4102">
        <w:t>14.</w:t>
      </w:r>
      <w:r w:rsidR="005B4102">
        <w:tab/>
        <w:t>Clarification du 1.1.3.6.1 et du 1.1.3.6.2</w:t>
      </w:r>
    </w:p>
    <w:p w:rsidR="005B4102" w:rsidRDefault="005B4102" w:rsidP="00847E7A">
      <w:pPr>
        <w:pStyle w:val="SingleTxtG"/>
        <w:spacing w:after="100"/>
        <w:ind w:left="3402" w:hanging="2268"/>
      </w:pPr>
      <w:r>
        <w:rPr>
          <w:i/>
        </w:rPr>
        <w:t>Document</w:t>
      </w:r>
      <w:r w:rsidR="00534447">
        <w:rPr>
          <w:i/>
        </w:rPr>
        <w:t>s</w:t>
      </w:r>
      <w:r>
        <w:rPr>
          <w:i/>
        </w:rPr>
        <w:t> </w:t>
      </w:r>
      <w:r>
        <w:t>:</w:t>
      </w:r>
      <w:r>
        <w:tab/>
      </w:r>
      <w:r w:rsidRPr="009236E9">
        <w:rPr>
          <w:rFonts w:eastAsia="SimSun"/>
          <w:lang w:eastAsia="zh-CN"/>
        </w:rPr>
        <w:t xml:space="preserve">ECE/TRANS/WP.15/AC.2/2018/47 </w:t>
      </w:r>
      <w:r>
        <w:rPr>
          <w:rFonts w:eastAsia="SimSun"/>
          <w:lang w:eastAsia="zh-CN"/>
        </w:rPr>
        <w:t>et</w:t>
      </w:r>
      <w:r w:rsidRPr="009236E9">
        <w:rPr>
          <w:rFonts w:eastAsia="SimSun"/>
          <w:lang w:eastAsia="zh-CN"/>
        </w:rPr>
        <w:t xml:space="preserve"> Corr.1 (</w:t>
      </w:r>
      <w:r>
        <w:rPr>
          <w:rFonts w:eastAsia="SimSun"/>
          <w:lang w:eastAsia="zh-CN"/>
        </w:rPr>
        <w:t>UENF et OEB</w:t>
      </w:r>
      <w:r w:rsidRPr="001A200C">
        <w:rPr>
          <w:rFonts w:eastAsia="SimSun"/>
          <w:lang w:eastAsia="zh-CN"/>
        </w:rPr>
        <w:t>)</w:t>
      </w:r>
      <w:r w:rsidRPr="001A200C">
        <w:t>.</w:t>
      </w:r>
    </w:p>
    <w:p w:rsidR="005B4102" w:rsidRDefault="005B4102" w:rsidP="00847E7A">
      <w:pPr>
        <w:pStyle w:val="SingleTxtG"/>
        <w:spacing w:after="100"/>
      </w:pPr>
      <w:r>
        <w:t>60.</w:t>
      </w:r>
      <w:r>
        <w:tab/>
        <w:t>Le Comité de sécurité a donné son accord de principe à la proposition de convertir la liste du 1.1.3.6.1 a) en tableau, mais n’était favorable ni à la suppression de la limite supérieure de 3 000 kg de la phrase introductive de cet alinéa, ni au remplacement de l’expression « en colis » par « emballées ». Il a également été noté que le 1.1.3.6.2 ne devrait pas être supprimé. Le Comité de sécurité a invité les auteurs à prendre en compte les observations qui avaient été faites et à soumettre un document révisé à sa session suivante.</w:t>
      </w:r>
    </w:p>
    <w:p w:rsidR="005B4102" w:rsidRDefault="00107F4D" w:rsidP="00847E7A">
      <w:pPr>
        <w:pStyle w:val="H23G"/>
        <w:spacing w:after="100"/>
        <w:rPr>
          <w:rFonts w:eastAsia="SimSun"/>
          <w:lang w:eastAsia="zh-CN"/>
        </w:rPr>
      </w:pPr>
      <w:r>
        <w:lastRenderedPageBreak/>
        <w:tab/>
      </w:r>
      <w:r w:rsidR="005B4102">
        <w:t>15.</w:t>
      </w:r>
      <w:r w:rsidR="005B4102">
        <w:tab/>
        <w:t>Amendements au 7.1.0.5.0.2 et au 7.1.6.12</w:t>
      </w:r>
    </w:p>
    <w:p w:rsidR="005B4102" w:rsidRDefault="005B4102" w:rsidP="00847E7A">
      <w:pPr>
        <w:pStyle w:val="SingleTxtG"/>
        <w:spacing w:after="100"/>
        <w:ind w:left="3402" w:hanging="2268"/>
        <w:rPr>
          <w:rFonts w:eastAsia="SimSun"/>
          <w:lang w:eastAsia="zh-CN"/>
        </w:rPr>
      </w:pPr>
      <w:r>
        <w:rPr>
          <w:rFonts w:eastAsia="SimSun"/>
          <w:i/>
          <w:lang w:eastAsia="zh-CN"/>
        </w:rPr>
        <w:t>Document </w:t>
      </w:r>
      <w:r>
        <w:rPr>
          <w:rFonts w:eastAsia="SimSun"/>
          <w:lang w:eastAsia="zh-CN"/>
        </w:rPr>
        <w:t>:</w:t>
      </w:r>
      <w:r>
        <w:rPr>
          <w:rFonts w:eastAsia="SimSun"/>
          <w:lang w:eastAsia="zh-CN"/>
        </w:rPr>
        <w:tab/>
      </w:r>
      <w:r w:rsidRPr="009236E9">
        <w:rPr>
          <w:rFonts w:eastAsia="SimSun"/>
          <w:lang w:eastAsia="zh-CN"/>
        </w:rPr>
        <w:t>ECE/TRANS/WP.15/AC.2/2018/48 (</w:t>
      </w:r>
      <w:r>
        <w:rPr>
          <w:rFonts w:eastAsia="SimSun"/>
          <w:lang w:eastAsia="zh-CN"/>
        </w:rPr>
        <w:t>UENF et OEB</w:t>
      </w:r>
      <w:r w:rsidRPr="009236E9">
        <w:rPr>
          <w:rFonts w:eastAsia="SimSun"/>
          <w:lang w:eastAsia="zh-CN"/>
        </w:rPr>
        <w:t>)</w:t>
      </w:r>
      <w:r>
        <w:rPr>
          <w:rFonts w:eastAsia="SimSun"/>
          <w:lang w:eastAsia="zh-CN"/>
        </w:rPr>
        <w:t>.</w:t>
      </w:r>
    </w:p>
    <w:p w:rsidR="005B4102" w:rsidRDefault="005B4102" w:rsidP="00847E7A">
      <w:pPr>
        <w:pStyle w:val="SingleTxtG"/>
        <w:spacing w:after="100"/>
      </w:pPr>
      <w:r>
        <w:rPr>
          <w:rFonts w:eastAsia="SimSun"/>
          <w:lang w:eastAsia="zh-CN"/>
        </w:rPr>
        <w:t>61.</w:t>
      </w:r>
      <w:r>
        <w:rPr>
          <w:rFonts w:eastAsia="SimSun"/>
          <w:lang w:eastAsia="zh-CN"/>
        </w:rPr>
        <w:tab/>
      </w:r>
      <w:r>
        <w:t>Le Comité de sécurité a confirmé que les dispositions du 7.1.5.0.2 ne s’appliquaient pas aux conteneurs-citernes. Il a noté que la définition de « conteneur » figurant au chapitre 1.2 de l’ADN comportait déjà une note précisant que le terme ne concerne pas les conteneurs-citernes et a estimé qu’il ne serait pas opportun de clarifier ce point pour toutes les occurrences du terme « conteneur ». Pour cette raison, il n’a pas adopté la proposition d’amendement au 7.1.5.0.2.</w:t>
      </w:r>
    </w:p>
    <w:p w:rsidR="005B4102" w:rsidRDefault="005B4102" w:rsidP="00847E7A">
      <w:pPr>
        <w:pStyle w:val="SingleTxtG"/>
        <w:spacing w:after="100"/>
      </w:pPr>
      <w:r>
        <w:t>62.</w:t>
      </w:r>
      <w:r>
        <w:tab/>
        <w:t>En ce qui concerne la proposition d’amendement au 7.1.6.12, le Comité de sécurité a estimé qu’elle ne pouvait pas être considérée comme étant d’ordre rédactionnel et a invité les auteurs à la réviser en tenant compte des observations formulées et à soumettre, à la prochaine session, un nouveau document précisant les motifs techniques qui justifiaient les modifications proposées.</w:t>
      </w:r>
    </w:p>
    <w:p w:rsidR="005B4102" w:rsidRDefault="00107F4D" w:rsidP="00847E7A">
      <w:pPr>
        <w:pStyle w:val="H23G"/>
        <w:spacing w:after="100"/>
      </w:pPr>
      <w:r>
        <w:tab/>
      </w:r>
      <w:r w:rsidR="005B4102">
        <w:t>16.</w:t>
      </w:r>
      <w:r w:rsidR="005B4102">
        <w:tab/>
        <w:t>Exemptions figurant au 1.1.3.6 liées aux quantités exemptées à bord des bateaux</w:t>
      </w:r>
    </w:p>
    <w:p w:rsidR="005B4102" w:rsidRDefault="005B4102" w:rsidP="00847E7A">
      <w:pPr>
        <w:pStyle w:val="SingleTxtG"/>
        <w:spacing w:after="100"/>
        <w:ind w:left="3402" w:hanging="2268"/>
        <w:rPr>
          <w:rFonts w:eastAsia="SimSun"/>
          <w:lang w:eastAsia="zh-CN"/>
        </w:rPr>
      </w:pPr>
      <w:r>
        <w:rPr>
          <w:i/>
        </w:rPr>
        <w:t>Document </w:t>
      </w:r>
      <w:r>
        <w:t>:</w:t>
      </w:r>
      <w:r>
        <w:tab/>
        <w:t>ECE/</w:t>
      </w:r>
      <w:r w:rsidRPr="009236E9">
        <w:rPr>
          <w:rFonts w:eastAsia="SimSun"/>
          <w:lang w:eastAsia="zh-CN"/>
        </w:rPr>
        <w:t>TRANS/WP.15/AC.2/2018/51 (</w:t>
      </w:r>
      <w:r>
        <w:rPr>
          <w:rFonts w:eastAsia="SimSun"/>
          <w:lang w:eastAsia="zh-CN"/>
        </w:rPr>
        <w:t>Allemagne</w:t>
      </w:r>
      <w:r w:rsidRPr="009236E9">
        <w:rPr>
          <w:rFonts w:eastAsia="SimSun"/>
          <w:lang w:eastAsia="zh-CN"/>
        </w:rPr>
        <w:t>)</w:t>
      </w:r>
      <w:r>
        <w:rPr>
          <w:rFonts w:eastAsia="SimSun"/>
          <w:lang w:eastAsia="zh-CN"/>
        </w:rPr>
        <w:t>.</w:t>
      </w:r>
    </w:p>
    <w:p w:rsidR="005B4102" w:rsidRDefault="005B4102" w:rsidP="00847E7A">
      <w:pPr>
        <w:pStyle w:val="SingleTxtG"/>
        <w:spacing w:after="100"/>
      </w:pPr>
      <w:r>
        <w:rPr>
          <w:rFonts w:eastAsia="SimSun"/>
          <w:lang w:eastAsia="zh-CN"/>
        </w:rPr>
        <w:t>63.</w:t>
      </w:r>
      <w:r>
        <w:rPr>
          <w:rFonts w:eastAsia="SimSun"/>
          <w:lang w:eastAsia="zh-CN"/>
        </w:rPr>
        <w:tab/>
      </w:r>
      <w:r>
        <w:t>Le Comité de sécurité a adopté la proposition énoncée au paragraphe 4 du document. Toutefois, notant que les numéros de paragraphe 1.1.3.6.3 et 1.1.3.6.4 étaient déjà utilisés dans le RID et l’ADR pour d’autres dispositions, il a décidé que ces paragraphes continueraient d’être indiqués comme « réservés » dans l’ADN et que le texte proposé serait ajouté en tant que nouveau paragraphe 1.1.3.6.5. Il a également été convenu que le libellé du nouveau 1.1.3.6.5 devrait être identique à celui du 1.1.3.6.5 de l’ADR (voir l’annexe I).</w:t>
      </w:r>
    </w:p>
    <w:p w:rsidR="005B4102" w:rsidRDefault="00107F4D" w:rsidP="00847E7A">
      <w:pPr>
        <w:pStyle w:val="H23G"/>
        <w:spacing w:after="100"/>
      </w:pPr>
      <w:r>
        <w:tab/>
      </w:r>
      <w:r w:rsidR="005B4102">
        <w:t>17.</w:t>
      </w:r>
      <w:r w:rsidR="005B4102">
        <w:tab/>
        <w:t>Corrections au 9.3.x.52.6</w:t>
      </w:r>
    </w:p>
    <w:p w:rsidR="005B4102" w:rsidRDefault="005B4102" w:rsidP="00847E7A">
      <w:pPr>
        <w:pStyle w:val="SingleTxtG"/>
        <w:spacing w:after="100"/>
        <w:ind w:left="3402" w:hanging="2268"/>
        <w:rPr>
          <w:rFonts w:eastAsia="SimSun"/>
          <w:lang w:eastAsia="zh-CN"/>
        </w:rPr>
      </w:pPr>
      <w:r>
        <w:rPr>
          <w:i/>
        </w:rPr>
        <w:t>Document </w:t>
      </w:r>
      <w:r>
        <w:t>:</w:t>
      </w:r>
      <w:r>
        <w:tab/>
        <w:t>ECE/</w:t>
      </w:r>
      <w:r w:rsidRPr="009236E9">
        <w:rPr>
          <w:rFonts w:eastAsia="SimSun"/>
          <w:lang w:eastAsia="zh-CN"/>
        </w:rPr>
        <w:t>TRANS/WP.15/AC.2/2018/52 (CCNR)</w:t>
      </w:r>
      <w:r>
        <w:rPr>
          <w:rFonts w:eastAsia="SimSun"/>
          <w:lang w:eastAsia="zh-CN"/>
        </w:rPr>
        <w:t>.</w:t>
      </w:r>
    </w:p>
    <w:p w:rsidR="005B4102" w:rsidRDefault="005B4102" w:rsidP="00847E7A">
      <w:pPr>
        <w:pStyle w:val="SingleTxtG"/>
        <w:spacing w:after="100"/>
      </w:pPr>
      <w:r>
        <w:rPr>
          <w:rFonts w:eastAsia="SimSun"/>
          <w:lang w:eastAsia="zh-CN"/>
        </w:rPr>
        <w:t>64.</w:t>
      </w:r>
      <w:r>
        <w:rPr>
          <w:rFonts w:eastAsia="SimSun"/>
          <w:lang w:eastAsia="zh-CN"/>
        </w:rPr>
        <w:tab/>
      </w:r>
      <w:r>
        <w:t xml:space="preserve">Le Comité de sécurité a adopté les corrections proposées au 9.3.x.52.6 pour </w:t>
      </w:r>
      <w:proofErr w:type="spellStart"/>
      <w:r>
        <w:t>entrée</w:t>
      </w:r>
      <w:proofErr w:type="spellEnd"/>
      <w:r>
        <w:t xml:space="preserve"> en vigueur le 1</w:t>
      </w:r>
      <w:r w:rsidRPr="00350BEA">
        <w:rPr>
          <w:vertAlign w:val="superscript"/>
        </w:rPr>
        <w:t>er</w:t>
      </w:r>
      <w:r>
        <w:t> janvier 2019, en tant que rectificatif à la liste d’amendements publiée sous la cote ECE/ADN/45 (voir l’annexe III).</w:t>
      </w:r>
    </w:p>
    <w:p w:rsidR="005B4102" w:rsidRDefault="00107F4D" w:rsidP="00847E7A">
      <w:pPr>
        <w:pStyle w:val="H23G"/>
        <w:spacing w:after="100"/>
      </w:pPr>
      <w:r>
        <w:tab/>
      </w:r>
      <w:r w:rsidR="005B4102">
        <w:t>18.</w:t>
      </w:r>
      <w:r w:rsidR="005B4102">
        <w:tab/>
        <w:t>Analyse pour la classification des groupes d’explosion pour des numéros ONU supplémentaires</w:t>
      </w:r>
    </w:p>
    <w:p w:rsidR="005B4102" w:rsidRPr="00534447" w:rsidRDefault="005B4102" w:rsidP="00847E7A">
      <w:pPr>
        <w:pStyle w:val="SingleTxtG"/>
        <w:spacing w:after="100"/>
        <w:ind w:left="3402" w:hanging="2268"/>
        <w:rPr>
          <w:rFonts w:eastAsia="SimSun"/>
          <w:lang w:eastAsia="zh-CN"/>
        </w:rPr>
      </w:pPr>
      <w:r w:rsidRPr="00534447">
        <w:rPr>
          <w:i/>
        </w:rPr>
        <w:t>Document </w:t>
      </w:r>
      <w:r w:rsidR="00847E7A" w:rsidRPr="00534447">
        <w:t>:</w:t>
      </w:r>
      <w:r w:rsidR="00847E7A" w:rsidRPr="00534447">
        <w:tab/>
      </w:r>
      <w:r w:rsidR="00847E7A" w:rsidRPr="00534447">
        <w:tab/>
      </w:r>
      <w:r w:rsidRPr="00534447">
        <w:t>ECE/</w:t>
      </w:r>
      <w:r w:rsidRPr="00534447">
        <w:rPr>
          <w:rFonts w:eastAsia="SimSun"/>
          <w:lang w:eastAsia="zh-CN"/>
        </w:rPr>
        <w:t>TRANS/WP.15/AC.2/2018/50 (CEFIC).</w:t>
      </w:r>
    </w:p>
    <w:p w:rsidR="005B4102" w:rsidRDefault="005B4102" w:rsidP="00847E7A">
      <w:pPr>
        <w:pStyle w:val="SingleTxtG"/>
        <w:spacing w:after="100"/>
        <w:ind w:left="3402" w:hanging="2268"/>
        <w:rPr>
          <w:rFonts w:eastAsia="SimSun"/>
          <w:lang w:eastAsia="zh-CN"/>
        </w:rPr>
      </w:pPr>
      <w:r>
        <w:rPr>
          <w:rFonts w:eastAsia="SimSun"/>
          <w:i/>
          <w:lang w:eastAsia="zh-CN"/>
        </w:rPr>
        <w:t>Document informel </w:t>
      </w:r>
      <w:r>
        <w:rPr>
          <w:rFonts w:eastAsia="SimSun"/>
          <w:lang w:eastAsia="zh-CN"/>
        </w:rPr>
        <w:t>:</w:t>
      </w:r>
      <w:r>
        <w:rPr>
          <w:rFonts w:eastAsia="SimSun"/>
          <w:lang w:eastAsia="zh-CN"/>
        </w:rPr>
        <w:tab/>
      </w:r>
      <w:r w:rsidRPr="009236E9">
        <w:rPr>
          <w:rFonts w:eastAsia="SimSun"/>
          <w:lang w:eastAsia="zh-CN"/>
        </w:rPr>
        <w:t>INF.23 (CEFIC)</w:t>
      </w:r>
      <w:r>
        <w:rPr>
          <w:rFonts w:eastAsia="SimSun"/>
          <w:lang w:eastAsia="zh-CN"/>
        </w:rPr>
        <w:t>.</w:t>
      </w:r>
    </w:p>
    <w:p w:rsidR="005B4102" w:rsidRDefault="005B4102" w:rsidP="00F92DF1">
      <w:pPr>
        <w:pStyle w:val="SingleTxtG"/>
      </w:pPr>
      <w:r>
        <w:rPr>
          <w:rFonts w:eastAsia="SimSun"/>
          <w:lang w:eastAsia="zh-CN"/>
        </w:rPr>
        <w:t>65.</w:t>
      </w:r>
      <w:r>
        <w:rPr>
          <w:rFonts w:eastAsia="SimSun"/>
          <w:lang w:eastAsia="zh-CN"/>
        </w:rPr>
        <w:tab/>
        <w:t xml:space="preserve">Le Comité de sécurité a </w:t>
      </w:r>
      <w:r>
        <w:t>décidé de transmettre la question concernant le No</w:t>
      </w:r>
      <w:r w:rsidR="00847E7A">
        <w:t> </w:t>
      </w:r>
      <w:r>
        <w:t xml:space="preserve">ONU 3295 soulevée dans le document informel INF.23 au groupe de travail informel des matières et a adopté, avec quelques modifications supplémentaires, la proposition d’amendement à la colonne (16) du tableau C concernant les Nos ONU 1179, 1216 et 3256, pour </w:t>
      </w:r>
      <w:proofErr w:type="spellStart"/>
      <w:r>
        <w:t>entrée</w:t>
      </w:r>
      <w:proofErr w:type="spellEnd"/>
      <w:r>
        <w:t xml:space="preserve"> en vigueur au 1</w:t>
      </w:r>
      <w:r w:rsidRPr="0071070E">
        <w:rPr>
          <w:vertAlign w:val="superscript"/>
        </w:rPr>
        <w:t>er</w:t>
      </w:r>
      <w:r>
        <w:t> janvier 2021 (voir l’annexe I). Le représentant du CEFIC a offert d’étudier l’option consistant à rajouter une ligne au tableau C pour le No</w:t>
      </w:r>
      <w:r w:rsidR="00847E7A">
        <w:t> </w:t>
      </w:r>
      <w:r>
        <w:t>ONU 2395, et de faire rapport à ce sujet au groupe de travail informel des matières.</w:t>
      </w:r>
    </w:p>
    <w:p w:rsidR="005B4102" w:rsidRDefault="00711B48" w:rsidP="00711B48">
      <w:pPr>
        <w:pStyle w:val="H23G"/>
      </w:pPr>
      <w:r>
        <w:tab/>
      </w:r>
      <w:r w:rsidR="005B4102">
        <w:t>19.</w:t>
      </w:r>
      <w:r w:rsidR="005B4102">
        <w:tab/>
        <w:t xml:space="preserve">Résultats des vérifications concernant l’interstice maximal de sécurité </w:t>
      </w:r>
      <w:r>
        <w:br/>
      </w:r>
      <w:r w:rsidR="005B4102">
        <w:t xml:space="preserve">et l’accord multilatéral M 018 </w:t>
      </w:r>
    </w:p>
    <w:p w:rsidR="005B4102" w:rsidRDefault="005B4102" w:rsidP="00AD3BCC">
      <w:pPr>
        <w:pStyle w:val="SingleTxtG"/>
        <w:ind w:left="3402" w:hanging="2268"/>
        <w:rPr>
          <w:rFonts w:eastAsia="SimSun"/>
          <w:lang w:eastAsia="zh-CN"/>
        </w:rPr>
      </w:pPr>
      <w:r>
        <w:rPr>
          <w:i/>
        </w:rPr>
        <w:t>Document </w:t>
      </w:r>
      <w:r>
        <w:t>:</w:t>
      </w:r>
      <w:r>
        <w:tab/>
      </w:r>
      <w:r w:rsidRPr="009236E9">
        <w:rPr>
          <w:rFonts w:eastAsia="SimSun"/>
          <w:lang w:eastAsia="zh-CN"/>
        </w:rPr>
        <w:t>ECE/TRANS/WP.15/AC.2/2018/49 (</w:t>
      </w:r>
      <w:r w:rsidRPr="00DD2DF9">
        <w:rPr>
          <w:rFonts w:eastAsia="SimSun"/>
          <w:lang w:eastAsia="zh-CN"/>
        </w:rPr>
        <w:t>UENF, ERSTU et OEB</w:t>
      </w:r>
      <w:r w:rsidRPr="009236E9">
        <w:rPr>
          <w:rFonts w:eastAsia="SimSun"/>
          <w:lang w:eastAsia="zh-CN"/>
        </w:rPr>
        <w:t>)</w:t>
      </w:r>
      <w:r>
        <w:rPr>
          <w:rFonts w:eastAsia="SimSun"/>
          <w:lang w:eastAsia="zh-CN"/>
        </w:rPr>
        <w:t>.</w:t>
      </w:r>
    </w:p>
    <w:p w:rsidR="005B4102" w:rsidRDefault="005B4102" w:rsidP="00F92DF1">
      <w:pPr>
        <w:pStyle w:val="SingleTxtG"/>
      </w:pPr>
      <w:r>
        <w:rPr>
          <w:rFonts w:eastAsia="SimSun"/>
          <w:lang w:eastAsia="zh-CN"/>
        </w:rPr>
        <w:t>66.</w:t>
      </w:r>
      <w:r>
        <w:rPr>
          <w:rFonts w:eastAsia="SimSun"/>
          <w:lang w:eastAsia="zh-CN"/>
        </w:rPr>
        <w:tab/>
      </w:r>
      <w:r>
        <w:t>Le Comité de sécurité a pris note des préoccupations exprimées dans le document ECE/TRANS/WP.15/AC.2/2018/49 mais, rappelant qu’un accord multilatéral ne pouvait être conclu qu’à l’initiative d’une Partie contractante à l’ADN, a estimé qu’il n’entrait pas dans ses attributions de se prononcer sur la question.</w:t>
      </w:r>
    </w:p>
    <w:p w:rsidR="005B4102" w:rsidRDefault="00711B48" w:rsidP="00711B48">
      <w:pPr>
        <w:pStyle w:val="H23G"/>
      </w:pPr>
      <w:r>
        <w:tab/>
      </w:r>
      <w:r w:rsidR="005B4102">
        <w:t>20.</w:t>
      </w:r>
      <w:r w:rsidR="005B4102">
        <w:tab/>
        <w:t>Divergences dans les diagrammes A et B du 3.2.3.3 de l’ADN</w:t>
      </w:r>
    </w:p>
    <w:p w:rsidR="005B4102" w:rsidRDefault="005B4102" w:rsidP="00AD3BCC">
      <w:pPr>
        <w:pStyle w:val="SingleTxtG"/>
        <w:ind w:left="3402" w:hanging="2268"/>
      </w:pPr>
      <w:r>
        <w:rPr>
          <w:i/>
        </w:rPr>
        <w:t>Document informel </w:t>
      </w:r>
      <w:r>
        <w:t>:</w:t>
      </w:r>
      <w:r>
        <w:tab/>
        <w:t>INF.9 (</w:t>
      </w:r>
      <w:proofErr w:type="spellStart"/>
      <w:r>
        <w:t>FuelsEurope</w:t>
      </w:r>
      <w:proofErr w:type="spellEnd"/>
      <w:r>
        <w:t>).</w:t>
      </w:r>
    </w:p>
    <w:p w:rsidR="005B4102" w:rsidRDefault="005B4102" w:rsidP="00F92DF1">
      <w:pPr>
        <w:pStyle w:val="SingleTxtG"/>
      </w:pPr>
      <w:r>
        <w:t>67.</w:t>
      </w:r>
      <w:r>
        <w:tab/>
        <w:t xml:space="preserve">Le Comité de sécurité a noté que </w:t>
      </w:r>
      <w:proofErr w:type="spellStart"/>
      <w:r>
        <w:t>FuelsEurope</w:t>
      </w:r>
      <w:proofErr w:type="spellEnd"/>
      <w:r>
        <w:t xml:space="preserve"> poursuivait l’élaboration d’une proposition visant à corriger les divergences entre les diagrammes A et B du 3.2.3.3 de l’ADN </w:t>
      </w:r>
      <w:r>
        <w:lastRenderedPageBreak/>
        <w:t>et qu’elle soumettrait une proposition pour examen par le Comité de sécurité à une session ultérieure.</w:t>
      </w:r>
    </w:p>
    <w:p w:rsidR="005B4102" w:rsidRDefault="00711B48" w:rsidP="00711B48">
      <w:pPr>
        <w:pStyle w:val="HChG"/>
      </w:pPr>
      <w:r>
        <w:tab/>
      </w:r>
      <w:r w:rsidR="005B4102">
        <w:t>VI.</w:t>
      </w:r>
      <w:r w:rsidR="005B4102">
        <w:tab/>
        <w:t xml:space="preserve">Rapports des groupes de travail informels </w:t>
      </w:r>
      <w:r>
        <w:br/>
      </w:r>
      <w:r w:rsidR="005B4102">
        <w:t>(point 5 de l’ordre du jour)</w:t>
      </w:r>
    </w:p>
    <w:p w:rsidR="005B4102" w:rsidRDefault="006A0095" w:rsidP="006A0095">
      <w:pPr>
        <w:pStyle w:val="H23G"/>
      </w:pPr>
      <w:r>
        <w:tab/>
      </w:r>
      <w:r w:rsidR="005B4102">
        <w:t>A.</w:t>
      </w:r>
      <w:r w:rsidR="005B4102">
        <w:tab/>
        <w:t>Groupe de travail informel des cuves à membrane</w:t>
      </w:r>
    </w:p>
    <w:p w:rsidR="005B4102" w:rsidRDefault="005B4102" w:rsidP="006A0095">
      <w:pPr>
        <w:pStyle w:val="SingleTxtG"/>
        <w:ind w:left="3402" w:hanging="2268"/>
        <w:jc w:val="left"/>
      </w:pPr>
      <w:r>
        <w:rPr>
          <w:i/>
        </w:rPr>
        <w:t>Document </w:t>
      </w:r>
      <w:r w:rsidR="006A0095">
        <w:t>:</w:t>
      </w:r>
      <w:r w:rsidR="006A0095">
        <w:tab/>
      </w:r>
      <w:r w:rsidR="006A0095">
        <w:tab/>
      </w:r>
      <w:r>
        <w:t>ECE</w:t>
      </w:r>
      <w:r w:rsidRPr="009236E9">
        <w:t>/TRANS/WP.15/AC.2/2018/35 (</w:t>
      </w:r>
      <w:r>
        <w:t>Belgique</w:t>
      </w:r>
      <w:r w:rsidRPr="009236E9">
        <w:t xml:space="preserve">, France </w:t>
      </w:r>
      <w:r w:rsidR="006A0095">
        <w:br/>
      </w:r>
      <w:r>
        <w:t>et Pays-Bas</w:t>
      </w:r>
      <w:r w:rsidRPr="009236E9">
        <w:t>)</w:t>
      </w:r>
      <w:r>
        <w:t>.</w:t>
      </w:r>
    </w:p>
    <w:p w:rsidR="005B4102" w:rsidRDefault="005B4102" w:rsidP="00AD3BCC">
      <w:pPr>
        <w:pStyle w:val="SingleTxtG"/>
        <w:ind w:left="3402" w:hanging="2268"/>
      </w:pPr>
      <w:r>
        <w:rPr>
          <w:i/>
        </w:rPr>
        <w:t>Document informel </w:t>
      </w:r>
      <w:r>
        <w:t>:</w:t>
      </w:r>
      <w:r>
        <w:tab/>
        <w:t>INF.25 (France).</w:t>
      </w:r>
    </w:p>
    <w:p w:rsidR="005B4102" w:rsidRDefault="005B4102" w:rsidP="00F92DF1">
      <w:pPr>
        <w:pStyle w:val="SingleTxtG"/>
      </w:pPr>
      <w:r>
        <w:t>68.</w:t>
      </w:r>
      <w:r>
        <w:tab/>
        <w:t>Le Comité de sécurité a convenu que le groupe de travail informel devrait poursuivre ses travaux sur la question dans le but d’élaborer des dispositions à introduire dans l’ADN en vue d’autoriser cette technologie. Ces dispositions devraient porter sur la conception du bateau, mais aussi sur les questions d’exploitation et de formation. Il a été noté que les nouvelles dispositions devraient permettre l’utilisation de cuves à membrane en tant qu’option par rapport aux citernes à pression classiques, et non en tant que solution de remplacement, et que le niveau de sécurité actuel devrait être maintenu. Ainsi, les citernes à pression classiques actuellement utilisées pour le transport du GNL seraient encore autorisées.</w:t>
      </w:r>
    </w:p>
    <w:p w:rsidR="005B4102" w:rsidRDefault="005B4102" w:rsidP="00F92DF1">
      <w:pPr>
        <w:pStyle w:val="SingleTxtG"/>
      </w:pPr>
      <w:r>
        <w:t>69.</w:t>
      </w:r>
      <w:r>
        <w:tab/>
        <w:t>Le Comité de sécurité a approuvé les options possibles présentées au paragraphe 15 du document ECE/TRANS/WP.15/AC.2/2018/35 et a invité le groupe de travail informel à :</w:t>
      </w:r>
    </w:p>
    <w:p w:rsidR="005B4102" w:rsidRDefault="005B4102" w:rsidP="006A0095">
      <w:pPr>
        <w:pStyle w:val="SingleTxtG"/>
        <w:ind w:firstLine="567"/>
      </w:pPr>
      <w:r>
        <w:t>a)</w:t>
      </w:r>
      <w:r>
        <w:tab/>
        <w:t>Fournir des renseignements sur l’évolution du marché au cours des dernières années, sur les tendances prévisibles et sur les besoins pouvant découler de l’application de cette technologie (certifications, par exemple) ;</w:t>
      </w:r>
    </w:p>
    <w:p w:rsidR="005B4102" w:rsidRDefault="005B4102" w:rsidP="006A0095">
      <w:pPr>
        <w:pStyle w:val="SingleTxtG"/>
        <w:ind w:firstLine="567"/>
      </w:pPr>
      <w:r>
        <w:t>b)</w:t>
      </w:r>
      <w:r>
        <w:tab/>
        <w:t>Continuer de recenser les matières ou types de matières qu’il serait possible de transporter dans les cuves à membrane ;</w:t>
      </w:r>
    </w:p>
    <w:p w:rsidR="005B4102" w:rsidRDefault="005B4102" w:rsidP="006A0095">
      <w:pPr>
        <w:pStyle w:val="SingleTxtG"/>
        <w:ind w:firstLine="567"/>
      </w:pPr>
      <w:r>
        <w:t>c)</w:t>
      </w:r>
      <w:r>
        <w:tab/>
        <w:t>Envisager d’élaborer une disposition particulière relative au transport dans les cuves à membrane ou élaborer une définition générale du terme « cuves à membrane » en vue de l’introduire dans le chapitre 1.2 de l’ADN. Cette définition ne devrait pas faire référence à des technologies particulières.</w:t>
      </w:r>
    </w:p>
    <w:p w:rsidR="005B4102" w:rsidRDefault="005B4102" w:rsidP="006A0095">
      <w:pPr>
        <w:pStyle w:val="SingleTxtG"/>
        <w:keepLines/>
      </w:pPr>
      <w:r>
        <w:t>70.</w:t>
      </w:r>
      <w:r>
        <w:tab/>
        <w:t>Le représentant des Pays-Bas a informé le Comité de sécurité que le groupe de travail informel avait l’intention de se réunir à nouveau les 11 et 12</w:t>
      </w:r>
      <w:r w:rsidR="00DF4CEC">
        <w:t> </w:t>
      </w:r>
      <w:r>
        <w:t>octobre 2018 à La Haye. Il a invité toutes les délégations souhaitant participer à cette réunion à se mettre en rapport avec lui ou avec le représentant de la France.</w:t>
      </w:r>
    </w:p>
    <w:p w:rsidR="005B4102" w:rsidRDefault="00DF4CEC" w:rsidP="00DF4CEC">
      <w:pPr>
        <w:pStyle w:val="H1G"/>
      </w:pPr>
      <w:r>
        <w:tab/>
      </w:r>
      <w:r w:rsidR="005B4102">
        <w:t>B.</w:t>
      </w:r>
      <w:r w:rsidR="005B4102">
        <w:tab/>
        <w:t xml:space="preserve">Deuxième réunion du groupe de travail informel </w:t>
      </w:r>
      <w:r w:rsidR="000E061E">
        <w:br/>
      </w:r>
      <w:r w:rsidR="005B4102">
        <w:t>du mélange de cargaisons</w:t>
      </w:r>
    </w:p>
    <w:p w:rsidR="005B4102" w:rsidRDefault="005B4102" w:rsidP="00DF4CEC">
      <w:pPr>
        <w:pStyle w:val="SingleTxtG"/>
        <w:ind w:left="3402" w:hanging="2268"/>
        <w:jc w:val="left"/>
      </w:pPr>
      <w:r>
        <w:rPr>
          <w:i/>
        </w:rPr>
        <w:t>Document </w:t>
      </w:r>
      <w:r w:rsidR="00DF4CEC">
        <w:t>:</w:t>
      </w:r>
      <w:r w:rsidR="00DF4CEC">
        <w:tab/>
      </w:r>
      <w:r w:rsidR="00DF4CEC">
        <w:tab/>
      </w:r>
      <w:r w:rsidRPr="009236E9">
        <w:t>ECE/TRANS/WP.15/AC.2/2018/39</w:t>
      </w:r>
      <w:r>
        <w:t xml:space="preserve"> (FETSA, UENF, OE</w:t>
      </w:r>
      <w:r w:rsidR="00DF4CEC">
        <w:t xml:space="preserve">B, EBOTA </w:t>
      </w:r>
      <w:r>
        <w:t xml:space="preserve">et </w:t>
      </w:r>
      <w:proofErr w:type="spellStart"/>
      <w:r>
        <w:t>FuelsEurope</w:t>
      </w:r>
      <w:proofErr w:type="spellEnd"/>
      <w:r>
        <w:t>).</w:t>
      </w:r>
    </w:p>
    <w:p w:rsidR="005B4102" w:rsidRDefault="005B4102" w:rsidP="00AD3BCC">
      <w:pPr>
        <w:pStyle w:val="SingleTxtG"/>
        <w:ind w:left="3402" w:hanging="2268"/>
      </w:pPr>
      <w:r>
        <w:rPr>
          <w:i/>
        </w:rPr>
        <w:t>Document informel </w:t>
      </w:r>
      <w:r>
        <w:t>:</w:t>
      </w:r>
      <w:r>
        <w:tab/>
        <w:t xml:space="preserve">INF.17 (FETSA, UENF, OEB, EBOTA et </w:t>
      </w:r>
      <w:proofErr w:type="spellStart"/>
      <w:r>
        <w:t>FuelsEurope</w:t>
      </w:r>
      <w:proofErr w:type="spellEnd"/>
      <w:r>
        <w:t>).</w:t>
      </w:r>
    </w:p>
    <w:p w:rsidR="005B4102" w:rsidRDefault="005B4102" w:rsidP="00F92DF1">
      <w:pPr>
        <w:pStyle w:val="SingleTxtG"/>
      </w:pPr>
      <w:r>
        <w:t>71.</w:t>
      </w:r>
      <w:r>
        <w:tab/>
        <w:t>Le Comité de sécurité n’était pas favorable à la poursuite des travaux décrits dans le document ECE/TRANS/WP.15/AC.2/2018/39. De son point de vue, la mise en place de dispositions relatives aux opérations de mélange à bord des bateaux de navigation intérieure ne relevait pas du champ d’application de l’ADN. Il a été noté que ces opérations devaient être effectuées sur des sites visés par d’autres textes réglementaires tels que la Directive de Seveso</w:t>
      </w:r>
      <w:r w:rsidRPr="00B07826">
        <w:rPr>
          <w:rStyle w:val="FootnoteReference"/>
        </w:rPr>
        <w:footnoteReference w:id="3"/>
      </w:r>
      <w:r>
        <w:t xml:space="preserve"> ou les réglementations portuaires nationales, et certaines délégations ont exprimé des doutes quant à la possibilité d’assurer le même niveau de sécurité lorsque ces opérations étaient effectuées à bord. Il a également été fait observer que, sur les navires de mer, il était </w:t>
      </w:r>
      <w:r>
        <w:lastRenderedPageBreak/>
        <w:t>interdit d’effectuer en mer des opérations de mélange et que ces opérations étaient, comme d’autres activités menées dans les ports maritimes, régies par les législations nationales. Les délégations gouvernementales qui se sont exprimées ont estimé que, dans le cadre de l’ADN, le « mélange de cargaisons » ne pouvait pour l’instant être considéré comme une procédure légale.</w:t>
      </w:r>
    </w:p>
    <w:p w:rsidR="005B4102" w:rsidRDefault="005B4102" w:rsidP="00F92DF1">
      <w:pPr>
        <w:pStyle w:val="SingleTxtG"/>
      </w:pPr>
      <w:r>
        <w:t>72.</w:t>
      </w:r>
      <w:r>
        <w:tab/>
        <w:t>Le Comité de sécurité a fait observer que si un changement de pratique consistant à procéder à des opérations de mélange à bord était justifié, comme le disaient les représentants du secteur, le groupe de travail informel devrait définir les procédures spécifiques applicables, décrire l’ensemble des opérations de façon claire et détaillée (par exemple : quantités et types de matières concernées, consignes de sécurité, prescription d’équipements spécifiques tels que des coupe-flammes et exigences en matière de formation) et préciser toutes les obligations liées à ces opérations, telles que la notification aux autorités compétentes, et les mesures propres à éviter une utilisation abusive de la réglementation (par exemple, le mélange de déchets).</w:t>
      </w:r>
    </w:p>
    <w:p w:rsidR="005B4102" w:rsidRDefault="005B4102" w:rsidP="00F92DF1">
      <w:pPr>
        <w:pStyle w:val="SingleTxtG"/>
      </w:pPr>
      <w:r>
        <w:t>73.</w:t>
      </w:r>
      <w:r>
        <w:tab/>
        <w:t>Le représentant des Pays-Bas s’est porté volontaire pour élaborer un plan des travaux à mener, qui serait soumis pour examen au Comité de sécurité à sa prochaine session.</w:t>
      </w:r>
    </w:p>
    <w:p w:rsidR="005B4102" w:rsidRDefault="00DF4CEC" w:rsidP="00DF4CEC">
      <w:pPr>
        <w:pStyle w:val="H1G"/>
      </w:pPr>
      <w:r>
        <w:tab/>
      </w:r>
      <w:r w:rsidR="005B4102">
        <w:t>C.</w:t>
      </w:r>
      <w:r w:rsidR="005B4102">
        <w:tab/>
        <w:t>Groupe de travail informel des matières</w:t>
      </w:r>
    </w:p>
    <w:p w:rsidR="005B4102" w:rsidRDefault="005B4102" w:rsidP="00AD3BCC">
      <w:pPr>
        <w:pStyle w:val="SingleTxtG"/>
        <w:ind w:left="3402" w:hanging="2268"/>
      </w:pPr>
      <w:r>
        <w:rPr>
          <w:i/>
        </w:rPr>
        <w:t>Document </w:t>
      </w:r>
      <w:r>
        <w:t>:</w:t>
      </w:r>
      <w:r>
        <w:tab/>
      </w:r>
      <w:r w:rsidRPr="009236E9">
        <w:t>ECE/TRANS/WP.15/AC.2/2018/44 (</w:t>
      </w:r>
      <w:r>
        <w:t>Allemagne</w:t>
      </w:r>
      <w:r w:rsidRPr="009236E9">
        <w:t>)</w:t>
      </w:r>
      <w:r>
        <w:t>.</w:t>
      </w:r>
    </w:p>
    <w:p w:rsidR="005B4102" w:rsidRDefault="005B4102" w:rsidP="00F92DF1">
      <w:pPr>
        <w:pStyle w:val="SingleTxtG"/>
      </w:pPr>
      <w:r>
        <w:t>74.</w:t>
      </w:r>
      <w:r>
        <w:tab/>
        <w:t>Le Comité de sécurité a approuvé la proposition d’examiner la nécessité d’une révision des exemples du 3.1.2.8.1.4, formulée par le groupe de travail informel au paragraphe 10 du document à l’examen, et a adopté les amendements proposés aux paragraphes 5 à 9, 12 à 18, 21, 23, 24, 30, 31 et 38 pour l’édition 2021 de l’ADN (voir l’annexe I).</w:t>
      </w:r>
      <w:r>
        <w:tab/>
        <w:t xml:space="preserve"> La proposition du paragraphe 17, concernant la version allemande seulement, a aussi été adoptée.</w:t>
      </w:r>
    </w:p>
    <w:p w:rsidR="005B4102" w:rsidRDefault="005B4102" w:rsidP="00F92DF1">
      <w:pPr>
        <w:pStyle w:val="SingleTxtG"/>
      </w:pPr>
      <w:r>
        <w:t>75.</w:t>
      </w:r>
      <w:r>
        <w:tab/>
        <w:t>En ce qui concerne la proposition faite au paragraphe 18 du document, le Comité de sécurité a estimé que la suppression de l’adjectif « anhydre » de l’entrée du numéro d’identification de la matière 9000 était sans incidence sur le plan de la sécurité et qu’elle était justifiée vu que, les liquides fortement réfrigérés étant toujours exempts d’eau, la mention « anhydre » était superflue.</w:t>
      </w:r>
    </w:p>
    <w:p w:rsidR="005B4102" w:rsidRDefault="005B4102" w:rsidP="00F92DF1">
      <w:pPr>
        <w:pStyle w:val="SingleTxtG"/>
      </w:pPr>
      <w:r>
        <w:t>76.</w:t>
      </w:r>
      <w:r>
        <w:tab/>
        <w:t>Le Comité de sécurité a invité le groupe de travail informel à envisager une période de transition pour des boues d’hydrocarbures et à formuler des propositions de solutions au problème évoqué au paragraphe 28 du document, à propos de l’emploi du terme « </w:t>
      </w:r>
      <w:proofErr w:type="spellStart"/>
      <w:r>
        <w:t>sludge</w:t>
      </w:r>
      <w:proofErr w:type="spellEnd"/>
      <w:r>
        <w:t> ».</w:t>
      </w:r>
    </w:p>
    <w:p w:rsidR="005B4102" w:rsidRDefault="005B4102" w:rsidP="00F92DF1">
      <w:pPr>
        <w:pStyle w:val="SingleTxtG"/>
      </w:pPr>
      <w:r>
        <w:t>77.</w:t>
      </w:r>
      <w:r>
        <w:tab/>
        <w:t>La proposition faite au paragraphe 38, concernant l’observation 44, a été adoptée pour l’édition 2021 de l’ADN (voir l’annexe I). Le Comité de sécurité a confirmé que la même interprétation s’appliquait à l’édition 2019 de l’ADN : la distinction entre les sous</w:t>
      </w:r>
      <w:r w:rsidR="00BB03AE">
        <w:noBreakHyphen/>
      </w:r>
      <w:r>
        <w:t>groupes II B3, II B2 ou II B1 du groupe d’explosion II B ou du groupe d’explosion II A est possible sur la base de données de mesure ou d’informations vérifiées en conformité avec la norme CEI 60079-20-1 ou une norme équivalente.</w:t>
      </w:r>
    </w:p>
    <w:p w:rsidR="005B4102" w:rsidRDefault="00DF4CEC" w:rsidP="00DF4CEC">
      <w:pPr>
        <w:pStyle w:val="HChG"/>
      </w:pPr>
      <w:r>
        <w:tab/>
      </w:r>
      <w:r w:rsidR="005B4102">
        <w:t>VII.</w:t>
      </w:r>
      <w:r w:rsidR="005B4102">
        <w:tab/>
        <w:t xml:space="preserve">Programme de travail et calendrier des réunions </w:t>
      </w:r>
      <w:r>
        <w:br/>
      </w:r>
      <w:r w:rsidR="005B4102">
        <w:t>(point 6 de l’ordre du jour)</w:t>
      </w:r>
      <w:r w:rsidR="005B4102">
        <w:tab/>
      </w:r>
    </w:p>
    <w:p w:rsidR="005B4102" w:rsidRDefault="005B4102" w:rsidP="00F92DF1">
      <w:pPr>
        <w:pStyle w:val="SingleTxtG"/>
      </w:pPr>
      <w:r>
        <w:t>78.</w:t>
      </w:r>
      <w:r>
        <w:tab/>
        <w:t>Le Comité de sécurité a noté que sa prochaine session, qui serait la trente-quatrième, se tiendrait à Genève du 21 au 25 janvier 2019 et que la vingt-deuxième session du Comité d’administration de l’ADN devrait avoir lieu le 25 janvier 2019. La date limite de soumission des documents pour ces réunions a été fixée au 26 octobre 2018.</w:t>
      </w:r>
    </w:p>
    <w:p w:rsidR="005B4102" w:rsidRDefault="005B4102" w:rsidP="00F92DF1">
      <w:pPr>
        <w:pStyle w:val="SingleTxtG"/>
      </w:pPr>
      <w:r>
        <w:t>79.</w:t>
      </w:r>
      <w:r>
        <w:tab/>
        <w:t xml:space="preserve">Le représentant de l’Allemagne a informé le Comité de sécurité qu’un grand nombre de questions seraient probablement soulevées au cours de la prochaine période biennale à la suite de l’entrée en vigueur des nouvelles dispositions concernant la protection contre les explosions. Notant que le groupe de travail informel qui les avait élaborées avait cessé d’exister, le Comité de sécurité a demandé au groupe de travail informel des matières d’envisager d’inscrire cette question à son programme de travail pour la prochaine période </w:t>
      </w:r>
      <w:r>
        <w:lastRenderedPageBreak/>
        <w:t>biennale et a encouragé les experts du domaine à participer aux travaux du groupe. Le Président du groupe de travail informel a fait savoir que le groupe ferait tout son possible pour faire face à ces nouvelles tâches, mais a constaté que cela représenterait un élargissement notable du champ d’activité et une augmentation importante de la charge de travail du groupe et que cela pourrait rendre nécessaire une augmentation de la durée ou de la fréquence des réunions. Il a été suggéré que soit constitué, au sein du groupe de travail informel des matières, un sous-groupe qui s’occuperait exclusivement des questions de protection contre les explosions.</w:t>
      </w:r>
    </w:p>
    <w:p w:rsidR="005B4102" w:rsidRDefault="00DF4CEC" w:rsidP="00DF4CEC">
      <w:pPr>
        <w:pStyle w:val="HChG"/>
      </w:pPr>
      <w:r>
        <w:tab/>
      </w:r>
      <w:r w:rsidR="005B4102">
        <w:t>VIII.</w:t>
      </w:r>
      <w:r w:rsidR="005B4102">
        <w:tab/>
        <w:t>Questions diverses (point 7 de l’ordre du jour)</w:t>
      </w:r>
    </w:p>
    <w:p w:rsidR="005B4102" w:rsidRDefault="00DF4CEC" w:rsidP="00DF4CEC">
      <w:pPr>
        <w:pStyle w:val="H1G"/>
      </w:pPr>
      <w:r>
        <w:tab/>
      </w:r>
      <w:r w:rsidR="005B4102">
        <w:t>A.</w:t>
      </w:r>
      <w:r w:rsidR="005B4102">
        <w:tab/>
        <w:t xml:space="preserve">Meilleures pratiques en matière de prélèvement d’échantillons </w:t>
      </w:r>
      <w:r>
        <w:br/>
      </w:r>
      <w:r w:rsidR="005B4102">
        <w:t>sur les barges</w:t>
      </w:r>
    </w:p>
    <w:p w:rsidR="005B4102" w:rsidRDefault="005B4102" w:rsidP="00F92DF1">
      <w:pPr>
        <w:pStyle w:val="SingleTxtG"/>
      </w:pPr>
      <w:r>
        <w:t>80.</w:t>
      </w:r>
      <w:r>
        <w:tab/>
        <w:t>Le représentant du CEFIC a fait un exposé sur les meilleures pratiques en matière de prélèvement d’échantillons sur les barges. Le Comité de sécurité s’est félicité de la poursuite des travaux sur cette question dans le cadre d’un groupe de travail par correspondance dirigé par l’Allemagne. Les délégations intéressées ont été invitées à se faire connaître au représentant de l’Allemagne et à faire part de leurs observations sur les questions et les propositions préliminaires présentées par le CEFIC.</w:t>
      </w:r>
    </w:p>
    <w:p w:rsidR="005B4102" w:rsidRDefault="00DF4CEC" w:rsidP="00DF4CEC">
      <w:pPr>
        <w:pStyle w:val="H1G"/>
      </w:pPr>
      <w:r>
        <w:tab/>
      </w:r>
      <w:r w:rsidR="005B4102">
        <w:t>B.</w:t>
      </w:r>
      <w:r w:rsidR="005B4102">
        <w:tab/>
        <w:t>Hommages</w:t>
      </w:r>
    </w:p>
    <w:p w:rsidR="005B4102" w:rsidRDefault="005B4102" w:rsidP="00F92DF1">
      <w:pPr>
        <w:pStyle w:val="SingleTxtG"/>
      </w:pPr>
      <w:r>
        <w:t>81.</w:t>
      </w:r>
      <w:r>
        <w:tab/>
        <w:t>Le Comité de sécurité a été informé que M. H. Rein (Allemagne) participait pour la dernière fois à une de ses sessions, car il allait prochainement partir à la retraite. M. Rein a présidé le Comité de sécurité de l’ADN à partir de 2000, le Comité d’administration de l’ADN depuis sa première session en 2008 et la Commission d’experts du RID de 1999 à 2016. Il a également assuré la vice-présidence de la Réunion commune RID/ADR/ADN depuis 1996. Le Comité de sécurité l’a chaleureusement remercié d’avoir apporté une remarquable contribution à la sécurité du transport des marchandises dangereuses en général et plus particulièrement par voies de navigation intérieures, et il lui a souhaité une longue et heureuse retraite.</w:t>
      </w:r>
    </w:p>
    <w:p w:rsidR="005B4102" w:rsidRDefault="005B4102" w:rsidP="00F92DF1">
      <w:pPr>
        <w:pStyle w:val="SingleTxtG"/>
      </w:pPr>
      <w:r>
        <w:t>82.</w:t>
      </w:r>
      <w:r>
        <w:tab/>
        <w:t>Notant que M. K. Ackermann, qui a représenté le CEFIC au cours des huit dernières années, allait prendre de nouvelles fonctions et participait lui aussi pour la dernière fois à une de ses sessions, le Comité de sécurité l’a remercié pour sa contribution et pour son appui à ses travaux et lui a souhaité plein succès dans ses entreprises futures.</w:t>
      </w:r>
    </w:p>
    <w:p w:rsidR="005B4102" w:rsidRDefault="00DF4CEC" w:rsidP="00DF4CEC">
      <w:pPr>
        <w:pStyle w:val="HChG"/>
      </w:pPr>
      <w:r>
        <w:tab/>
      </w:r>
      <w:r w:rsidR="005B4102">
        <w:t>IX.</w:t>
      </w:r>
      <w:r w:rsidR="005B4102">
        <w:tab/>
        <w:t>Adoption du rapport (point 8 de l’ordre du jour)</w:t>
      </w:r>
    </w:p>
    <w:p w:rsidR="005B4102" w:rsidRPr="009236E9" w:rsidRDefault="005B4102" w:rsidP="00DF4CEC">
      <w:pPr>
        <w:pStyle w:val="SingleTxtG"/>
      </w:pPr>
      <w:r>
        <w:t>83.</w:t>
      </w:r>
      <w:r>
        <w:tab/>
        <w:t>Le Comité de sécurité a adopté le rapport sur sa trente-troisième session et ses annexes sur la base d’un projet établi par le secrétariat.</w:t>
      </w:r>
    </w:p>
    <w:p w:rsidR="005B4102" w:rsidRPr="00FD6EE4" w:rsidRDefault="005B4102" w:rsidP="005B4102">
      <w:pPr>
        <w:pStyle w:val="HChG"/>
        <w:spacing w:line="240" w:lineRule="atLeast"/>
      </w:pPr>
      <w:r w:rsidRPr="009236E9">
        <w:br w:type="page"/>
      </w:r>
      <w:bookmarkStart w:id="1" w:name="_Toc397351336"/>
      <w:r w:rsidRPr="005F6314">
        <w:rPr>
          <w:lang w:val="fr-FR"/>
        </w:rPr>
        <w:lastRenderedPageBreak/>
        <w:t>Annexe I</w:t>
      </w:r>
    </w:p>
    <w:p w:rsidR="005B4102" w:rsidRPr="005F6314" w:rsidRDefault="005B4102" w:rsidP="00FD6EE4">
      <w:pPr>
        <w:pStyle w:val="SingleTxtG"/>
        <w:jc w:val="right"/>
        <w:rPr>
          <w:lang w:val="fr-FR" w:eastAsia="zh-CN"/>
        </w:rPr>
      </w:pPr>
      <w:r w:rsidRPr="005F6314">
        <w:rPr>
          <w:lang w:val="fr-FR"/>
        </w:rPr>
        <w:t>[</w:t>
      </w:r>
      <w:r w:rsidRPr="00FD6EE4">
        <w:rPr>
          <w:i/>
          <w:lang w:val="fr-FR"/>
        </w:rPr>
        <w:t>Original : anglais et français</w:t>
      </w:r>
      <w:r w:rsidRPr="005F6314">
        <w:rPr>
          <w:lang w:val="fr-FR"/>
        </w:rPr>
        <w:t>]</w:t>
      </w:r>
    </w:p>
    <w:p w:rsidR="005B4102" w:rsidRPr="005F6314" w:rsidRDefault="005B4102" w:rsidP="005B4102">
      <w:pPr>
        <w:pStyle w:val="HChG"/>
        <w:spacing w:line="240" w:lineRule="atLeast"/>
        <w:rPr>
          <w:lang w:val="fr-FR"/>
        </w:rPr>
      </w:pPr>
      <w:r w:rsidRPr="005F6314">
        <w:rPr>
          <w:lang w:val="fr-FR"/>
        </w:rPr>
        <w:tab/>
      </w:r>
      <w:r w:rsidRPr="005F6314">
        <w:rPr>
          <w:lang w:val="fr-FR"/>
        </w:rPr>
        <w:tab/>
      </w:r>
      <w:bookmarkStart w:id="2" w:name="_Toc397356015"/>
      <w:r w:rsidRPr="005F6314">
        <w:rPr>
          <w:lang w:val="fr-FR"/>
        </w:rPr>
        <w:t>Projet d</w:t>
      </w:r>
      <w:r>
        <w:rPr>
          <w:lang w:val="fr-FR"/>
        </w:rPr>
        <w:t>’</w:t>
      </w:r>
      <w:r w:rsidRPr="005F6314">
        <w:rPr>
          <w:lang w:val="fr-FR"/>
        </w:rPr>
        <w:t>amendements au Règlement annexé à l</w:t>
      </w:r>
      <w:r>
        <w:rPr>
          <w:lang w:val="fr-FR"/>
        </w:rPr>
        <w:t>’</w:t>
      </w:r>
      <w:r w:rsidRPr="005F6314">
        <w:rPr>
          <w:lang w:val="fr-FR"/>
        </w:rPr>
        <w:t>ADN</w:t>
      </w:r>
      <w:r w:rsidRPr="005F6314">
        <w:rPr>
          <w:lang w:val="fr-FR"/>
        </w:rPr>
        <w:br/>
        <w:t xml:space="preserve">pour </w:t>
      </w:r>
      <w:proofErr w:type="spellStart"/>
      <w:r w:rsidRPr="005F6314">
        <w:rPr>
          <w:lang w:val="fr-FR"/>
        </w:rPr>
        <w:t>entrée</w:t>
      </w:r>
      <w:proofErr w:type="spellEnd"/>
      <w:r w:rsidRPr="005F6314">
        <w:rPr>
          <w:lang w:val="fr-FR"/>
        </w:rPr>
        <w:t xml:space="preserve"> en vigueur le 1</w:t>
      </w:r>
      <w:r w:rsidRPr="005F6314">
        <w:rPr>
          <w:vertAlign w:val="superscript"/>
          <w:lang w:val="fr-FR"/>
        </w:rPr>
        <w:t>er</w:t>
      </w:r>
      <w:r w:rsidRPr="005F6314">
        <w:rPr>
          <w:lang w:val="fr-FR"/>
        </w:rPr>
        <w:t xml:space="preserve"> janvier 20</w:t>
      </w:r>
      <w:bookmarkEnd w:id="2"/>
      <w:r w:rsidRPr="005F6314">
        <w:rPr>
          <w:lang w:val="fr-FR"/>
        </w:rPr>
        <w:t xml:space="preserve">21 </w:t>
      </w:r>
    </w:p>
    <w:p w:rsidR="005B4102" w:rsidRPr="005F6314" w:rsidRDefault="005B4102" w:rsidP="004D411B">
      <w:pPr>
        <w:keepNext/>
        <w:keepLines/>
        <w:tabs>
          <w:tab w:val="right" w:pos="851"/>
        </w:tabs>
        <w:spacing w:before="240" w:after="100"/>
        <w:ind w:left="1134" w:right="1134" w:hanging="1134"/>
        <w:rPr>
          <w:b/>
          <w:lang w:val="fr-FR"/>
        </w:rPr>
      </w:pPr>
      <w:bookmarkStart w:id="3" w:name="_Hlk523244416"/>
      <w:r w:rsidRPr="005F6314">
        <w:rPr>
          <w:b/>
          <w:lang w:val="fr-FR"/>
        </w:rPr>
        <w:tab/>
      </w:r>
      <w:r w:rsidRPr="005F6314">
        <w:rPr>
          <w:b/>
          <w:lang w:val="fr-FR"/>
        </w:rPr>
        <w:tab/>
        <w:t>Chapitre 1.2</w:t>
      </w:r>
    </w:p>
    <w:p w:rsidR="005B4102" w:rsidRPr="005F6314" w:rsidRDefault="005B4102" w:rsidP="004D411B">
      <w:pPr>
        <w:pStyle w:val="SingleTxtG"/>
        <w:spacing w:after="100"/>
        <w:ind w:left="2268" w:hanging="1134"/>
        <w:rPr>
          <w:lang w:val="fr-FR"/>
        </w:rPr>
      </w:pPr>
      <w:r>
        <w:rPr>
          <w:lang w:val="fr-FR"/>
        </w:rPr>
        <w:t>1.2.1</w:t>
      </w:r>
      <w:r>
        <w:rPr>
          <w:lang w:val="fr-FR"/>
        </w:rPr>
        <w:tab/>
      </w:r>
      <w:r w:rsidRPr="005F6314">
        <w:rPr>
          <w:lang w:val="fr-FR"/>
        </w:rPr>
        <w:t xml:space="preserve">Modifier la définition de </w:t>
      </w:r>
      <w:r w:rsidRPr="002220A3">
        <w:rPr>
          <w:iCs/>
          <w:lang w:val="fr-FR"/>
        </w:rPr>
        <w:t>«</w:t>
      </w:r>
      <w:r w:rsidR="002220A3">
        <w:rPr>
          <w:iCs/>
          <w:lang w:val="fr-FR"/>
        </w:rPr>
        <w:t> </w:t>
      </w:r>
      <w:r w:rsidRPr="005F6314">
        <w:rPr>
          <w:i/>
          <w:iCs/>
          <w:lang w:val="fr-FR"/>
        </w:rPr>
        <w:t>Groupe d</w:t>
      </w:r>
      <w:r>
        <w:rPr>
          <w:i/>
          <w:iCs/>
          <w:lang w:val="fr-FR"/>
        </w:rPr>
        <w:t>’</w:t>
      </w:r>
      <w:r w:rsidRPr="005F6314">
        <w:rPr>
          <w:i/>
          <w:iCs/>
          <w:lang w:val="fr-FR"/>
        </w:rPr>
        <w:t>explosion</w:t>
      </w:r>
      <w:r w:rsidR="002220A3">
        <w:rPr>
          <w:i/>
          <w:iCs/>
          <w:lang w:val="fr-FR"/>
        </w:rPr>
        <w:t> </w:t>
      </w:r>
      <w:r w:rsidRPr="002220A3">
        <w:rPr>
          <w:iCs/>
          <w:lang w:val="fr-FR"/>
        </w:rPr>
        <w:t>»</w:t>
      </w:r>
      <w:r w:rsidRPr="005F6314">
        <w:rPr>
          <w:lang w:val="fr-FR"/>
        </w:rPr>
        <w:t xml:space="preserve"> pour lire comme suit</w:t>
      </w:r>
      <w:r>
        <w:rPr>
          <w:lang w:val="fr-FR"/>
        </w:rPr>
        <w:t> </w:t>
      </w:r>
      <w:r w:rsidRPr="005F6314">
        <w:rPr>
          <w:lang w:val="fr-FR"/>
        </w:rPr>
        <w:t>:</w:t>
      </w:r>
    </w:p>
    <w:p w:rsidR="005B4102" w:rsidRPr="005F6314" w:rsidRDefault="004632F5" w:rsidP="004D411B">
      <w:pPr>
        <w:pStyle w:val="SingleTxtG"/>
        <w:spacing w:after="100"/>
        <w:rPr>
          <w:lang w:val="fr-FR"/>
        </w:rPr>
      </w:pPr>
      <w:r>
        <w:rPr>
          <w:lang w:val="fr-FR"/>
        </w:rPr>
        <w:t>« </w:t>
      </w:r>
      <w:r w:rsidR="005B4102" w:rsidRPr="005F6314">
        <w:rPr>
          <w:i/>
          <w:lang w:val="fr-FR"/>
        </w:rPr>
        <w:t>Groupe</w:t>
      </w:r>
      <w:r w:rsidR="005B4102" w:rsidRPr="005F6314">
        <w:rPr>
          <w:lang w:val="fr-FR"/>
        </w:rPr>
        <w:t>/</w:t>
      </w:r>
      <w:r w:rsidR="005B4102" w:rsidRPr="005F6314">
        <w:rPr>
          <w:i/>
          <w:lang w:val="fr-FR"/>
        </w:rPr>
        <w:t>sous</w:t>
      </w:r>
      <w:r w:rsidR="005B4102" w:rsidRPr="005F6314">
        <w:rPr>
          <w:lang w:val="fr-FR"/>
        </w:rPr>
        <w:t>-</w:t>
      </w:r>
      <w:r w:rsidR="005B4102" w:rsidRPr="005F6314">
        <w:rPr>
          <w:i/>
          <w:lang w:val="fr-FR"/>
        </w:rPr>
        <w:t>groupe d</w:t>
      </w:r>
      <w:r w:rsidR="005B4102">
        <w:rPr>
          <w:i/>
          <w:lang w:val="fr-FR"/>
        </w:rPr>
        <w:t>’</w:t>
      </w:r>
      <w:r w:rsidR="005B4102" w:rsidRPr="005F6314">
        <w:rPr>
          <w:i/>
          <w:lang w:val="fr-FR"/>
        </w:rPr>
        <w:t>explosion</w:t>
      </w:r>
      <w:r w:rsidR="005B4102">
        <w:rPr>
          <w:i/>
          <w:lang w:val="fr-FR"/>
        </w:rPr>
        <w:t> </w:t>
      </w:r>
      <w:r w:rsidR="005B4102" w:rsidRPr="005F6314">
        <w:rPr>
          <w:lang w:val="fr-FR"/>
        </w:rPr>
        <w:t>: classement des gaz et des vapeurs inflammables suivant leur interstice expérimental maximal de sécurité (largeur de l</w:t>
      </w:r>
      <w:r w:rsidR="005B4102">
        <w:rPr>
          <w:lang w:val="fr-FR"/>
        </w:rPr>
        <w:t>’</w:t>
      </w:r>
      <w:r w:rsidR="005B4102" w:rsidRPr="005F6314">
        <w:rPr>
          <w:lang w:val="fr-FR"/>
        </w:rPr>
        <w:t>interstice de sécurité déterminée dans des conditions spécifiées) et leur courant minimal d</w:t>
      </w:r>
      <w:r w:rsidR="005B4102">
        <w:rPr>
          <w:lang w:val="fr-FR"/>
        </w:rPr>
        <w:t>’</w:t>
      </w:r>
      <w:r w:rsidR="005B4102" w:rsidRPr="005F6314">
        <w:rPr>
          <w:lang w:val="fr-FR"/>
        </w:rPr>
        <w:t>inflammation, ainsi que des matériels électriques destinés à être utilisés dans les atmosphères explosives (voir EN CEI 60079-</w:t>
      </w:r>
      <w:proofErr w:type="gramStart"/>
      <w:r w:rsidR="005B4102" w:rsidRPr="005F6314">
        <w:rPr>
          <w:lang w:val="fr-FR"/>
        </w:rPr>
        <w:t>0:</w:t>
      </w:r>
      <w:proofErr w:type="gramEnd"/>
      <w:r w:rsidR="005B4102" w:rsidRPr="005F6314">
        <w:rPr>
          <w:lang w:val="fr-FR"/>
        </w:rPr>
        <w:t>2012), installations, équipements et systèmes de protection autonomes. Pour les systèmes de protection autonomes, le groupe d</w:t>
      </w:r>
      <w:r w:rsidR="005B4102">
        <w:rPr>
          <w:lang w:val="fr-FR"/>
        </w:rPr>
        <w:t>’</w:t>
      </w:r>
      <w:r w:rsidR="005B4102" w:rsidRPr="005F6314">
        <w:rPr>
          <w:lang w:val="fr-FR"/>
        </w:rPr>
        <w:t>explosion II B</w:t>
      </w:r>
      <w:r>
        <w:rPr>
          <w:lang w:val="fr-FR"/>
        </w:rPr>
        <w:t xml:space="preserve"> est subdivisé en sous-groupes. »</w:t>
      </w:r>
      <w:r w:rsidR="005B4102" w:rsidRPr="005F6314">
        <w:rPr>
          <w:lang w:val="fr-FR"/>
        </w:rPr>
        <w:t>.</w:t>
      </w:r>
    </w:p>
    <w:p w:rsidR="005B4102" w:rsidRPr="005F6314" w:rsidRDefault="005B4102" w:rsidP="004D411B">
      <w:pPr>
        <w:pStyle w:val="SingleTxtG"/>
        <w:spacing w:after="100"/>
        <w:rPr>
          <w:i/>
          <w:iCs/>
          <w:lang w:val="fr-FR"/>
        </w:rPr>
      </w:pPr>
      <w:r w:rsidRPr="004632F5">
        <w:rPr>
          <w:iCs/>
          <w:lang w:val="fr-FR"/>
        </w:rPr>
        <w:t>(</w:t>
      </w:r>
      <w:r w:rsidRPr="005F6314">
        <w:rPr>
          <w:i/>
          <w:iCs/>
          <w:lang w:val="fr-FR"/>
        </w:rPr>
        <w:t>Document de référence</w:t>
      </w:r>
      <w:r>
        <w:rPr>
          <w:i/>
          <w:iCs/>
          <w:lang w:val="fr-FR"/>
        </w:rPr>
        <w:t> </w:t>
      </w:r>
      <w:r w:rsidRPr="005F6314">
        <w:rPr>
          <w:i/>
          <w:iCs/>
          <w:lang w:val="fr-FR"/>
        </w:rPr>
        <w:t>: ECE/TRANS/WP.15/AC.2/2018/44</w:t>
      </w:r>
      <w:r w:rsidRPr="004632F5">
        <w:rPr>
          <w:iCs/>
          <w:lang w:val="fr-FR"/>
        </w:rPr>
        <w:t>)</w:t>
      </w:r>
    </w:p>
    <w:p w:rsidR="005B4102" w:rsidRPr="005F6314" w:rsidRDefault="005B4102" w:rsidP="004D411B">
      <w:pPr>
        <w:pStyle w:val="SingleTxtG"/>
        <w:spacing w:after="100"/>
        <w:ind w:left="2268" w:hanging="1134"/>
        <w:rPr>
          <w:lang w:val="fr-FR"/>
        </w:rPr>
      </w:pPr>
      <w:bookmarkStart w:id="4" w:name="_Hlk523498928"/>
      <w:r w:rsidRPr="005F6314">
        <w:rPr>
          <w:lang w:val="fr-FR"/>
        </w:rPr>
        <w:t>1.2.1</w:t>
      </w:r>
      <w:bookmarkEnd w:id="4"/>
      <w:r>
        <w:rPr>
          <w:lang w:val="fr-FR"/>
        </w:rPr>
        <w:tab/>
      </w:r>
      <w:r w:rsidRPr="005F6314">
        <w:rPr>
          <w:lang w:val="fr-FR"/>
        </w:rPr>
        <w:t>Ajouter la nouvelle définition suivante dans l</w:t>
      </w:r>
      <w:r>
        <w:rPr>
          <w:lang w:val="fr-FR"/>
        </w:rPr>
        <w:t>’</w:t>
      </w:r>
      <w:r w:rsidRPr="005F6314">
        <w:rPr>
          <w:lang w:val="fr-FR"/>
        </w:rPr>
        <w:t>ordre alphabétique</w:t>
      </w:r>
      <w:r>
        <w:rPr>
          <w:lang w:val="fr-FR"/>
        </w:rPr>
        <w:t> </w:t>
      </w:r>
      <w:r w:rsidRPr="005F6314">
        <w:rPr>
          <w:lang w:val="fr-FR"/>
        </w:rPr>
        <w:t>:</w:t>
      </w:r>
    </w:p>
    <w:p w:rsidR="005B4102" w:rsidRPr="005F6314" w:rsidRDefault="004632F5" w:rsidP="004D411B">
      <w:pPr>
        <w:pStyle w:val="SingleTxtG"/>
        <w:spacing w:after="100"/>
        <w:rPr>
          <w:lang w:val="fr-FR"/>
        </w:rPr>
      </w:pPr>
      <w:r>
        <w:rPr>
          <w:lang w:val="fr-FR"/>
        </w:rPr>
        <w:t>« </w:t>
      </w:r>
      <w:r w:rsidR="005B4102" w:rsidRPr="005F6314">
        <w:rPr>
          <w:i/>
          <w:lang w:val="fr-FR"/>
        </w:rPr>
        <w:t>Boues d</w:t>
      </w:r>
      <w:r w:rsidR="005B4102">
        <w:rPr>
          <w:i/>
          <w:lang w:val="fr-FR"/>
        </w:rPr>
        <w:t>’</w:t>
      </w:r>
      <w:r w:rsidR="005B4102" w:rsidRPr="005F6314">
        <w:rPr>
          <w:i/>
          <w:lang w:val="fr-FR"/>
        </w:rPr>
        <w:t>hydrocarbures</w:t>
      </w:r>
      <w:r w:rsidR="005B4102">
        <w:rPr>
          <w:i/>
          <w:lang w:val="fr-FR"/>
        </w:rPr>
        <w:t> </w:t>
      </w:r>
      <w:r w:rsidR="005B4102" w:rsidRPr="005F6314">
        <w:rPr>
          <w:lang w:val="fr-FR"/>
        </w:rPr>
        <w:t>: les hydrocarbures résiduaires issus de l</w:t>
      </w:r>
      <w:r w:rsidR="005B4102">
        <w:rPr>
          <w:lang w:val="fr-FR"/>
        </w:rPr>
        <w:t>’</w:t>
      </w:r>
      <w:r w:rsidR="005B4102" w:rsidRPr="005F6314">
        <w:rPr>
          <w:lang w:val="fr-FR"/>
        </w:rPr>
        <w:t>exploitation normale de navires de mer, par exemple les résidus issus du traitement de combustible ou d</w:t>
      </w:r>
      <w:r w:rsidR="005B4102">
        <w:rPr>
          <w:lang w:val="fr-FR"/>
        </w:rPr>
        <w:t>’</w:t>
      </w:r>
      <w:r w:rsidR="005B4102" w:rsidRPr="005F6314">
        <w:rPr>
          <w:lang w:val="fr-FR"/>
        </w:rPr>
        <w:t>huiles de graissage pour les machines principales ou auxiliaires, les huiles usées obtenues par séparation provenant des installations de filtrage des hydrocarbures, les résidus huileux recueillis dans des gattes et les résidus d</w:t>
      </w:r>
      <w:r w:rsidR="005B4102">
        <w:rPr>
          <w:lang w:val="fr-FR"/>
        </w:rPr>
        <w:t>’</w:t>
      </w:r>
      <w:r w:rsidR="005B4102" w:rsidRPr="005F6314">
        <w:rPr>
          <w:lang w:val="fr-FR"/>
        </w:rPr>
        <w:t>huiles hydrauliques et lubrifiantes.</w:t>
      </w:r>
    </w:p>
    <w:p w:rsidR="005B4102" w:rsidRPr="005F6314" w:rsidRDefault="005B4102" w:rsidP="004D411B">
      <w:pPr>
        <w:pStyle w:val="SingleTxtG"/>
        <w:spacing w:after="100"/>
        <w:rPr>
          <w:i/>
          <w:iCs/>
          <w:lang w:val="fr-FR"/>
        </w:rPr>
      </w:pPr>
      <w:r w:rsidRPr="005F6314">
        <w:rPr>
          <w:b/>
          <w:bCs/>
          <w:i/>
          <w:iCs/>
          <w:lang w:val="fr-FR"/>
        </w:rPr>
        <w:t>NOTA</w:t>
      </w:r>
      <w:r>
        <w:rPr>
          <w:b/>
          <w:bCs/>
          <w:i/>
          <w:iCs/>
          <w:lang w:val="fr-FR"/>
        </w:rPr>
        <w:t> </w:t>
      </w:r>
      <w:r w:rsidRPr="004632F5">
        <w:rPr>
          <w:bCs/>
          <w:iCs/>
          <w:lang w:val="fr-FR"/>
        </w:rPr>
        <w:t>:</w:t>
      </w:r>
      <w:r>
        <w:rPr>
          <w:i/>
          <w:iCs/>
          <w:lang w:val="fr-FR"/>
        </w:rPr>
        <w:t xml:space="preserve"> </w:t>
      </w:r>
      <w:r w:rsidRPr="005F6314">
        <w:rPr>
          <w:i/>
          <w:iCs/>
          <w:lang w:val="fr-FR"/>
        </w:rPr>
        <w:t>Dans l</w:t>
      </w:r>
      <w:r>
        <w:rPr>
          <w:i/>
          <w:iCs/>
          <w:lang w:val="fr-FR"/>
        </w:rPr>
        <w:t>’</w:t>
      </w:r>
      <w:r w:rsidRPr="005F6314">
        <w:rPr>
          <w:i/>
          <w:iCs/>
          <w:lang w:val="fr-FR"/>
        </w:rPr>
        <w:t>ADN, la définition de MARPOL inclut aussi les résidus issus du traitement de l</w:t>
      </w:r>
      <w:r>
        <w:rPr>
          <w:i/>
          <w:iCs/>
          <w:lang w:val="fr-FR"/>
        </w:rPr>
        <w:t>’</w:t>
      </w:r>
      <w:r w:rsidRPr="005F6314">
        <w:rPr>
          <w:i/>
          <w:iCs/>
          <w:lang w:val="fr-FR"/>
        </w:rPr>
        <w:t>eau de fond de cale à bord de navires de mer.</w:t>
      </w:r>
      <w:r w:rsidR="004632F5">
        <w:rPr>
          <w:i/>
          <w:iCs/>
          <w:lang w:val="fr-FR"/>
        </w:rPr>
        <w:t> </w:t>
      </w:r>
      <w:r w:rsidR="004632F5" w:rsidRPr="004D411B">
        <w:rPr>
          <w:iCs/>
          <w:lang w:val="fr-FR"/>
        </w:rPr>
        <w:t>».</w:t>
      </w:r>
    </w:p>
    <w:p w:rsidR="005B4102" w:rsidRPr="005F6314" w:rsidRDefault="005B4102" w:rsidP="004D411B">
      <w:pPr>
        <w:spacing w:after="100"/>
        <w:ind w:left="1134" w:right="1134"/>
        <w:jc w:val="both"/>
        <w:rPr>
          <w:lang w:val="fr-FR"/>
        </w:rPr>
      </w:pPr>
      <w:r w:rsidRPr="005F6314">
        <w:rPr>
          <w:i/>
          <w:iCs/>
          <w:lang w:val="fr-FR"/>
        </w:rPr>
        <w:t>(</w:t>
      </w:r>
      <w:r>
        <w:rPr>
          <w:i/>
          <w:iCs/>
          <w:lang w:val="fr-FR"/>
        </w:rPr>
        <w:t xml:space="preserve">Document de référence </w:t>
      </w:r>
      <w:r w:rsidRPr="005F6314">
        <w:rPr>
          <w:i/>
          <w:iCs/>
          <w:lang w:val="fr-FR"/>
        </w:rPr>
        <w:t>: ECE/TRANS/WP.15/AC.2/2018/44</w:t>
      </w:r>
      <w:r w:rsidRPr="005F6314">
        <w:rPr>
          <w:i/>
          <w:lang w:val="fr-FR"/>
        </w:rPr>
        <w:t>)</w:t>
      </w:r>
    </w:p>
    <w:p w:rsidR="005B4102" w:rsidRPr="005F6314" w:rsidRDefault="005B4102" w:rsidP="004D411B">
      <w:pPr>
        <w:pStyle w:val="H23G"/>
        <w:spacing w:before="200" w:after="100"/>
        <w:rPr>
          <w:lang w:val="fr-FR"/>
        </w:rPr>
      </w:pPr>
      <w:r w:rsidRPr="005F6314">
        <w:rPr>
          <w:lang w:val="fr-FR"/>
        </w:rPr>
        <w:tab/>
      </w:r>
      <w:r w:rsidRPr="005F6314">
        <w:rPr>
          <w:lang w:val="fr-FR"/>
        </w:rPr>
        <w:tab/>
        <w:t>Chapitre 1.1</w:t>
      </w:r>
    </w:p>
    <w:p w:rsidR="005B4102" w:rsidRPr="005F6314" w:rsidRDefault="005B4102" w:rsidP="004D411B">
      <w:pPr>
        <w:pStyle w:val="SingleTxtG"/>
        <w:spacing w:after="100"/>
        <w:ind w:left="2268" w:hanging="1134"/>
        <w:rPr>
          <w:lang w:val="fr-FR"/>
        </w:rPr>
      </w:pPr>
      <w:r>
        <w:rPr>
          <w:lang w:val="fr-FR"/>
        </w:rPr>
        <w:t>1.1.3.6</w:t>
      </w:r>
      <w:r>
        <w:rPr>
          <w:lang w:val="fr-FR"/>
        </w:rPr>
        <w:tab/>
      </w:r>
      <w:r w:rsidRPr="005F6314">
        <w:rPr>
          <w:lang w:val="fr-FR"/>
        </w:rPr>
        <w:t>A</w:t>
      </w:r>
      <w:r>
        <w:rPr>
          <w:lang w:val="fr-FR"/>
        </w:rPr>
        <w:t xml:space="preserve">jouter </w:t>
      </w:r>
      <w:r w:rsidR="00DC20DB">
        <w:rPr>
          <w:lang w:val="fr-FR"/>
        </w:rPr>
        <w:t>« </w:t>
      </w:r>
      <w:r>
        <w:rPr>
          <w:lang w:val="fr-FR"/>
        </w:rPr>
        <w:t>1.1.3.6.3 et 1.1.3.6.4</w:t>
      </w:r>
      <w:r w:rsidR="00B70119">
        <w:rPr>
          <w:lang w:val="fr-FR"/>
        </w:rPr>
        <w:tab/>
      </w:r>
      <w:r>
        <w:rPr>
          <w:i/>
          <w:iCs/>
          <w:lang w:val="fr-FR"/>
        </w:rPr>
        <w:t>Ré</w:t>
      </w:r>
      <w:r w:rsidRPr="005F6314">
        <w:rPr>
          <w:i/>
          <w:iCs/>
          <w:lang w:val="fr-FR"/>
        </w:rPr>
        <w:t>servés</w:t>
      </w:r>
      <w:r w:rsidR="00B70119">
        <w:rPr>
          <w:lang w:val="fr-FR"/>
        </w:rPr>
        <w:t> »</w:t>
      </w:r>
      <w:r w:rsidRPr="005F6314">
        <w:rPr>
          <w:lang w:val="fr-FR"/>
        </w:rPr>
        <w:t>.</w:t>
      </w:r>
      <w:bookmarkEnd w:id="3"/>
    </w:p>
    <w:p w:rsidR="005B4102" w:rsidRPr="005F6314" w:rsidRDefault="005B4102" w:rsidP="004D411B">
      <w:pPr>
        <w:pStyle w:val="SingleTxtG"/>
        <w:spacing w:after="100"/>
        <w:rPr>
          <w:i/>
          <w:iCs/>
          <w:lang w:val="fr-FR"/>
        </w:rPr>
      </w:pPr>
      <w:r w:rsidRPr="00B70119">
        <w:rPr>
          <w:iCs/>
          <w:lang w:val="fr-FR"/>
        </w:rPr>
        <w:t>(</w:t>
      </w:r>
      <w:r w:rsidR="004D411B">
        <w:rPr>
          <w:i/>
          <w:iCs/>
          <w:lang w:val="fr-FR"/>
        </w:rPr>
        <w:t>Document</w:t>
      </w:r>
      <w:r w:rsidRPr="005F6314">
        <w:rPr>
          <w:i/>
          <w:iCs/>
          <w:lang w:val="fr-FR"/>
        </w:rPr>
        <w:t xml:space="preserve"> de référence</w:t>
      </w:r>
      <w:r>
        <w:rPr>
          <w:i/>
          <w:iCs/>
          <w:lang w:val="fr-FR"/>
        </w:rPr>
        <w:t> </w:t>
      </w:r>
      <w:r w:rsidRPr="005F6314">
        <w:rPr>
          <w:i/>
          <w:iCs/>
          <w:lang w:val="fr-FR"/>
        </w:rPr>
        <w:t>: ECE/TRANS/WP.15/AC.2/2018/51</w:t>
      </w:r>
      <w:r>
        <w:rPr>
          <w:i/>
          <w:iCs/>
          <w:lang w:val="fr-FR"/>
        </w:rPr>
        <w:t>,</w:t>
      </w:r>
      <w:r w:rsidRPr="005F6314">
        <w:rPr>
          <w:i/>
          <w:iCs/>
          <w:lang w:val="fr-FR"/>
        </w:rPr>
        <w:t xml:space="preserve"> tel que modifié</w:t>
      </w:r>
      <w:r w:rsidRPr="00B70119">
        <w:rPr>
          <w:iCs/>
          <w:lang w:val="fr-FR"/>
        </w:rPr>
        <w:t>)</w:t>
      </w:r>
    </w:p>
    <w:p w:rsidR="005B4102" w:rsidRPr="005F6314" w:rsidRDefault="005B4102" w:rsidP="004D411B">
      <w:pPr>
        <w:pStyle w:val="SingleTxtG"/>
        <w:keepNext/>
        <w:spacing w:after="100"/>
        <w:ind w:left="2268" w:hanging="1134"/>
        <w:rPr>
          <w:lang w:val="fr-FR"/>
        </w:rPr>
      </w:pPr>
      <w:r w:rsidRPr="005F6314">
        <w:rPr>
          <w:lang w:val="fr-FR"/>
        </w:rPr>
        <w:t>1.1.3.6</w:t>
      </w:r>
      <w:r w:rsidRPr="005F6314">
        <w:rPr>
          <w:lang w:val="fr-FR"/>
        </w:rPr>
        <w:tab/>
        <w:t>Insérer</w:t>
      </w:r>
      <w:r>
        <w:rPr>
          <w:lang w:val="fr-FR"/>
        </w:rPr>
        <w:t xml:space="preserve"> le nouveau paragraphe 1.1.3.6.</w:t>
      </w:r>
      <w:r w:rsidRPr="00A4222B">
        <w:rPr>
          <w:lang w:val="fr-FR"/>
        </w:rPr>
        <w:t>5</w:t>
      </w:r>
      <w:r w:rsidRPr="005F6314">
        <w:rPr>
          <w:lang w:val="fr-FR"/>
        </w:rPr>
        <w:t xml:space="preserve"> suivant</w:t>
      </w:r>
      <w:r>
        <w:rPr>
          <w:lang w:val="fr-FR"/>
        </w:rPr>
        <w:t> </w:t>
      </w:r>
      <w:r w:rsidRPr="005F6314">
        <w:rPr>
          <w:lang w:val="fr-FR"/>
        </w:rPr>
        <w:t>:</w:t>
      </w:r>
    </w:p>
    <w:p w:rsidR="005B4102" w:rsidRPr="005F6314" w:rsidRDefault="005B4102" w:rsidP="004D411B">
      <w:pPr>
        <w:pStyle w:val="SingleTxtG"/>
        <w:spacing w:after="100"/>
        <w:ind w:left="2268" w:hanging="1134"/>
        <w:rPr>
          <w:lang w:val="fr-FR"/>
        </w:rPr>
      </w:pPr>
      <w:r w:rsidRPr="005F6314">
        <w:rPr>
          <w:lang w:val="fr-FR"/>
        </w:rPr>
        <w:t>«</w:t>
      </w:r>
      <w:r>
        <w:rPr>
          <w:lang w:val="fr-FR"/>
        </w:rPr>
        <w:t> 1.1.3.6.</w:t>
      </w:r>
      <w:r w:rsidRPr="00A4222B">
        <w:rPr>
          <w:lang w:val="fr-FR"/>
        </w:rPr>
        <w:t>5</w:t>
      </w:r>
      <w:r w:rsidRPr="005F6314">
        <w:rPr>
          <w:lang w:val="fr-FR"/>
        </w:rPr>
        <w:tab/>
        <w:t>Aux fins de la présente sous-section, les marchandises dangereuses qui sont exemptées conformément aux 1.1.3.1 a), b) et d) à f), 1.1.3.2 à 1.1.3.5, 1.1.3.7, 1.1.3.9 et 1.1.3.10 ne doivent pas être prises en compte. ».</w:t>
      </w:r>
    </w:p>
    <w:p w:rsidR="005B4102" w:rsidRPr="005F6314" w:rsidRDefault="005B4102" w:rsidP="004D411B">
      <w:pPr>
        <w:pStyle w:val="SingleTxtG"/>
        <w:spacing w:after="100"/>
        <w:rPr>
          <w:i/>
          <w:iCs/>
          <w:lang w:val="fr-FR"/>
        </w:rPr>
      </w:pPr>
      <w:r w:rsidRPr="00B70119">
        <w:rPr>
          <w:iCs/>
          <w:lang w:val="fr-FR"/>
        </w:rPr>
        <w:t>(</w:t>
      </w:r>
      <w:r w:rsidRPr="005F6314">
        <w:rPr>
          <w:i/>
          <w:iCs/>
          <w:lang w:val="fr-FR"/>
        </w:rPr>
        <w:t>Document de référence</w:t>
      </w:r>
      <w:r>
        <w:rPr>
          <w:i/>
          <w:iCs/>
          <w:lang w:val="fr-FR"/>
        </w:rPr>
        <w:t> </w:t>
      </w:r>
      <w:r w:rsidRPr="005F6314">
        <w:rPr>
          <w:i/>
          <w:iCs/>
          <w:lang w:val="fr-FR"/>
        </w:rPr>
        <w:t>: ECE/TRANS/WP.15/AC.2/2018/51</w:t>
      </w:r>
      <w:r>
        <w:rPr>
          <w:i/>
          <w:iCs/>
          <w:lang w:val="fr-FR"/>
        </w:rPr>
        <w:t>,</w:t>
      </w:r>
      <w:r w:rsidRPr="005F6314">
        <w:rPr>
          <w:i/>
          <w:iCs/>
          <w:lang w:val="fr-FR"/>
        </w:rPr>
        <w:t xml:space="preserve"> tel que modifié</w:t>
      </w:r>
      <w:r w:rsidRPr="00B70119">
        <w:rPr>
          <w:iCs/>
          <w:lang w:val="fr-FR"/>
        </w:rPr>
        <w:t>)</w:t>
      </w:r>
    </w:p>
    <w:p w:rsidR="005B4102" w:rsidRPr="005F6314" w:rsidRDefault="005B4102" w:rsidP="004D411B">
      <w:pPr>
        <w:pStyle w:val="H23G"/>
        <w:spacing w:before="200" w:after="100"/>
        <w:rPr>
          <w:lang w:val="fr-FR"/>
        </w:rPr>
      </w:pPr>
      <w:r w:rsidRPr="005F6314">
        <w:rPr>
          <w:lang w:val="fr-FR"/>
        </w:rPr>
        <w:tab/>
      </w:r>
      <w:r w:rsidRPr="005F6314">
        <w:rPr>
          <w:lang w:val="fr-FR"/>
        </w:rPr>
        <w:tab/>
        <w:t>Chapitre 1.6</w:t>
      </w:r>
    </w:p>
    <w:p w:rsidR="005B4102" w:rsidRDefault="005B4102" w:rsidP="004D411B">
      <w:pPr>
        <w:pStyle w:val="SingleTxtG"/>
        <w:spacing w:after="100"/>
        <w:ind w:left="2268" w:hanging="1134"/>
        <w:rPr>
          <w:rFonts w:asciiTheme="majorBidi" w:hAnsiTheme="majorBidi" w:cstheme="majorBidi"/>
          <w:lang w:val="fr-FR"/>
        </w:rPr>
      </w:pPr>
      <w:r>
        <w:rPr>
          <w:rFonts w:asciiTheme="majorBidi" w:hAnsiTheme="majorBidi" w:cstheme="majorBidi"/>
          <w:lang w:val="fr-FR"/>
        </w:rPr>
        <w:t>1.6.7.2.2.2</w:t>
      </w:r>
      <w:r>
        <w:rPr>
          <w:rFonts w:asciiTheme="majorBidi" w:hAnsiTheme="majorBidi" w:cstheme="majorBidi"/>
          <w:lang w:val="fr-FR"/>
        </w:rPr>
        <w:tab/>
      </w:r>
      <w:r w:rsidRPr="005F6314">
        <w:rPr>
          <w:rFonts w:asciiTheme="majorBidi" w:hAnsiTheme="majorBidi" w:cstheme="majorBidi"/>
          <w:lang w:val="fr-FR"/>
        </w:rPr>
        <w:t>Ajouter la nouvelle disposition transitoire suivante</w:t>
      </w:r>
      <w:r>
        <w:rPr>
          <w:rFonts w:asciiTheme="majorBidi" w:hAnsiTheme="majorBidi" w:cstheme="majorBidi"/>
          <w:lang w:val="fr-FR"/>
        </w:rPr>
        <w:t> </w:t>
      </w:r>
      <w:r w:rsidRPr="005F6314">
        <w:rPr>
          <w:rFonts w:asciiTheme="majorBidi" w:hAnsiTheme="majorBidi" w:cstheme="majorBidi"/>
          <w:lang w:val="fr-FR"/>
        </w:rPr>
        <w:t>:</w:t>
      </w:r>
    </w:p>
    <w:p w:rsidR="00190C74" w:rsidRDefault="00190C74" w:rsidP="004D411B">
      <w:pPr>
        <w:pStyle w:val="SingleTxtG"/>
        <w:spacing w:after="100"/>
        <w:ind w:left="2268" w:hanging="1134"/>
        <w:rPr>
          <w:rFonts w:asciiTheme="majorBidi" w:hAnsiTheme="majorBidi" w:cstheme="majorBidi"/>
          <w:lang w:val="fr-FR"/>
        </w:rPr>
      </w:pPr>
      <w:r>
        <w:rPr>
          <w:rFonts w:asciiTheme="majorBidi" w:hAnsiTheme="majorBidi" w:cstheme="majorBidi"/>
          <w:lang w:val="fr-FR"/>
        </w:rPr>
        <w:t>« </w:t>
      </w:r>
    </w:p>
    <w:tbl>
      <w:tblPr>
        <w:tblStyle w:val="TableGrid"/>
        <w:tblW w:w="7371" w:type="dxa"/>
        <w:tblInd w:w="1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4252"/>
      </w:tblGrid>
      <w:tr w:rsidR="001C2973" w:rsidTr="004D411B">
        <w:tc>
          <w:tcPr>
            <w:tcW w:w="567" w:type="dxa"/>
          </w:tcPr>
          <w:p w:rsidR="001C2973" w:rsidRDefault="003B5602" w:rsidP="004D411B">
            <w:pPr>
              <w:pStyle w:val="SingleTxtG"/>
              <w:spacing w:before="60" w:after="60" w:line="240" w:lineRule="auto"/>
              <w:ind w:left="0" w:right="0"/>
              <w:rPr>
                <w:rFonts w:asciiTheme="majorBidi" w:hAnsiTheme="majorBidi" w:cstheme="majorBidi"/>
                <w:lang w:val="fr-FR"/>
              </w:rPr>
            </w:pPr>
            <w:r w:rsidRPr="005F6314">
              <w:rPr>
                <w:rFonts w:asciiTheme="majorBidi" w:hAnsiTheme="majorBidi" w:cstheme="majorBidi"/>
                <w:lang w:val="fr-FR"/>
              </w:rPr>
              <w:t>1.2.1</w:t>
            </w:r>
          </w:p>
        </w:tc>
        <w:tc>
          <w:tcPr>
            <w:tcW w:w="2552" w:type="dxa"/>
          </w:tcPr>
          <w:p w:rsidR="001C2973" w:rsidRDefault="003B5602" w:rsidP="004D411B">
            <w:pPr>
              <w:pStyle w:val="SingleTxtG"/>
              <w:spacing w:before="60" w:after="60" w:line="240" w:lineRule="auto"/>
              <w:ind w:left="0" w:right="0"/>
              <w:jc w:val="left"/>
              <w:rPr>
                <w:rFonts w:asciiTheme="majorBidi" w:hAnsiTheme="majorBidi" w:cstheme="majorBidi"/>
                <w:lang w:val="fr-FR"/>
              </w:rPr>
            </w:pPr>
            <w:r w:rsidRPr="005F6314">
              <w:rPr>
                <w:rFonts w:asciiTheme="majorBidi" w:hAnsiTheme="majorBidi" w:cstheme="majorBidi"/>
                <w:lang w:val="fr-FR"/>
              </w:rPr>
              <w:t>Soupape de dépression</w:t>
            </w:r>
          </w:p>
        </w:tc>
        <w:tc>
          <w:tcPr>
            <w:tcW w:w="4252" w:type="dxa"/>
          </w:tcPr>
          <w:p w:rsidR="001C2973" w:rsidRDefault="003B5602" w:rsidP="004D411B">
            <w:pPr>
              <w:pStyle w:val="SingleTxtG"/>
              <w:spacing w:before="60" w:after="60" w:line="240" w:lineRule="auto"/>
              <w:ind w:left="0" w:right="0"/>
              <w:jc w:val="left"/>
              <w:rPr>
                <w:rFonts w:asciiTheme="majorBidi" w:hAnsiTheme="majorBidi" w:cstheme="majorBidi"/>
                <w:lang w:val="fr-FR"/>
              </w:rPr>
            </w:pPr>
            <w:r w:rsidRPr="005F6314">
              <w:rPr>
                <w:rFonts w:asciiTheme="majorBidi" w:hAnsiTheme="majorBidi" w:cstheme="majorBidi"/>
                <w:lang w:val="fr-FR"/>
              </w:rPr>
              <w:t>N.R.T. à partir du 1</w:t>
            </w:r>
            <w:r w:rsidRPr="00EE704B">
              <w:rPr>
                <w:rFonts w:asciiTheme="majorBidi" w:hAnsiTheme="majorBidi" w:cstheme="majorBidi"/>
                <w:vertAlign w:val="superscript"/>
                <w:lang w:val="fr-FR"/>
              </w:rPr>
              <w:t>er</w:t>
            </w:r>
            <w:r w:rsidRPr="005F6314">
              <w:rPr>
                <w:rFonts w:asciiTheme="majorBidi" w:hAnsiTheme="majorBidi" w:cstheme="majorBidi"/>
                <w:lang w:val="fr-FR"/>
              </w:rPr>
              <w:t xml:space="preserve"> janvier 2019</w:t>
            </w:r>
          </w:p>
        </w:tc>
      </w:tr>
      <w:tr w:rsidR="001C2973" w:rsidTr="004D411B">
        <w:tc>
          <w:tcPr>
            <w:tcW w:w="567" w:type="dxa"/>
            <w:tcBorders>
              <w:bottom w:val="nil"/>
            </w:tcBorders>
          </w:tcPr>
          <w:p w:rsidR="001C2973" w:rsidRDefault="001C2973" w:rsidP="004D411B">
            <w:pPr>
              <w:pStyle w:val="SingleTxtG"/>
              <w:spacing w:before="60" w:after="60" w:line="240" w:lineRule="auto"/>
              <w:ind w:left="0" w:right="0"/>
              <w:rPr>
                <w:rFonts w:asciiTheme="majorBidi" w:hAnsiTheme="majorBidi" w:cstheme="majorBidi"/>
                <w:lang w:val="fr-FR"/>
              </w:rPr>
            </w:pPr>
          </w:p>
        </w:tc>
        <w:tc>
          <w:tcPr>
            <w:tcW w:w="2552" w:type="dxa"/>
            <w:tcBorders>
              <w:bottom w:val="nil"/>
            </w:tcBorders>
          </w:tcPr>
          <w:p w:rsidR="001C2973" w:rsidRDefault="003B5602" w:rsidP="004D411B">
            <w:pPr>
              <w:pStyle w:val="SingleTxtG"/>
              <w:spacing w:before="60" w:after="60" w:line="240" w:lineRule="auto"/>
              <w:ind w:left="0" w:right="0"/>
              <w:jc w:val="left"/>
              <w:rPr>
                <w:rFonts w:asciiTheme="majorBidi" w:hAnsiTheme="majorBidi" w:cstheme="majorBidi"/>
                <w:lang w:val="fr-FR"/>
              </w:rPr>
            </w:pPr>
            <w:r w:rsidRPr="005F6314">
              <w:rPr>
                <w:rFonts w:asciiTheme="majorBidi" w:hAnsiTheme="majorBidi" w:cstheme="majorBidi"/>
                <w:lang w:val="fr-FR"/>
              </w:rPr>
              <w:t>Résistance à la déflagration</w:t>
            </w:r>
          </w:p>
        </w:tc>
        <w:tc>
          <w:tcPr>
            <w:tcW w:w="4252" w:type="dxa"/>
            <w:tcBorders>
              <w:bottom w:val="nil"/>
            </w:tcBorders>
          </w:tcPr>
          <w:p w:rsidR="001C2973" w:rsidRDefault="003B5602" w:rsidP="004D411B">
            <w:pPr>
              <w:pStyle w:val="SingleTxtG"/>
              <w:spacing w:before="60" w:after="60" w:line="240" w:lineRule="auto"/>
              <w:ind w:left="0" w:right="0"/>
              <w:jc w:val="left"/>
              <w:rPr>
                <w:rFonts w:asciiTheme="majorBidi" w:hAnsiTheme="majorBidi" w:cstheme="majorBidi"/>
                <w:lang w:val="fr-FR"/>
              </w:rPr>
            </w:pPr>
            <w:r w:rsidRPr="005F6314">
              <w:rPr>
                <w:rFonts w:asciiTheme="majorBidi" w:hAnsiTheme="majorBidi" w:cstheme="majorBidi"/>
                <w:lang w:val="fr-FR"/>
              </w:rPr>
              <w:t>Renouvellement du certificat d</w:t>
            </w:r>
            <w:r>
              <w:rPr>
                <w:rFonts w:asciiTheme="majorBidi" w:hAnsiTheme="majorBidi" w:cstheme="majorBidi"/>
                <w:lang w:val="fr-FR"/>
              </w:rPr>
              <w:t>’</w:t>
            </w:r>
            <w:r w:rsidRPr="005F6314">
              <w:rPr>
                <w:rFonts w:asciiTheme="majorBidi" w:hAnsiTheme="majorBidi" w:cstheme="majorBidi"/>
                <w:lang w:val="fr-FR"/>
              </w:rPr>
              <w:t xml:space="preserve">agrément </w:t>
            </w:r>
            <w:r w:rsidR="005F0315">
              <w:rPr>
                <w:rFonts w:asciiTheme="majorBidi" w:hAnsiTheme="majorBidi" w:cstheme="majorBidi"/>
                <w:lang w:val="fr-FR"/>
              </w:rPr>
              <w:br/>
            </w:r>
            <w:r w:rsidRPr="005F6314">
              <w:rPr>
                <w:rFonts w:asciiTheme="majorBidi" w:hAnsiTheme="majorBidi" w:cstheme="majorBidi"/>
                <w:lang w:val="fr-FR"/>
              </w:rPr>
              <w:t>après le 31 décembre 2034</w:t>
            </w:r>
          </w:p>
        </w:tc>
      </w:tr>
      <w:tr w:rsidR="001C2973" w:rsidTr="004D411B">
        <w:tc>
          <w:tcPr>
            <w:tcW w:w="567" w:type="dxa"/>
            <w:tcBorders>
              <w:top w:val="nil"/>
              <w:bottom w:val="nil"/>
            </w:tcBorders>
          </w:tcPr>
          <w:p w:rsidR="001C2973" w:rsidRDefault="001C2973" w:rsidP="004D411B">
            <w:pPr>
              <w:pStyle w:val="SingleTxtG"/>
              <w:spacing w:before="60" w:after="60" w:line="240" w:lineRule="auto"/>
              <w:ind w:left="0" w:right="0"/>
              <w:rPr>
                <w:rFonts w:asciiTheme="majorBidi" w:hAnsiTheme="majorBidi" w:cstheme="majorBidi"/>
                <w:lang w:val="fr-FR"/>
              </w:rPr>
            </w:pPr>
          </w:p>
        </w:tc>
        <w:tc>
          <w:tcPr>
            <w:tcW w:w="2552" w:type="dxa"/>
            <w:tcBorders>
              <w:top w:val="nil"/>
              <w:bottom w:val="nil"/>
            </w:tcBorders>
          </w:tcPr>
          <w:p w:rsidR="001C2973" w:rsidRDefault="005F0315" w:rsidP="004D411B">
            <w:pPr>
              <w:pStyle w:val="SingleTxtG"/>
              <w:spacing w:before="60" w:after="60" w:line="240" w:lineRule="auto"/>
              <w:ind w:left="0" w:right="0"/>
              <w:jc w:val="left"/>
              <w:rPr>
                <w:rFonts w:asciiTheme="majorBidi" w:hAnsiTheme="majorBidi" w:cstheme="majorBidi"/>
                <w:lang w:val="fr-FR"/>
              </w:rPr>
            </w:pPr>
            <w:r w:rsidRPr="005F6314">
              <w:rPr>
                <w:rFonts w:asciiTheme="majorBidi" w:hAnsiTheme="majorBidi" w:cstheme="majorBidi"/>
                <w:lang w:val="fr-FR"/>
              </w:rPr>
              <w:t xml:space="preserve">Épreuve selon la norme ISO </w:t>
            </w:r>
            <w:r>
              <w:rPr>
                <w:rFonts w:asciiTheme="majorBidi" w:hAnsiTheme="majorBidi" w:cstheme="majorBidi"/>
                <w:lang w:val="fr-FR"/>
              </w:rPr>
              <w:br/>
            </w:r>
            <w:proofErr w:type="gramStart"/>
            <w:r w:rsidRPr="005F6314">
              <w:rPr>
                <w:rFonts w:asciiTheme="majorBidi" w:hAnsiTheme="majorBidi" w:cstheme="majorBidi"/>
                <w:lang w:val="fr-FR"/>
              </w:rPr>
              <w:t>16852:</w:t>
            </w:r>
            <w:proofErr w:type="gramEnd"/>
            <w:r w:rsidRPr="005F6314">
              <w:rPr>
                <w:rFonts w:asciiTheme="majorBidi" w:hAnsiTheme="majorBidi" w:cstheme="majorBidi"/>
                <w:lang w:val="fr-FR"/>
              </w:rPr>
              <w:t>2016</w:t>
            </w:r>
          </w:p>
        </w:tc>
        <w:tc>
          <w:tcPr>
            <w:tcW w:w="4252" w:type="dxa"/>
            <w:tcBorders>
              <w:top w:val="nil"/>
              <w:bottom w:val="nil"/>
            </w:tcBorders>
          </w:tcPr>
          <w:p w:rsidR="001C2973" w:rsidRDefault="005F0315" w:rsidP="004D411B">
            <w:pPr>
              <w:pStyle w:val="SingleTxtG"/>
              <w:spacing w:before="60" w:after="60" w:line="240" w:lineRule="auto"/>
              <w:ind w:left="0" w:right="0"/>
              <w:jc w:val="left"/>
              <w:rPr>
                <w:rFonts w:asciiTheme="majorBidi" w:hAnsiTheme="majorBidi" w:cstheme="majorBidi"/>
                <w:lang w:val="fr-FR"/>
              </w:rPr>
            </w:pPr>
            <w:r w:rsidRPr="005F6314">
              <w:rPr>
                <w:rFonts w:asciiTheme="majorBidi" w:hAnsiTheme="majorBidi" w:cstheme="majorBidi"/>
                <w:lang w:val="fr-FR"/>
              </w:rPr>
              <w:t xml:space="preserve">La résistance à la déflagration doit être éprouvée conformément à la norme EN </w:t>
            </w:r>
            <w:proofErr w:type="gramStart"/>
            <w:r w:rsidRPr="005F6314">
              <w:rPr>
                <w:rFonts w:asciiTheme="majorBidi" w:hAnsiTheme="majorBidi" w:cstheme="majorBidi"/>
                <w:lang w:val="fr-FR"/>
              </w:rPr>
              <w:t>12874:</w:t>
            </w:r>
            <w:proofErr w:type="gramEnd"/>
            <w:r w:rsidRPr="005F6314">
              <w:rPr>
                <w:rFonts w:asciiTheme="majorBidi" w:hAnsiTheme="majorBidi" w:cstheme="majorBidi"/>
                <w:lang w:val="fr-FR"/>
              </w:rPr>
              <w:t>2001, y</w:t>
            </w:r>
            <w:r>
              <w:rPr>
                <w:rFonts w:asciiTheme="majorBidi" w:hAnsiTheme="majorBidi" w:cstheme="majorBidi"/>
                <w:lang w:val="fr-FR"/>
              </w:rPr>
              <w:t> </w:t>
            </w:r>
            <w:r w:rsidRPr="005F6314">
              <w:rPr>
                <w:rFonts w:asciiTheme="majorBidi" w:hAnsiTheme="majorBidi" w:cstheme="majorBidi"/>
                <w:lang w:val="fr-FR"/>
              </w:rPr>
              <w:t>compris la confirmation que doit fournir le fabricant conformément à la directive 94/9/CE ou équivalent, à bord des bateaux construits ou transformés à compter du 1</w:t>
            </w:r>
            <w:r w:rsidRPr="00EE704B">
              <w:rPr>
                <w:rFonts w:asciiTheme="majorBidi" w:hAnsiTheme="majorBidi" w:cstheme="majorBidi"/>
                <w:vertAlign w:val="superscript"/>
                <w:lang w:val="fr-FR"/>
              </w:rPr>
              <w:t>er</w:t>
            </w:r>
            <w:r w:rsidRPr="005F6314">
              <w:rPr>
                <w:rFonts w:asciiTheme="majorBidi" w:hAnsiTheme="majorBidi" w:cstheme="majorBidi"/>
                <w:lang w:val="fr-FR"/>
              </w:rPr>
              <w:t xml:space="preserve"> janvier 2001 ou si la soupape de dépression a été remplacée à compter du</w:t>
            </w:r>
            <w:r w:rsidR="001A2BE8">
              <w:rPr>
                <w:rFonts w:asciiTheme="majorBidi" w:hAnsiTheme="majorBidi" w:cstheme="majorBidi"/>
                <w:lang w:val="fr-FR"/>
              </w:rPr>
              <w:t> </w:t>
            </w:r>
            <w:r w:rsidRPr="005F6314">
              <w:rPr>
                <w:rFonts w:asciiTheme="majorBidi" w:hAnsiTheme="majorBidi" w:cstheme="majorBidi"/>
                <w:lang w:val="fr-FR"/>
              </w:rPr>
              <w:t>1</w:t>
            </w:r>
            <w:r w:rsidRPr="00EE704B">
              <w:rPr>
                <w:rFonts w:asciiTheme="majorBidi" w:hAnsiTheme="majorBidi" w:cstheme="majorBidi"/>
                <w:vertAlign w:val="superscript"/>
                <w:lang w:val="fr-FR"/>
              </w:rPr>
              <w:t xml:space="preserve">er </w:t>
            </w:r>
            <w:r w:rsidRPr="005F6314">
              <w:rPr>
                <w:rFonts w:asciiTheme="majorBidi" w:hAnsiTheme="majorBidi" w:cstheme="majorBidi"/>
                <w:lang w:val="fr-FR"/>
              </w:rPr>
              <w:t>janvier 2001.</w:t>
            </w:r>
          </w:p>
        </w:tc>
      </w:tr>
      <w:tr w:rsidR="001C2973" w:rsidTr="004D411B">
        <w:tc>
          <w:tcPr>
            <w:tcW w:w="567" w:type="dxa"/>
            <w:tcBorders>
              <w:top w:val="nil"/>
            </w:tcBorders>
          </w:tcPr>
          <w:p w:rsidR="001C2973" w:rsidRDefault="001C2973" w:rsidP="003B5602">
            <w:pPr>
              <w:pStyle w:val="SingleTxtG"/>
              <w:spacing w:before="60" w:after="60" w:line="240" w:lineRule="auto"/>
              <w:ind w:left="0" w:right="0"/>
              <w:rPr>
                <w:rFonts w:asciiTheme="majorBidi" w:hAnsiTheme="majorBidi" w:cstheme="majorBidi"/>
                <w:lang w:val="fr-FR"/>
              </w:rPr>
            </w:pPr>
          </w:p>
        </w:tc>
        <w:tc>
          <w:tcPr>
            <w:tcW w:w="2552" w:type="dxa"/>
            <w:tcBorders>
              <w:top w:val="nil"/>
            </w:tcBorders>
          </w:tcPr>
          <w:p w:rsidR="001C2973" w:rsidRDefault="00190C74" w:rsidP="005F0315">
            <w:pPr>
              <w:pStyle w:val="SingleTxtG"/>
              <w:spacing w:before="60" w:after="60" w:line="240" w:lineRule="auto"/>
              <w:ind w:left="0" w:right="0"/>
              <w:jc w:val="left"/>
              <w:rPr>
                <w:rFonts w:asciiTheme="majorBidi" w:hAnsiTheme="majorBidi" w:cstheme="majorBidi"/>
                <w:lang w:val="fr-FR"/>
              </w:rPr>
            </w:pPr>
            <w:r w:rsidRPr="005F6314">
              <w:rPr>
                <w:rFonts w:asciiTheme="majorBidi" w:hAnsiTheme="majorBidi" w:cstheme="majorBidi"/>
                <w:lang w:val="fr-FR"/>
              </w:rPr>
              <w:t>Preuve</w:t>
            </w:r>
            <w:r w:rsidR="001A2BE8">
              <w:rPr>
                <w:rFonts w:asciiTheme="majorBidi" w:hAnsiTheme="majorBidi" w:cstheme="majorBidi"/>
                <w:lang w:val="fr-FR"/>
              </w:rPr>
              <w:t> </w:t>
            </w:r>
            <w:r w:rsidRPr="005F6314">
              <w:rPr>
                <w:rFonts w:asciiTheme="majorBidi" w:hAnsiTheme="majorBidi" w:cstheme="majorBidi"/>
                <w:lang w:val="fr-FR"/>
              </w:rPr>
              <w:t xml:space="preserve">: </w:t>
            </w:r>
            <w:r w:rsidR="001A2BE8">
              <w:rPr>
                <w:lang w:val="fr-FR"/>
              </w:rPr>
              <w:t>“</w:t>
            </w:r>
            <w:r w:rsidRPr="005F6314">
              <w:rPr>
                <w:rFonts w:asciiTheme="majorBidi" w:hAnsiTheme="majorBidi" w:cstheme="majorBidi"/>
                <w:lang w:val="fr-FR"/>
              </w:rPr>
              <w:t>conforme aux exigences applicables</w:t>
            </w:r>
            <w:r>
              <w:rPr>
                <w:lang w:val="fr-FR"/>
              </w:rPr>
              <w:t>”</w:t>
            </w:r>
          </w:p>
        </w:tc>
        <w:tc>
          <w:tcPr>
            <w:tcW w:w="4252" w:type="dxa"/>
            <w:tcBorders>
              <w:top w:val="nil"/>
            </w:tcBorders>
          </w:tcPr>
          <w:p w:rsidR="001C2973" w:rsidRDefault="00190C74" w:rsidP="005F0315">
            <w:pPr>
              <w:pStyle w:val="SingleTxtG"/>
              <w:spacing w:before="60" w:after="60" w:line="240" w:lineRule="auto"/>
              <w:ind w:left="0" w:right="0"/>
              <w:jc w:val="left"/>
              <w:rPr>
                <w:rFonts w:asciiTheme="majorBidi" w:hAnsiTheme="majorBidi" w:cstheme="majorBidi"/>
                <w:lang w:val="fr-FR"/>
              </w:rPr>
            </w:pPr>
            <w:r w:rsidRPr="005F6314">
              <w:rPr>
                <w:rFonts w:asciiTheme="majorBidi" w:hAnsiTheme="majorBidi" w:cstheme="majorBidi"/>
                <w:lang w:val="fr-FR"/>
              </w:rPr>
              <w:t>Dans les autres cas, elles doivent être d</w:t>
            </w:r>
            <w:r>
              <w:rPr>
                <w:rFonts w:asciiTheme="majorBidi" w:hAnsiTheme="majorBidi" w:cstheme="majorBidi"/>
                <w:lang w:val="fr-FR"/>
              </w:rPr>
              <w:t>’</w:t>
            </w:r>
            <w:r w:rsidRPr="005F6314">
              <w:rPr>
                <w:rFonts w:asciiTheme="majorBidi" w:hAnsiTheme="majorBidi" w:cstheme="majorBidi"/>
                <w:lang w:val="fr-FR"/>
              </w:rPr>
              <w:t>un type agréé par l</w:t>
            </w:r>
            <w:r>
              <w:rPr>
                <w:rFonts w:asciiTheme="majorBidi" w:hAnsiTheme="majorBidi" w:cstheme="majorBidi"/>
                <w:lang w:val="fr-FR"/>
              </w:rPr>
              <w:t>’</w:t>
            </w:r>
            <w:r w:rsidRPr="005F6314">
              <w:rPr>
                <w:rFonts w:asciiTheme="majorBidi" w:hAnsiTheme="majorBidi" w:cstheme="majorBidi"/>
                <w:lang w:val="fr-FR"/>
              </w:rPr>
              <w:t>autorité compétente pour l</w:t>
            </w:r>
            <w:r>
              <w:rPr>
                <w:rFonts w:asciiTheme="majorBidi" w:hAnsiTheme="majorBidi" w:cstheme="majorBidi"/>
                <w:lang w:val="fr-FR"/>
              </w:rPr>
              <w:t>’</w:t>
            </w:r>
            <w:r w:rsidRPr="005F6314">
              <w:rPr>
                <w:rFonts w:asciiTheme="majorBidi" w:hAnsiTheme="majorBidi" w:cstheme="majorBidi"/>
                <w:lang w:val="fr-FR"/>
              </w:rPr>
              <w:t>usage prévu.</w:t>
            </w:r>
          </w:p>
        </w:tc>
      </w:tr>
    </w:tbl>
    <w:p w:rsidR="005B4102" w:rsidRPr="00482003" w:rsidRDefault="005B4102" w:rsidP="005B4102">
      <w:pPr>
        <w:pStyle w:val="SingleTxtG"/>
        <w:spacing w:before="120"/>
        <w:jc w:val="right"/>
        <w:rPr>
          <w:lang w:val="fr-FR"/>
        </w:rPr>
      </w:pPr>
      <w:r>
        <w:rPr>
          <w:lang w:val="fr-FR"/>
        </w:rPr>
        <w:t>».</w:t>
      </w:r>
    </w:p>
    <w:p w:rsidR="005B4102" w:rsidRPr="008C65FE" w:rsidRDefault="005B4102" w:rsidP="00FA4E25">
      <w:pPr>
        <w:pStyle w:val="SingleTxtG"/>
        <w:rPr>
          <w:lang w:val="fr-FR"/>
        </w:rPr>
      </w:pPr>
      <w:r w:rsidRPr="008C65FE">
        <w:rPr>
          <w:lang w:val="fr-FR"/>
        </w:rPr>
        <w:t>(</w:t>
      </w:r>
      <w:r w:rsidRPr="005F6314">
        <w:rPr>
          <w:i/>
          <w:lang w:val="fr-FR"/>
        </w:rPr>
        <w:t>Document de référence</w:t>
      </w:r>
      <w:r>
        <w:rPr>
          <w:i/>
          <w:lang w:val="fr-FR"/>
        </w:rPr>
        <w:t> </w:t>
      </w:r>
      <w:r w:rsidRPr="005F6314">
        <w:rPr>
          <w:i/>
          <w:lang w:val="fr-FR"/>
        </w:rPr>
        <w:t>: ECE/TRANS/WP.15/AC.2/2018/32</w:t>
      </w:r>
      <w:r w:rsidRPr="008C65FE">
        <w:rPr>
          <w:lang w:val="fr-FR"/>
        </w:rPr>
        <w:t>)</w:t>
      </w:r>
    </w:p>
    <w:p w:rsidR="005B4102" w:rsidRPr="005F6314" w:rsidRDefault="005B4102" w:rsidP="005B4102">
      <w:pPr>
        <w:keepNext/>
        <w:keepLines/>
        <w:tabs>
          <w:tab w:val="right" w:pos="851"/>
        </w:tabs>
        <w:spacing w:before="240" w:after="120"/>
        <w:ind w:left="1134" w:right="1134" w:hanging="1134"/>
        <w:rPr>
          <w:b/>
          <w:lang w:val="fr-FR"/>
        </w:rPr>
      </w:pPr>
      <w:r w:rsidRPr="005F6314">
        <w:rPr>
          <w:b/>
          <w:lang w:val="fr-FR"/>
        </w:rPr>
        <w:tab/>
      </w:r>
      <w:r w:rsidRPr="005F6314">
        <w:rPr>
          <w:b/>
          <w:lang w:val="fr-FR"/>
        </w:rPr>
        <w:tab/>
      </w:r>
      <w:r>
        <w:rPr>
          <w:b/>
          <w:lang w:val="fr-FR"/>
        </w:rPr>
        <w:t>Chapitre 3.2, t</w:t>
      </w:r>
      <w:r w:rsidRPr="005F6314">
        <w:rPr>
          <w:b/>
          <w:lang w:val="fr-FR"/>
        </w:rPr>
        <w:t>ableau A</w:t>
      </w:r>
    </w:p>
    <w:p w:rsidR="005B4102" w:rsidRPr="005F6314" w:rsidRDefault="005B4102" w:rsidP="005B4102">
      <w:pPr>
        <w:pStyle w:val="SingleTxtG"/>
        <w:rPr>
          <w:rFonts w:ascii="inherit" w:hAnsi="inherit"/>
          <w:color w:val="212121"/>
          <w:lang w:val="fr-FR"/>
        </w:rPr>
      </w:pPr>
      <w:r w:rsidRPr="005F6314">
        <w:rPr>
          <w:rFonts w:ascii="inherit" w:hAnsi="inherit"/>
          <w:color w:val="212121"/>
          <w:lang w:val="fr-FR"/>
        </w:rPr>
        <w:t xml:space="preserve">Pour le </w:t>
      </w:r>
      <w:r w:rsidRPr="005F6314">
        <w:rPr>
          <w:lang w:val="fr-FR"/>
        </w:rPr>
        <w:t>No ONU 2288 ISOHEXÈNES</w:t>
      </w:r>
      <w:r w:rsidRPr="005F6314">
        <w:rPr>
          <w:rFonts w:ascii="inherit" w:hAnsi="inherit"/>
          <w:color w:val="212121"/>
          <w:lang w:val="fr-FR"/>
        </w:rPr>
        <w:t xml:space="preserve">, dans la colonne (8), insérer </w:t>
      </w:r>
      <w:r w:rsidR="00400737">
        <w:rPr>
          <w:lang w:val="fr-FR"/>
        </w:rPr>
        <w:t>« </w:t>
      </w:r>
      <w:r w:rsidRPr="005F6314">
        <w:rPr>
          <w:rFonts w:ascii="inherit" w:hAnsi="inherit" w:cs="Courier New"/>
          <w:color w:val="212121"/>
          <w:lang w:val="fr-FR"/>
        </w:rPr>
        <w:t>T</w:t>
      </w:r>
      <w:r w:rsidR="00400737">
        <w:rPr>
          <w:lang w:val="fr-FR"/>
        </w:rPr>
        <w:t> »</w:t>
      </w:r>
      <w:r w:rsidRPr="005F6314">
        <w:rPr>
          <w:lang w:val="fr-FR"/>
        </w:rPr>
        <w:t>.</w:t>
      </w:r>
    </w:p>
    <w:p w:rsidR="005B4102" w:rsidRPr="005F6314" w:rsidRDefault="005B4102" w:rsidP="005B4102">
      <w:pPr>
        <w:pStyle w:val="SingleTxtG"/>
        <w:rPr>
          <w:i/>
          <w:iCs/>
          <w:lang w:val="fr-FR"/>
        </w:rPr>
      </w:pPr>
      <w:r w:rsidRPr="008C65FE">
        <w:rPr>
          <w:lang w:val="fr-FR"/>
        </w:rPr>
        <w:t>(</w:t>
      </w:r>
      <w:r w:rsidRPr="005F6314">
        <w:rPr>
          <w:i/>
          <w:lang w:val="fr-FR"/>
        </w:rPr>
        <w:t>Document de référence</w:t>
      </w:r>
      <w:r>
        <w:rPr>
          <w:i/>
          <w:lang w:val="fr-FR"/>
        </w:rPr>
        <w:t> </w:t>
      </w:r>
      <w:r w:rsidRPr="005F6314">
        <w:rPr>
          <w:i/>
          <w:lang w:val="fr-FR"/>
        </w:rPr>
        <w:t>: ECE/TRANS/WP.15/AC.2/2018/44</w:t>
      </w:r>
      <w:r w:rsidRPr="008C65FE">
        <w:rPr>
          <w:lang w:val="fr-FR"/>
        </w:rPr>
        <w:t>)</w:t>
      </w:r>
    </w:p>
    <w:p w:rsidR="005B4102" w:rsidRPr="005F6314" w:rsidRDefault="005B4102" w:rsidP="005B4102">
      <w:pPr>
        <w:keepNext/>
        <w:keepLines/>
        <w:tabs>
          <w:tab w:val="right" w:pos="851"/>
        </w:tabs>
        <w:spacing w:before="240" w:after="120"/>
        <w:ind w:left="1134" w:right="1134" w:hanging="1134"/>
        <w:rPr>
          <w:b/>
          <w:lang w:val="fr-FR"/>
        </w:rPr>
      </w:pPr>
      <w:r w:rsidRPr="005F6314">
        <w:rPr>
          <w:b/>
          <w:lang w:val="fr-FR"/>
        </w:rPr>
        <w:tab/>
      </w:r>
      <w:r w:rsidRPr="005F6314">
        <w:rPr>
          <w:b/>
          <w:lang w:val="fr-FR"/>
        </w:rPr>
        <w:tab/>
        <w:t>Chapitre 3.2, 3.2.3</w:t>
      </w:r>
    </w:p>
    <w:p w:rsidR="005B4102" w:rsidRPr="005F6314" w:rsidRDefault="005B4102" w:rsidP="005B4102">
      <w:pPr>
        <w:pStyle w:val="SingleTxtG"/>
        <w:rPr>
          <w:lang w:val="fr-FR"/>
        </w:rPr>
      </w:pPr>
      <w:r w:rsidRPr="005F6314">
        <w:rPr>
          <w:lang w:val="fr-FR"/>
        </w:rPr>
        <w:t>3.2.3.1, 3.2.3.3 et 3.2.4.3, colonne (20)</w:t>
      </w:r>
      <w:r>
        <w:rPr>
          <w:lang w:val="fr-FR"/>
        </w:rPr>
        <w:t>, s</w:t>
      </w:r>
      <w:r w:rsidRPr="005F6314">
        <w:rPr>
          <w:lang w:val="fr-FR"/>
        </w:rPr>
        <w:t>upprimer l</w:t>
      </w:r>
      <w:r>
        <w:rPr>
          <w:lang w:val="fr-FR"/>
        </w:rPr>
        <w:t>’</w:t>
      </w:r>
      <w:r w:rsidRPr="005F6314">
        <w:rPr>
          <w:lang w:val="fr-FR"/>
        </w:rPr>
        <w:t>observation 29 et insérer</w:t>
      </w:r>
      <w:r>
        <w:rPr>
          <w:lang w:val="fr-FR"/>
        </w:rPr>
        <w:t xml:space="preserve"> « </w:t>
      </w:r>
      <w:r w:rsidRPr="008C65FE">
        <w:rPr>
          <w:i/>
          <w:lang w:val="fr-FR"/>
        </w:rPr>
        <w:t>Supprimé</w:t>
      </w:r>
      <w:r w:rsidR="008C65FE">
        <w:rPr>
          <w:lang w:val="fr-FR"/>
        </w:rPr>
        <w:t> </w:t>
      </w:r>
      <w:r w:rsidRPr="005F6314">
        <w:rPr>
          <w:lang w:val="fr-FR"/>
        </w:rPr>
        <w:t>».</w:t>
      </w:r>
    </w:p>
    <w:p w:rsidR="005B4102" w:rsidRPr="005F6314" w:rsidRDefault="005B4102" w:rsidP="005B4102">
      <w:pPr>
        <w:pStyle w:val="SingleTxtG"/>
        <w:rPr>
          <w:i/>
          <w:lang w:val="fr-FR"/>
        </w:rPr>
      </w:pPr>
      <w:r w:rsidRPr="001A2BE8">
        <w:rPr>
          <w:iCs/>
          <w:lang w:val="fr-FR"/>
        </w:rPr>
        <w:t>(</w:t>
      </w:r>
      <w:r w:rsidRPr="005F6314">
        <w:rPr>
          <w:i/>
          <w:iCs/>
          <w:lang w:val="fr-FR"/>
        </w:rPr>
        <w:t>Document de référence</w:t>
      </w:r>
      <w:r>
        <w:rPr>
          <w:i/>
          <w:iCs/>
          <w:lang w:val="fr-FR"/>
        </w:rPr>
        <w:t> </w:t>
      </w:r>
      <w:r w:rsidRPr="005F6314">
        <w:rPr>
          <w:i/>
          <w:iCs/>
          <w:lang w:val="fr-FR"/>
        </w:rPr>
        <w:t>: ECE/TRANS/WP.15/AC.2/2018/44</w:t>
      </w:r>
      <w:r w:rsidRPr="001A2BE8">
        <w:rPr>
          <w:iCs/>
          <w:lang w:val="fr-FR"/>
        </w:rPr>
        <w:t>)</w:t>
      </w:r>
    </w:p>
    <w:p w:rsidR="005B4102" w:rsidRPr="005F6314" w:rsidRDefault="001C2973" w:rsidP="001C2973">
      <w:pPr>
        <w:pStyle w:val="SingleTxtG"/>
        <w:rPr>
          <w:lang w:val="fr-FR"/>
        </w:rPr>
      </w:pPr>
      <w:r>
        <w:rPr>
          <w:lang w:val="fr-FR"/>
        </w:rPr>
        <w:t>3.2.3.1</w:t>
      </w:r>
      <w:r>
        <w:rPr>
          <w:lang w:val="fr-FR"/>
        </w:rPr>
        <w:tab/>
      </w:r>
      <w:r>
        <w:rPr>
          <w:lang w:val="fr-FR"/>
        </w:rPr>
        <w:tab/>
      </w:r>
      <w:r w:rsidR="005B4102" w:rsidRPr="005F6314">
        <w:rPr>
          <w:lang w:val="fr-FR"/>
        </w:rPr>
        <w:t xml:space="preserve">Dans </w:t>
      </w:r>
      <w:r w:rsidR="00400737">
        <w:rPr>
          <w:rFonts w:asciiTheme="majorBidi" w:hAnsiTheme="majorBidi" w:cstheme="majorBidi"/>
          <w:lang w:val="fr-FR"/>
        </w:rPr>
        <w:t>« </w:t>
      </w:r>
      <w:r w:rsidR="005B4102" w:rsidRPr="005F6314">
        <w:rPr>
          <w:bCs/>
          <w:iCs/>
          <w:lang w:val="fr-FR"/>
        </w:rPr>
        <w:t>Explications concernant le tableau C</w:t>
      </w:r>
      <w:r w:rsidR="00400737">
        <w:rPr>
          <w:rFonts w:asciiTheme="majorBidi" w:hAnsiTheme="majorBidi" w:cstheme="majorBidi"/>
          <w:lang w:val="fr-FR"/>
        </w:rPr>
        <w:t> </w:t>
      </w:r>
      <w:r w:rsidR="005B4102" w:rsidRPr="005F6314">
        <w:rPr>
          <w:rFonts w:asciiTheme="majorBidi" w:hAnsiTheme="majorBidi" w:cstheme="majorBidi"/>
          <w:lang w:val="fr-FR"/>
        </w:rPr>
        <w:t>», colonne</w:t>
      </w:r>
      <w:r w:rsidR="005B4102" w:rsidRPr="005F6314">
        <w:rPr>
          <w:lang w:val="fr-FR"/>
        </w:rPr>
        <w:t xml:space="preserve"> (20), modifier la fin de l</w:t>
      </w:r>
      <w:r w:rsidR="005B4102">
        <w:rPr>
          <w:lang w:val="fr-FR"/>
        </w:rPr>
        <w:t>’</w:t>
      </w:r>
      <w:r w:rsidR="005B4102" w:rsidRPr="005F6314">
        <w:rPr>
          <w:lang w:val="fr-FR"/>
        </w:rPr>
        <w:t>observation 44 pour lire comme suit</w:t>
      </w:r>
      <w:r w:rsidR="005B4102">
        <w:rPr>
          <w:lang w:val="fr-FR"/>
        </w:rPr>
        <w:t> </w:t>
      </w:r>
      <w:r w:rsidR="005B4102" w:rsidRPr="005F6314">
        <w:rPr>
          <w:lang w:val="fr-FR"/>
        </w:rPr>
        <w:t>:</w:t>
      </w:r>
    </w:p>
    <w:p w:rsidR="005B4102" w:rsidRPr="005F6314" w:rsidRDefault="00400737" w:rsidP="005B4102">
      <w:pPr>
        <w:pStyle w:val="SingleTxtG"/>
        <w:rPr>
          <w:lang w:val="fr-FR"/>
        </w:rPr>
      </w:pPr>
      <w:r>
        <w:rPr>
          <w:lang w:val="fr-FR"/>
        </w:rPr>
        <w:t>« </w:t>
      </w:r>
      <w:r w:rsidR="005B4102">
        <w:rPr>
          <w:lang w:val="fr-FR"/>
        </w:rPr>
        <w:t>[</w:t>
      </w:r>
      <w:r w:rsidR="005B4102" w:rsidRPr="005F6314">
        <w:rPr>
          <w:lang w:val="fr-FR"/>
        </w:rPr>
        <w:t>…</w:t>
      </w:r>
      <w:r w:rsidR="005B4102">
        <w:rPr>
          <w:lang w:val="fr-FR"/>
        </w:rPr>
        <w:t xml:space="preserve">] </w:t>
      </w:r>
      <w:r w:rsidR="005B4102" w:rsidRPr="005F6314">
        <w:rPr>
          <w:lang w:val="fr-FR"/>
        </w:rPr>
        <w:t>ou une norme équivalente permettant une affecta</w:t>
      </w:r>
      <w:r>
        <w:rPr>
          <w:lang w:val="fr-FR"/>
        </w:rPr>
        <w:t>tion aux sous-groupes II B3, II </w:t>
      </w:r>
      <w:r w:rsidR="005B4102" w:rsidRPr="005F6314">
        <w:rPr>
          <w:lang w:val="fr-FR"/>
        </w:rPr>
        <w:t>B2 ou II B1 du groupe d</w:t>
      </w:r>
      <w:r w:rsidR="005B4102">
        <w:rPr>
          <w:lang w:val="fr-FR"/>
        </w:rPr>
        <w:t>’</w:t>
      </w:r>
      <w:r w:rsidR="005B4102" w:rsidRPr="005F6314">
        <w:rPr>
          <w:lang w:val="fr-FR"/>
        </w:rPr>
        <w:t>explosion II B ou du groupe d</w:t>
      </w:r>
      <w:r w:rsidR="005B4102">
        <w:rPr>
          <w:lang w:val="fr-FR"/>
        </w:rPr>
        <w:t>’</w:t>
      </w:r>
      <w:r w:rsidR="005B4102" w:rsidRPr="005F6314">
        <w:rPr>
          <w:lang w:val="fr-FR"/>
        </w:rPr>
        <w:t>explosion II A</w:t>
      </w:r>
      <w:r>
        <w:rPr>
          <w:lang w:val="fr-FR"/>
        </w:rPr>
        <w:t>. »</w:t>
      </w:r>
      <w:r w:rsidR="005B4102" w:rsidRPr="005F6314">
        <w:rPr>
          <w:lang w:val="fr-FR"/>
        </w:rPr>
        <w:t>.</w:t>
      </w:r>
    </w:p>
    <w:p w:rsidR="005B4102" w:rsidRPr="005F6314" w:rsidRDefault="005B4102" w:rsidP="005B4102">
      <w:pPr>
        <w:pStyle w:val="SingleTxtG"/>
        <w:rPr>
          <w:b/>
          <w:lang w:val="fr-FR"/>
        </w:rPr>
      </w:pPr>
      <w:r w:rsidRPr="00400737">
        <w:rPr>
          <w:iCs/>
          <w:lang w:val="fr-FR"/>
        </w:rPr>
        <w:t>(</w:t>
      </w:r>
      <w:r w:rsidRPr="005F6314">
        <w:rPr>
          <w:i/>
          <w:iCs/>
          <w:lang w:val="fr-FR"/>
        </w:rPr>
        <w:t>Document de référence</w:t>
      </w:r>
      <w:r>
        <w:rPr>
          <w:i/>
          <w:iCs/>
          <w:lang w:val="fr-FR"/>
        </w:rPr>
        <w:t> </w:t>
      </w:r>
      <w:r w:rsidRPr="005F6314">
        <w:rPr>
          <w:i/>
          <w:iCs/>
          <w:lang w:val="fr-FR"/>
        </w:rPr>
        <w:t>: ECE/TRANS/WP.15/AC.2/2018/44</w:t>
      </w:r>
      <w:r w:rsidRPr="00400737">
        <w:rPr>
          <w:iCs/>
          <w:lang w:val="fr-FR"/>
        </w:rPr>
        <w:t>)</w:t>
      </w:r>
    </w:p>
    <w:p w:rsidR="005B4102" w:rsidRPr="005F6314" w:rsidRDefault="005B4102" w:rsidP="005B4102">
      <w:pPr>
        <w:keepNext/>
        <w:keepLines/>
        <w:tabs>
          <w:tab w:val="right" w:pos="851"/>
        </w:tabs>
        <w:spacing w:before="240" w:after="120"/>
        <w:ind w:left="1134" w:right="1134" w:hanging="1134"/>
        <w:rPr>
          <w:b/>
          <w:lang w:val="fr-FR"/>
        </w:rPr>
      </w:pPr>
      <w:r>
        <w:rPr>
          <w:b/>
          <w:lang w:val="fr-FR"/>
        </w:rPr>
        <w:tab/>
      </w:r>
      <w:r>
        <w:rPr>
          <w:b/>
          <w:lang w:val="fr-FR"/>
        </w:rPr>
        <w:tab/>
        <w:t>Chapitre 3.2, t</w:t>
      </w:r>
      <w:r w:rsidRPr="005F6314">
        <w:rPr>
          <w:b/>
          <w:lang w:val="fr-FR"/>
        </w:rPr>
        <w:t>ableau C</w:t>
      </w:r>
    </w:p>
    <w:p w:rsidR="005B4102" w:rsidRPr="005F6314" w:rsidRDefault="005B4102" w:rsidP="00F402DC">
      <w:pPr>
        <w:pStyle w:val="SingleTxtG"/>
        <w:ind w:left="1985" w:hanging="851"/>
        <w:rPr>
          <w:rFonts w:asciiTheme="majorBidi" w:hAnsiTheme="majorBidi" w:cstheme="majorBidi"/>
          <w:lang w:val="fr-FR"/>
        </w:rPr>
      </w:pPr>
      <w:r w:rsidRPr="005F6314">
        <w:rPr>
          <w:rFonts w:asciiTheme="majorBidi" w:hAnsiTheme="majorBidi" w:cstheme="majorBidi"/>
          <w:lang w:val="fr-FR"/>
        </w:rPr>
        <w:t>3.2.3.2</w:t>
      </w:r>
      <w:r w:rsidRPr="005F6314">
        <w:rPr>
          <w:rFonts w:asciiTheme="majorBidi" w:hAnsiTheme="majorBidi" w:cstheme="majorBidi"/>
          <w:lang w:val="fr-FR"/>
        </w:rPr>
        <w:tab/>
        <w:t>Pour toutes les rubriques avec «</w:t>
      </w:r>
      <w:r>
        <w:rPr>
          <w:rFonts w:asciiTheme="majorBidi" w:hAnsiTheme="majorBidi" w:cstheme="majorBidi"/>
          <w:lang w:val="fr-FR"/>
        </w:rPr>
        <w:t> </w:t>
      </w:r>
      <w:r w:rsidRPr="005F6314">
        <w:rPr>
          <w:rFonts w:asciiTheme="majorBidi" w:hAnsiTheme="majorBidi" w:cstheme="majorBidi"/>
          <w:lang w:val="fr-FR"/>
        </w:rPr>
        <w:t>29 » dans la colonne (20), supprimer «</w:t>
      </w:r>
      <w:r>
        <w:rPr>
          <w:rFonts w:asciiTheme="majorBidi" w:hAnsiTheme="majorBidi" w:cstheme="majorBidi"/>
          <w:lang w:val="fr-FR"/>
        </w:rPr>
        <w:t> </w:t>
      </w:r>
      <w:r w:rsidRPr="005F6314">
        <w:rPr>
          <w:rFonts w:asciiTheme="majorBidi" w:hAnsiTheme="majorBidi" w:cstheme="majorBidi"/>
          <w:lang w:val="fr-FR"/>
        </w:rPr>
        <w:t>29 ».</w:t>
      </w:r>
    </w:p>
    <w:p w:rsidR="005B4102" w:rsidRPr="005F6314" w:rsidRDefault="005B4102" w:rsidP="00FA4E25">
      <w:pPr>
        <w:pStyle w:val="SingleTxtG"/>
        <w:rPr>
          <w:rFonts w:asciiTheme="majorBidi" w:hAnsiTheme="majorBidi" w:cstheme="majorBidi"/>
          <w:lang w:val="fr-FR"/>
        </w:rPr>
      </w:pPr>
      <w:r w:rsidRPr="00400737">
        <w:rPr>
          <w:iCs/>
          <w:lang w:val="fr-FR"/>
        </w:rPr>
        <w:t>(</w:t>
      </w:r>
      <w:r w:rsidRPr="005F6314">
        <w:rPr>
          <w:i/>
          <w:iCs/>
          <w:lang w:val="fr-FR"/>
        </w:rPr>
        <w:t>Document de référence</w:t>
      </w:r>
      <w:r>
        <w:rPr>
          <w:i/>
          <w:iCs/>
          <w:lang w:val="fr-FR"/>
        </w:rPr>
        <w:t> </w:t>
      </w:r>
      <w:r w:rsidRPr="005F6314">
        <w:rPr>
          <w:i/>
          <w:iCs/>
          <w:lang w:val="fr-FR"/>
        </w:rPr>
        <w:t>: ECE/TRANS/WP.15/AC.2/2018/44</w:t>
      </w:r>
      <w:r w:rsidRPr="00400737">
        <w:rPr>
          <w:iCs/>
          <w:lang w:val="fr-FR"/>
        </w:rPr>
        <w:t>)</w:t>
      </w:r>
    </w:p>
    <w:p w:rsidR="005B4102" w:rsidRPr="005F6314" w:rsidRDefault="00400737" w:rsidP="005B4102">
      <w:pPr>
        <w:pStyle w:val="SingleTxtG"/>
        <w:rPr>
          <w:lang w:val="fr-FR"/>
        </w:rPr>
      </w:pPr>
      <w:r>
        <w:rPr>
          <w:lang w:val="fr-FR"/>
        </w:rPr>
        <w:t>Pour le No </w:t>
      </w:r>
      <w:r w:rsidR="005B4102" w:rsidRPr="005F6314">
        <w:rPr>
          <w:lang w:val="fr-FR"/>
        </w:rPr>
        <w:t>ONU</w:t>
      </w:r>
      <w:r w:rsidR="00E026FC">
        <w:rPr>
          <w:lang w:val="fr-FR"/>
        </w:rPr>
        <w:t> </w:t>
      </w:r>
      <w:r w:rsidR="005B4102" w:rsidRPr="005F6314">
        <w:rPr>
          <w:lang w:val="fr-FR"/>
        </w:rPr>
        <w:t>1010, BUTADIÈNE-1-2, STABILISÉ, modifier la colonne (2) pour lire comme suit</w:t>
      </w:r>
      <w:r w:rsidR="005B4102">
        <w:rPr>
          <w:lang w:val="fr-FR"/>
        </w:rPr>
        <w:t> </w:t>
      </w:r>
      <w:r w:rsidR="005B4102" w:rsidRPr="005F6314">
        <w:rPr>
          <w:lang w:val="fr-FR"/>
        </w:rPr>
        <w:t>: « BUTADIÈNES (BUTADIÈNE-1-2), STABILISÉ ».</w:t>
      </w:r>
    </w:p>
    <w:p w:rsidR="005B4102" w:rsidRPr="005F6314" w:rsidRDefault="005B4102" w:rsidP="005B4102">
      <w:pPr>
        <w:pStyle w:val="SingleTxtG"/>
        <w:rPr>
          <w:i/>
          <w:lang w:val="fr-FR"/>
        </w:rPr>
      </w:pPr>
      <w:r w:rsidRPr="00400737">
        <w:rPr>
          <w:iCs/>
          <w:lang w:val="fr-FR"/>
        </w:rPr>
        <w:t>(</w:t>
      </w:r>
      <w:r w:rsidRPr="005F6314">
        <w:rPr>
          <w:i/>
          <w:iCs/>
          <w:lang w:val="fr-FR"/>
        </w:rPr>
        <w:t>Document de référence</w:t>
      </w:r>
      <w:r>
        <w:rPr>
          <w:i/>
          <w:iCs/>
          <w:lang w:val="fr-FR"/>
        </w:rPr>
        <w:t> </w:t>
      </w:r>
      <w:r w:rsidRPr="005F6314">
        <w:rPr>
          <w:i/>
          <w:iCs/>
          <w:lang w:val="fr-FR"/>
        </w:rPr>
        <w:t>: ECE/TRANS/WP.15/AC.2/2018/44</w:t>
      </w:r>
      <w:r w:rsidRPr="00400737">
        <w:rPr>
          <w:iCs/>
          <w:lang w:val="fr-FR"/>
        </w:rPr>
        <w:t>)</w:t>
      </w:r>
    </w:p>
    <w:p w:rsidR="005B4102" w:rsidRPr="005F6314" w:rsidRDefault="005B4102" w:rsidP="005B4102">
      <w:pPr>
        <w:pStyle w:val="SingleTxtG"/>
        <w:rPr>
          <w:lang w:val="fr-FR"/>
        </w:rPr>
      </w:pPr>
      <w:r w:rsidRPr="005F6314">
        <w:rPr>
          <w:lang w:val="fr-FR"/>
        </w:rPr>
        <w:t>Pour le No</w:t>
      </w:r>
      <w:r w:rsidR="00E026FC">
        <w:rPr>
          <w:lang w:val="fr-FR"/>
        </w:rPr>
        <w:t> </w:t>
      </w:r>
      <w:r w:rsidRPr="005F6314">
        <w:rPr>
          <w:lang w:val="fr-FR"/>
        </w:rPr>
        <w:t>ONU</w:t>
      </w:r>
      <w:r w:rsidR="00E026FC">
        <w:rPr>
          <w:lang w:val="fr-FR"/>
        </w:rPr>
        <w:t> </w:t>
      </w:r>
      <w:r w:rsidRPr="005F6314">
        <w:rPr>
          <w:lang w:val="fr-FR"/>
        </w:rPr>
        <w:t>1010, BUTADIÈNE-1-3, STABILISÉ, modifier la colonne (2) pour lire comme suit</w:t>
      </w:r>
      <w:r>
        <w:rPr>
          <w:lang w:val="fr-FR"/>
        </w:rPr>
        <w:t> </w:t>
      </w:r>
      <w:r w:rsidRPr="005F6314">
        <w:rPr>
          <w:lang w:val="fr-FR"/>
        </w:rPr>
        <w:t>: « BUTADIÈNES (BUTADIÈNE-1-3), STABILISÉ ».</w:t>
      </w:r>
    </w:p>
    <w:p w:rsidR="005B4102" w:rsidRPr="005F6314" w:rsidRDefault="005B4102" w:rsidP="005B4102">
      <w:pPr>
        <w:pStyle w:val="SingleTxtG"/>
        <w:rPr>
          <w:i/>
          <w:lang w:val="fr-FR"/>
        </w:rPr>
      </w:pPr>
      <w:r w:rsidRPr="00400737">
        <w:rPr>
          <w:iCs/>
          <w:lang w:val="fr-FR"/>
        </w:rPr>
        <w:t>(</w:t>
      </w:r>
      <w:r w:rsidRPr="005F6314">
        <w:rPr>
          <w:i/>
          <w:iCs/>
          <w:lang w:val="fr-FR"/>
        </w:rPr>
        <w:t>Document de référence</w:t>
      </w:r>
      <w:r>
        <w:rPr>
          <w:i/>
          <w:iCs/>
          <w:lang w:val="fr-FR"/>
        </w:rPr>
        <w:t> </w:t>
      </w:r>
      <w:r w:rsidRPr="005F6314">
        <w:rPr>
          <w:i/>
          <w:iCs/>
          <w:lang w:val="fr-FR"/>
        </w:rPr>
        <w:t>: ECE/TRANS/WP.15/AC.2/2018/44</w:t>
      </w:r>
      <w:r w:rsidRPr="00400737">
        <w:rPr>
          <w:iCs/>
          <w:lang w:val="fr-FR"/>
        </w:rPr>
        <w:t>)</w:t>
      </w:r>
    </w:p>
    <w:p w:rsidR="005B4102" w:rsidRPr="005F6314" w:rsidRDefault="005B4102" w:rsidP="005B4102">
      <w:pPr>
        <w:pStyle w:val="SingleTxtG"/>
        <w:rPr>
          <w:lang w:val="fr-FR"/>
        </w:rPr>
      </w:pPr>
      <w:r w:rsidRPr="005F6314">
        <w:rPr>
          <w:lang w:val="fr-FR"/>
        </w:rPr>
        <w:t>Pour le No</w:t>
      </w:r>
      <w:r w:rsidR="00E026FC">
        <w:rPr>
          <w:lang w:val="fr-FR"/>
        </w:rPr>
        <w:t> </w:t>
      </w:r>
      <w:r w:rsidRPr="005F6314">
        <w:rPr>
          <w:lang w:val="fr-FR"/>
        </w:rPr>
        <w:t>ONU</w:t>
      </w:r>
      <w:r w:rsidR="00E026FC">
        <w:rPr>
          <w:lang w:val="fr-FR"/>
        </w:rPr>
        <w:t> </w:t>
      </w:r>
      <w:r w:rsidRPr="005F6314">
        <w:rPr>
          <w:lang w:val="fr-FR"/>
        </w:rPr>
        <w:t>1020, modifier la colonne (2) pour lire comme suit</w:t>
      </w:r>
      <w:r>
        <w:rPr>
          <w:lang w:val="fr-FR"/>
        </w:rPr>
        <w:t> </w:t>
      </w:r>
      <w:r w:rsidRPr="005F6314">
        <w:rPr>
          <w:lang w:val="fr-FR"/>
        </w:rPr>
        <w:t>: «</w:t>
      </w:r>
      <w:r>
        <w:rPr>
          <w:color w:val="000000"/>
          <w:lang w:val="fr-FR" w:bidi="th-TH"/>
        </w:rPr>
        <w:t> </w:t>
      </w:r>
      <w:r w:rsidRPr="005F6314">
        <w:rPr>
          <w:color w:val="000000"/>
          <w:lang w:val="fr-FR" w:bidi="th-TH"/>
        </w:rPr>
        <w:t>CHLOROPENTAFLUORÉTHANE (gaz réfrigérant R 115)</w:t>
      </w:r>
      <w:r w:rsidR="00E026FC">
        <w:rPr>
          <w:lang w:val="fr-FR"/>
        </w:rPr>
        <w:t> »</w:t>
      </w:r>
      <w:r w:rsidRPr="005F6314">
        <w:rPr>
          <w:lang w:val="fr-FR"/>
        </w:rPr>
        <w:t>.</w:t>
      </w:r>
    </w:p>
    <w:p w:rsidR="005B4102" w:rsidRPr="005F6314" w:rsidRDefault="005B4102" w:rsidP="005B4102">
      <w:pPr>
        <w:pStyle w:val="SingleTxtG"/>
        <w:rPr>
          <w:i/>
          <w:iCs/>
          <w:lang w:val="fr-FR"/>
        </w:rPr>
      </w:pPr>
      <w:r w:rsidRPr="00400737">
        <w:rPr>
          <w:iCs/>
          <w:lang w:val="fr-FR"/>
        </w:rPr>
        <w:t>(</w:t>
      </w:r>
      <w:r w:rsidRPr="005F6314">
        <w:rPr>
          <w:i/>
          <w:iCs/>
          <w:lang w:val="fr-FR"/>
        </w:rPr>
        <w:t>Document de référence</w:t>
      </w:r>
      <w:r>
        <w:rPr>
          <w:i/>
          <w:iCs/>
          <w:lang w:val="fr-FR"/>
        </w:rPr>
        <w:t> </w:t>
      </w:r>
      <w:r w:rsidRPr="005F6314">
        <w:rPr>
          <w:i/>
          <w:iCs/>
          <w:lang w:val="fr-FR"/>
        </w:rPr>
        <w:t>: ECE/TRANS/WP.15/AC.2/2018/44</w:t>
      </w:r>
      <w:r w:rsidRPr="00400737">
        <w:rPr>
          <w:iCs/>
          <w:lang w:val="fr-FR"/>
        </w:rPr>
        <w:t>)</w:t>
      </w:r>
    </w:p>
    <w:p w:rsidR="005B4102" w:rsidRPr="005F6314" w:rsidRDefault="005B4102" w:rsidP="005B4102">
      <w:pPr>
        <w:pStyle w:val="SingleTxtG"/>
        <w:rPr>
          <w:lang w:val="fr-FR"/>
        </w:rPr>
      </w:pPr>
      <w:r w:rsidRPr="005F6314">
        <w:rPr>
          <w:lang w:val="fr-FR"/>
        </w:rPr>
        <w:t>Pour le No</w:t>
      </w:r>
      <w:r w:rsidR="00E026FC">
        <w:rPr>
          <w:lang w:val="fr-FR"/>
        </w:rPr>
        <w:t> </w:t>
      </w:r>
      <w:r w:rsidRPr="005F6314">
        <w:rPr>
          <w:lang w:val="fr-FR"/>
        </w:rPr>
        <w:t>ONU</w:t>
      </w:r>
      <w:r w:rsidR="00E026FC">
        <w:rPr>
          <w:lang w:val="fr-FR"/>
        </w:rPr>
        <w:t> </w:t>
      </w:r>
      <w:r w:rsidRPr="005F6314">
        <w:rPr>
          <w:lang w:val="fr-FR"/>
        </w:rPr>
        <w:t>1108, modifier la colonne (2) pour lire comme suit</w:t>
      </w:r>
      <w:r>
        <w:rPr>
          <w:lang w:val="fr-FR"/>
        </w:rPr>
        <w:t> </w:t>
      </w:r>
      <w:r w:rsidRPr="005F6314">
        <w:rPr>
          <w:lang w:val="fr-FR"/>
        </w:rPr>
        <w:t>: «</w:t>
      </w:r>
      <w:r>
        <w:rPr>
          <w:color w:val="000000"/>
          <w:lang w:val="fr-FR" w:bidi="th-TH"/>
        </w:rPr>
        <w:t> </w:t>
      </w:r>
      <w:r w:rsidRPr="005F6314">
        <w:rPr>
          <w:color w:val="000000"/>
          <w:lang w:val="fr-FR" w:bidi="th-TH"/>
        </w:rPr>
        <w:t>PENTÈNE-1 (n</w:t>
      </w:r>
      <w:r w:rsidR="00E026FC">
        <w:rPr>
          <w:color w:val="000000"/>
          <w:lang w:val="fr-FR" w:bidi="th-TH"/>
        </w:rPr>
        <w:noBreakHyphen/>
      </w:r>
      <w:r w:rsidRPr="005F6314">
        <w:rPr>
          <w:color w:val="000000"/>
          <w:lang w:val="fr-FR" w:bidi="th-TH"/>
        </w:rPr>
        <w:t>amylène)</w:t>
      </w:r>
      <w:r w:rsidRPr="005F6314">
        <w:rPr>
          <w:lang w:val="fr-FR"/>
        </w:rPr>
        <w:t xml:space="preserve"> ».</w:t>
      </w:r>
    </w:p>
    <w:p w:rsidR="005B4102" w:rsidRPr="005F6314" w:rsidRDefault="005B4102" w:rsidP="005B4102">
      <w:pPr>
        <w:pStyle w:val="SingleTxtG"/>
        <w:rPr>
          <w:i/>
          <w:lang w:val="fr-FR"/>
        </w:rPr>
      </w:pPr>
      <w:r w:rsidRPr="00026434">
        <w:rPr>
          <w:iCs/>
          <w:lang w:val="fr-FR"/>
        </w:rPr>
        <w:t>(</w:t>
      </w:r>
      <w:r w:rsidRPr="005F6314">
        <w:rPr>
          <w:i/>
          <w:iCs/>
          <w:lang w:val="fr-FR"/>
        </w:rPr>
        <w:t>Document de référence</w:t>
      </w:r>
      <w:r>
        <w:rPr>
          <w:i/>
          <w:iCs/>
          <w:lang w:val="fr-FR"/>
        </w:rPr>
        <w:t> </w:t>
      </w:r>
      <w:r w:rsidRPr="005F6314">
        <w:rPr>
          <w:i/>
          <w:iCs/>
          <w:lang w:val="fr-FR"/>
        </w:rPr>
        <w:t>: ECE/TRANS/WP.15/AC.2/2018/44</w:t>
      </w:r>
      <w:r w:rsidRPr="00026434">
        <w:rPr>
          <w:iCs/>
          <w:lang w:val="fr-FR"/>
        </w:rPr>
        <w:t>)</w:t>
      </w:r>
    </w:p>
    <w:p w:rsidR="005B4102" w:rsidRPr="005F6314" w:rsidRDefault="005B4102" w:rsidP="005B4102">
      <w:pPr>
        <w:pStyle w:val="SingleTxtG"/>
        <w:rPr>
          <w:lang w:val="fr-FR"/>
        </w:rPr>
      </w:pPr>
      <w:r w:rsidRPr="005F6314">
        <w:rPr>
          <w:lang w:val="fr-FR"/>
        </w:rPr>
        <w:t>Pour le No</w:t>
      </w:r>
      <w:r w:rsidR="00026434">
        <w:rPr>
          <w:lang w:val="fr-FR"/>
        </w:rPr>
        <w:t> ONU </w:t>
      </w:r>
      <w:r w:rsidRPr="005F6314">
        <w:rPr>
          <w:lang w:val="fr-FR"/>
        </w:rPr>
        <w:t>1179, modifier la colonne (16) pour lire « II A ».</w:t>
      </w:r>
    </w:p>
    <w:p w:rsidR="005B4102" w:rsidRPr="005F6314" w:rsidRDefault="005B4102" w:rsidP="005B4102">
      <w:pPr>
        <w:pStyle w:val="SingleTxtG"/>
        <w:rPr>
          <w:i/>
          <w:lang w:val="fr-FR"/>
        </w:rPr>
      </w:pPr>
      <w:r w:rsidRPr="00026434">
        <w:rPr>
          <w:lang w:val="fr-FR"/>
        </w:rPr>
        <w:t>(</w:t>
      </w:r>
      <w:r>
        <w:rPr>
          <w:i/>
          <w:lang w:val="fr-FR"/>
        </w:rPr>
        <w:t>Document</w:t>
      </w:r>
      <w:r w:rsidRPr="005F6314">
        <w:rPr>
          <w:i/>
          <w:lang w:val="fr-FR"/>
        </w:rPr>
        <w:t xml:space="preserve"> de référence</w:t>
      </w:r>
      <w:r>
        <w:rPr>
          <w:i/>
          <w:lang w:val="fr-FR"/>
        </w:rPr>
        <w:t> </w:t>
      </w:r>
      <w:r w:rsidRPr="005F6314">
        <w:rPr>
          <w:i/>
          <w:lang w:val="fr-FR"/>
        </w:rPr>
        <w:t>: ECE/TRANS/WP.15/AC.2/2018/50</w:t>
      </w:r>
      <w:r>
        <w:rPr>
          <w:i/>
          <w:lang w:val="fr-FR"/>
        </w:rPr>
        <w:t>,</w:t>
      </w:r>
      <w:r w:rsidRPr="005F6314">
        <w:rPr>
          <w:i/>
          <w:lang w:val="fr-FR"/>
        </w:rPr>
        <w:t xml:space="preserve"> tel que modifié par le document informel INF.23</w:t>
      </w:r>
      <w:r w:rsidRPr="00026434">
        <w:rPr>
          <w:lang w:val="fr-FR"/>
        </w:rPr>
        <w:t>)</w:t>
      </w:r>
    </w:p>
    <w:p w:rsidR="005B4102" w:rsidRPr="005F6314" w:rsidRDefault="005B4102" w:rsidP="005B4102">
      <w:pPr>
        <w:pStyle w:val="SingleTxtG"/>
        <w:rPr>
          <w:lang w:val="fr-FR"/>
        </w:rPr>
      </w:pPr>
      <w:r w:rsidRPr="005F6314">
        <w:rPr>
          <w:lang w:val="fr-FR"/>
        </w:rPr>
        <w:t>Pour le No</w:t>
      </w:r>
      <w:r w:rsidR="00676565">
        <w:rPr>
          <w:lang w:val="fr-FR"/>
        </w:rPr>
        <w:t> </w:t>
      </w:r>
      <w:r w:rsidR="00026434">
        <w:rPr>
          <w:lang w:val="fr-FR"/>
        </w:rPr>
        <w:t>ONU </w:t>
      </w:r>
      <w:r w:rsidRPr="005F6314">
        <w:rPr>
          <w:lang w:val="fr-FR"/>
        </w:rPr>
        <w:t>1193, modifier la colonne (2) pour lire comme suit</w:t>
      </w:r>
      <w:r>
        <w:rPr>
          <w:lang w:val="fr-FR"/>
        </w:rPr>
        <w:t> </w:t>
      </w:r>
      <w:r w:rsidRPr="005F6314">
        <w:rPr>
          <w:lang w:val="fr-FR"/>
        </w:rPr>
        <w:t>: «</w:t>
      </w:r>
      <w:r>
        <w:rPr>
          <w:color w:val="000000"/>
          <w:lang w:val="fr-FR" w:bidi="th-TH"/>
        </w:rPr>
        <w:t> </w:t>
      </w:r>
      <w:r w:rsidRPr="005F6314">
        <w:rPr>
          <w:color w:val="000000"/>
          <w:lang w:val="fr-FR" w:bidi="th-TH"/>
        </w:rPr>
        <w:t>ÉTHYLMÉTHYLCÉTONE (</w:t>
      </w:r>
      <w:proofErr w:type="spellStart"/>
      <w:r w:rsidRPr="005F6314">
        <w:rPr>
          <w:color w:val="000000"/>
          <w:lang w:val="fr-FR" w:bidi="th-TH"/>
        </w:rPr>
        <w:t>méthyléthylcétone</w:t>
      </w:r>
      <w:proofErr w:type="spellEnd"/>
      <w:r w:rsidRPr="005F6314">
        <w:rPr>
          <w:color w:val="000000"/>
          <w:lang w:val="fr-FR" w:bidi="th-TH"/>
        </w:rPr>
        <w:t>)</w:t>
      </w:r>
      <w:r w:rsidR="00026434">
        <w:rPr>
          <w:lang w:val="fr-FR"/>
        </w:rPr>
        <w:t> »</w:t>
      </w:r>
      <w:r w:rsidRPr="005F6314">
        <w:rPr>
          <w:lang w:val="fr-FR"/>
        </w:rPr>
        <w:t>.</w:t>
      </w:r>
    </w:p>
    <w:p w:rsidR="005B4102" w:rsidRPr="00026434" w:rsidRDefault="005B4102" w:rsidP="005B4102">
      <w:pPr>
        <w:pStyle w:val="SingleTxtG"/>
        <w:rPr>
          <w:lang w:val="fr-FR"/>
        </w:rPr>
      </w:pPr>
      <w:r w:rsidRPr="00026434">
        <w:rPr>
          <w:iCs/>
          <w:lang w:val="fr-FR"/>
        </w:rPr>
        <w:t>(</w:t>
      </w:r>
      <w:r w:rsidRPr="005F6314">
        <w:rPr>
          <w:i/>
          <w:iCs/>
          <w:lang w:val="fr-FR"/>
        </w:rPr>
        <w:t>Document de référence</w:t>
      </w:r>
      <w:r>
        <w:rPr>
          <w:i/>
          <w:iCs/>
          <w:lang w:val="fr-FR"/>
        </w:rPr>
        <w:t> </w:t>
      </w:r>
      <w:r w:rsidRPr="005F6314">
        <w:rPr>
          <w:i/>
          <w:iCs/>
          <w:lang w:val="fr-FR"/>
        </w:rPr>
        <w:t>: ECE/TRANS/WP.15/AC.2/2018/44</w:t>
      </w:r>
      <w:r w:rsidRPr="00026434">
        <w:rPr>
          <w:iCs/>
          <w:lang w:val="fr-FR"/>
        </w:rPr>
        <w:t>)</w:t>
      </w:r>
    </w:p>
    <w:p w:rsidR="005B4102" w:rsidRPr="005F6314" w:rsidRDefault="005B4102" w:rsidP="005B4102">
      <w:pPr>
        <w:pStyle w:val="SingleTxtG"/>
        <w:rPr>
          <w:lang w:val="fr-FR"/>
        </w:rPr>
      </w:pPr>
      <w:r w:rsidRPr="005F6314">
        <w:rPr>
          <w:lang w:val="fr-FR"/>
        </w:rPr>
        <w:t>Pour le No</w:t>
      </w:r>
      <w:r w:rsidR="00026434">
        <w:rPr>
          <w:lang w:val="fr-FR"/>
        </w:rPr>
        <w:t> </w:t>
      </w:r>
      <w:r w:rsidRPr="005F6314">
        <w:rPr>
          <w:lang w:val="fr-FR"/>
        </w:rPr>
        <w:t>ONU</w:t>
      </w:r>
      <w:r w:rsidR="00026434">
        <w:rPr>
          <w:lang w:val="fr-FR"/>
        </w:rPr>
        <w:t> </w:t>
      </w:r>
      <w:r w:rsidRPr="005F6314">
        <w:rPr>
          <w:lang w:val="fr-FR"/>
        </w:rPr>
        <w:t>1212, modifier la colonne (2) pour lire comme suit</w:t>
      </w:r>
      <w:r>
        <w:rPr>
          <w:lang w:val="fr-FR"/>
        </w:rPr>
        <w:t> </w:t>
      </w:r>
      <w:r w:rsidRPr="005F6314">
        <w:rPr>
          <w:lang w:val="fr-FR"/>
        </w:rPr>
        <w:t>: «</w:t>
      </w:r>
      <w:r>
        <w:rPr>
          <w:color w:val="000000"/>
          <w:lang w:val="fr-FR" w:bidi="th-TH"/>
        </w:rPr>
        <w:t> </w:t>
      </w:r>
      <w:r w:rsidRPr="005F6314">
        <w:rPr>
          <w:color w:val="000000"/>
          <w:lang w:val="fr-FR" w:bidi="th-TH"/>
        </w:rPr>
        <w:t xml:space="preserve">ISOBUTANOL (alcool </w:t>
      </w:r>
      <w:proofErr w:type="spellStart"/>
      <w:r w:rsidRPr="005F6314">
        <w:rPr>
          <w:color w:val="000000"/>
          <w:lang w:val="fr-FR" w:bidi="th-TH"/>
        </w:rPr>
        <w:t>isobutylique</w:t>
      </w:r>
      <w:proofErr w:type="spellEnd"/>
      <w:r w:rsidRPr="005F6314">
        <w:rPr>
          <w:color w:val="000000"/>
          <w:lang w:val="fr-FR" w:bidi="th-TH"/>
        </w:rPr>
        <w:t>)</w:t>
      </w:r>
      <w:r w:rsidR="00026434">
        <w:rPr>
          <w:lang w:val="fr-FR"/>
        </w:rPr>
        <w:t> »</w:t>
      </w:r>
      <w:r w:rsidRPr="005F6314">
        <w:rPr>
          <w:lang w:val="fr-FR"/>
        </w:rPr>
        <w:t>.</w:t>
      </w:r>
    </w:p>
    <w:p w:rsidR="005B4102" w:rsidRPr="005F6314" w:rsidRDefault="005B4102" w:rsidP="005B4102">
      <w:pPr>
        <w:pStyle w:val="SingleTxtG"/>
        <w:rPr>
          <w:i/>
          <w:lang w:val="fr-FR"/>
        </w:rPr>
      </w:pPr>
      <w:r w:rsidRPr="00026434">
        <w:rPr>
          <w:iCs/>
          <w:lang w:val="fr-FR"/>
        </w:rPr>
        <w:t>(</w:t>
      </w:r>
      <w:r w:rsidRPr="005F6314">
        <w:rPr>
          <w:i/>
          <w:iCs/>
          <w:lang w:val="fr-FR"/>
        </w:rPr>
        <w:t>Document de référence</w:t>
      </w:r>
      <w:r>
        <w:rPr>
          <w:i/>
          <w:iCs/>
          <w:lang w:val="fr-FR"/>
        </w:rPr>
        <w:t> </w:t>
      </w:r>
      <w:r w:rsidRPr="005F6314">
        <w:rPr>
          <w:i/>
          <w:iCs/>
          <w:lang w:val="fr-FR"/>
        </w:rPr>
        <w:t>: ECE/TRANS/WP.15/AC.2/2018/44</w:t>
      </w:r>
      <w:r w:rsidRPr="00026434">
        <w:rPr>
          <w:iCs/>
          <w:lang w:val="fr-FR"/>
        </w:rPr>
        <w:t>)</w:t>
      </w:r>
    </w:p>
    <w:p w:rsidR="005B4102" w:rsidRPr="005F6314" w:rsidRDefault="005B4102" w:rsidP="005502A7">
      <w:pPr>
        <w:pStyle w:val="SingleTxtG"/>
        <w:spacing w:after="100"/>
        <w:rPr>
          <w:lang w:val="fr-FR"/>
        </w:rPr>
      </w:pPr>
      <w:r w:rsidRPr="005F6314">
        <w:rPr>
          <w:lang w:val="fr-FR"/>
        </w:rPr>
        <w:t>Pour le No</w:t>
      </w:r>
      <w:r w:rsidR="00026434">
        <w:rPr>
          <w:lang w:val="fr-FR"/>
        </w:rPr>
        <w:t> </w:t>
      </w:r>
      <w:r w:rsidRPr="005F6314">
        <w:rPr>
          <w:lang w:val="fr-FR"/>
        </w:rPr>
        <w:t>ONU</w:t>
      </w:r>
      <w:r w:rsidR="00026434">
        <w:rPr>
          <w:lang w:val="fr-FR"/>
        </w:rPr>
        <w:t> </w:t>
      </w:r>
      <w:r w:rsidRPr="005F6314">
        <w:rPr>
          <w:lang w:val="fr-FR"/>
        </w:rPr>
        <w:t xml:space="preserve">1216, modifier la colonne (16) pour lire </w:t>
      </w:r>
      <w:r w:rsidR="00556858">
        <w:rPr>
          <w:lang w:val="fr-FR"/>
        </w:rPr>
        <w:t>« </w:t>
      </w:r>
      <w:r w:rsidRPr="005F6314">
        <w:rPr>
          <w:lang w:val="fr-FR"/>
        </w:rPr>
        <w:t>II B (II B1)</w:t>
      </w:r>
      <w:r w:rsidR="00556858">
        <w:rPr>
          <w:lang w:val="fr-FR"/>
        </w:rPr>
        <w:t> »</w:t>
      </w:r>
      <w:r w:rsidRPr="005F6314">
        <w:rPr>
          <w:lang w:val="fr-FR"/>
        </w:rPr>
        <w:t>.</w:t>
      </w:r>
    </w:p>
    <w:p w:rsidR="005B4102" w:rsidRPr="005F6314" w:rsidRDefault="005B4102" w:rsidP="005502A7">
      <w:pPr>
        <w:pStyle w:val="SingleTxtG"/>
        <w:spacing w:after="100"/>
        <w:rPr>
          <w:i/>
          <w:lang w:val="fr-FR"/>
        </w:rPr>
      </w:pPr>
      <w:r w:rsidRPr="001A2BE8">
        <w:rPr>
          <w:lang w:val="fr-FR"/>
        </w:rPr>
        <w:t>(</w:t>
      </w:r>
      <w:r>
        <w:rPr>
          <w:i/>
          <w:lang w:val="fr-FR"/>
        </w:rPr>
        <w:t>Document</w:t>
      </w:r>
      <w:r w:rsidRPr="005F6314">
        <w:rPr>
          <w:i/>
          <w:lang w:val="fr-FR"/>
        </w:rPr>
        <w:t xml:space="preserve"> de référence</w:t>
      </w:r>
      <w:r>
        <w:rPr>
          <w:i/>
          <w:lang w:val="fr-FR"/>
        </w:rPr>
        <w:t> </w:t>
      </w:r>
      <w:r w:rsidRPr="005F6314">
        <w:rPr>
          <w:i/>
          <w:lang w:val="fr-FR"/>
        </w:rPr>
        <w:t>: ECE/TRANS/WP.15/AC.2/2018/50</w:t>
      </w:r>
      <w:r>
        <w:rPr>
          <w:i/>
          <w:lang w:val="fr-FR"/>
        </w:rPr>
        <w:t>,</w:t>
      </w:r>
      <w:r w:rsidRPr="005F6314">
        <w:rPr>
          <w:i/>
          <w:lang w:val="fr-FR"/>
        </w:rPr>
        <w:t xml:space="preserve"> tel que modifié par le document informel INF.23</w:t>
      </w:r>
      <w:r w:rsidRPr="001A2BE8">
        <w:rPr>
          <w:lang w:val="fr-FR"/>
        </w:rPr>
        <w:t>)</w:t>
      </w:r>
    </w:p>
    <w:p w:rsidR="005B4102" w:rsidRPr="005F6314" w:rsidRDefault="005B4102" w:rsidP="005502A7">
      <w:pPr>
        <w:pStyle w:val="SingleTxtG"/>
        <w:spacing w:after="100"/>
        <w:rPr>
          <w:lang w:val="fr-FR"/>
        </w:rPr>
      </w:pPr>
      <w:r w:rsidRPr="005F6314">
        <w:rPr>
          <w:lang w:val="fr-FR"/>
        </w:rPr>
        <w:lastRenderedPageBreak/>
        <w:t xml:space="preserve">Pour le </w:t>
      </w:r>
      <w:r w:rsidR="00026434" w:rsidRPr="005F6314">
        <w:rPr>
          <w:lang w:val="fr-FR"/>
        </w:rPr>
        <w:t>No</w:t>
      </w:r>
      <w:r w:rsidR="00026434">
        <w:rPr>
          <w:lang w:val="fr-FR"/>
        </w:rPr>
        <w:t> </w:t>
      </w:r>
      <w:r w:rsidR="00026434" w:rsidRPr="005F6314">
        <w:rPr>
          <w:lang w:val="fr-FR"/>
        </w:rPr>
        <w:t>ONU</w:t>
      </w:r>
      <w:r w:rsidR="00026434">
        <w:rPr>
          <w:lang w:val="fr-FR"/>
        </w:rPr>
        <w:t> </w:t>
      </w:r>
      <w:r w:rsidRPr="005F6314">
        <w:rPr>
          <w:lang w:val="fr-FR"/>
        </w:rPr>
        <w:t>1219, modifier la colonne (2) pour lire comme suit</w:t>
      </w:r>
      <w:r>
        <w:rPr>
          <w:lang w:val="fr-FR"/>
        </w:rPr>
        <w:t> </w:t>
      </w:r>
      <w:r w:rsidRPr="005F6314">
        <w:rPr>
          <w:lang w:val="fr-FR"/>
        </w:rPr>
        <w:t>: «</w:t>
      </w:r>
      <w:r>
        <w:rPr>
          <w:color w:val="000000"/>
          <w:lang w:val="fr-FR" w:bidi="th-TH"/>
        </w:rPr>
        <w:t> </w:t>
      </w:r>
      <w:r w:rsidRPr="005F6314">
        <w:rPr>
          <w:color w:val="000000"/>
          <w:lang w:val="fr-FR" w:bidi="th-TH"/>
        </w:rPr>
        <w:t>ISOPROPANOL (alcool isopropylique)</w:t>
      </w:r>
      <w:r w:rsidR="00556858">
        <w:rPr>
          <w:lang w:val="fr-FR"/>
        </w:rPr>
        <w:t> »</w:t>
      </w:r>
      <w:r w:rsidRPr="005F6314">
        <w:rPr>
          <w:lang w:val="fr-FR"/>
        </w:rPr>
        <w:t>.</w:t>
      </w:r>
    </w:p>
    <w:p w:rsidR="005B4102" w:rsidRPr="005F6314" w:rsidRDefault="005B4102" w:rsidP="005502A7">
      <w:pPr>
        <w:pStyle w:val="SingleTxtG"/>
        <w:spacing w:after="100"/>
        <w:rPr>
          <w:i/>
          <w:lang w:val="fr-FR"/>
        </w:rPr>
      </w:pPr>
      <w:r w:rsidRPr="00556858">
        <w:rPr>
          <w:iCs/>
          <w:lang w:val="fr-FR"/>
        </w:rPr>
        <w:t>(</w:t>
      </w:r>
      <w:r w:rsidRPr="005F6314">
        <w:rPr>
          <w:i/>
          <w:iCs/>
          <w:lang w:val="fr-FR"/>
        </w:rPr>
        <w:t>Document de référence</w:t>
      </w:r>
      <w:r>
        <w:rPr>
          <w:i/>
          <w:iCs/>
          <w:lang w:val="fr-FR"/>
        </w:rPr>
        <w:t> </w:t>
      </w:r>
      <w:r w:rsidRPr="005F6314">
        <w:rPr>
          <w:i/>
          <w:iCs/>
          <w:lang w:val="fr-FR"/>
        </w:rPr>
        <w:t>: ECE/TRANS/WP.15/AC.2/2018/44</w:t>
      </w:r>
      <w:r w:rsidRPr="00556858">
        <w:rPr>
          <w:iCs/>
          <w:lang w:val="fr-FR"/>
        </w:rPr>
        <w:t>)</w:t>
      </w:r>
    </w:p>
    <w:p w:rsidR="005B4102" w:rsidRPr="005F6314" w:rsidRDefault="005B4102" w:rsidP="005502A7">
      <w:pPr>
        <w:pStyle w:val="SingleTxtG"/>
        <w:spacing w:after="100"/>
        <w:rPr>
          <w:rFonts w:ascii="inherit" w:hAnsi="inherit"/>
          <w:color w:val="212121"/>
          <w:lang w:val="fr-FR"/>
        </w:rPr>
      </w:pPr>
      <w:r w:rsidRPr="005F6314">
        <w:rPr>
          <w:rFonts w:ascii="inherit" w:hAnsi="inherit"/>
          <w:color w:val="212121"/>
          <w:lang w:val="fr-FR"/>
        </w:rPr>
        <w:t xml:space="preserve">Pour le </w:t>
      </w:r>
      <w:r w:rsidR="00026434" w:rsidRPr="005F6314">
        <w:rPr>
          <w:lang w:val="fr-FR"/>
        </w:rPr>
        <w:t>No</w:t>
      </w:r>
      <w:r w:rsidR="00026434">
        <w:rPr>
          <w:lang w:val="fr-FR"/>
        </w:rPr>
        <w:t> </w:t>
      </w:r>
      <w:r w:rsidR="00026434" w:rsidRPr="005F6314">
        <w:rPr>
          <w:lang w:val="fr-FR"/>
        </w:rPr>
        <w:t>ONU</w:t>
      </w:r>
      <w:r w:rsidR="00026434">
        <w:rPr>
          <w:lang w:val="fr-FR"/>
        </w:rPr>
        <w:t> </w:t>
      </w:r>
      <w:r w:rsidRPr="005F6314">
        <w:rPr>
          <w:rFonts w:ascii="inherit" w:hAnsi="inherit"/>
          <w:color w:val="212121"/>
          <w:lang w:val="fr-FR"/>
        </w:rPr>
        <w:t>1268 (16 rubriques contenant plus de 10</w:t>
      </w:r>
      <w:r w:rsidR="00556858">
        <w:rPr>
          <w:rFonts w:ascii="inherit" w:hAnsi="inherit"/>
          <w:color w:val="212121"/>
          <w:lang w:val="fr-FR"/>
        </w:rPr>
        <w:t> </w:t>
      </w:r>
      <w:r w:rsidRPr="005F6314">
        <w:rPr>
          <w:rFonts w:ascii="inherit" w:hAnsi="inherit"/>
          <w:color w:val="212121"/>
          <w:lang w:val="fr-FR"/>
        </w:rPr>
        <w:t xml:space="preserve">% de benzène), dans la colonne (20), supprimer </w:t>
      </w:r>
      <w:r w:rsidRPr="005F6314">
        <w:rPr>
          <w:lang w:val="fr-FR"/>
        </w:rPr>
        <w:t>«</w:t>
      </w:r>
      <w:r>
        <w:rPr>
          <w:lang w:val="fr-FR"/>
        </w:rPr>
        <w:t> </w:t>
      </w:r>
      <w:r w:rsidRPr="005F6314">
        <w:rPr>
          <w:rFonts w:ascii="inherit" w:hAnsi="inherit" w:cs="Courier New"/>
          <w:color w:val="212121"/>
          <w:lang w:val="fr-FR"/>
        </w:rPr>
        <w:t>27</w:t>
      </w:r>
      <w:r w:rsidR="00556858">
        <w:rPr>
          <w:lang w:val="fr-FR"/>
        </w:rPr>
        <w:t> »</w:t>
      </w:r>
      <w:r w:rsidRPr="005F6314">
        <w:rPr>
          <w:lang w:val="fr-FR"/>
        </w:rPr>
        <w:t>.</w:t>
      </w:r>
    </w:p>
    <w:p w:rsidR="005B4102" w:rsidRPr="005F6314" w:rsidRDefault="005B4102" w:rsidP="005502A7">
      <w:pPr>
        <w:pStyle w:val="SingleTxtG"/>
        <w:spacing w:after="100"/>
        <w:rPr>
          <w:i/>
          <w:lang w:val="fr-FR"/>
        </w:rPr>
      </w:pPr>
      <w:r w:rsidRPr="00556858">
        <w:rPr>
          <w:lang w:val="fr-FR"/>
        </w:rPr>
        <w:t>(</w:t>
      </w:r>
      <w:r w:rsidRPr="005F6314">
        <w:rPr>
          <w:i/>
          <w:lang w:val="fr-FR"/>
        </w:rPr>
        <w:t>Document de référence</w:t>
      </w:r>
      <w:r>
        <w:rPr>
          <w:i/>
          <w:lang w:val="fr-FR"/>
        </w:rPr>
        <w:t> </w:t>
      </w:r>
      <w:r w:rsidRPr="005F6314">
        <w:rPr>
          <w:i/>
          <w:lang w:val="fr-FR"/>
        </w:rPr>
        <w:t>: ECE/TRANS/WP.15/AC.2/2018/44</w:t>
      </w:r>
      <w:r w:rsidRPr="00556858">
        <w:rPr>
          <w:lang w:val="fr-FR"/>
        </w:rPr>
        <w:t>)</w:t>
      </w:r>
    </w:p>
    <w:p w:rsidR="005B4102" w:rsidRPr="005F6314" w:rsidRDefault="005B4102" w:rsidP="005502A7">
      <w:pPr>
        <w:pStyle w:val="SingleTxtG"/>
        <w:spacing w:after="100"/>
        <w:rPr>
          <w:lang w:val="fr-FR"/>
        </w:rPr>
      </w:pPr>
      <w:r w:rsidRPr="005F6314">
        <w:rPr>
          <w:lang w:val="fr-FR"/>
        </w:rPr>
        <w:t xml:space="preserve">Pour le </w:t>
      </w:r>
      <w:r w:rsidR="00026434" w:rsidRPr="005F6314">
        <w:rPr>
          <w:lang w:val="fr-FR"/>
        </w:rPr>
        <w:t>No</w:t>
      </w:r>
      <w:r w:rsidR="00026434">
        <w:rPr>
          <w:lang w:val="fr-FR"/>
        </w:rPr>
        <w:t> </w:t>
      </w:r>
      <w:r w:rsidR="00026434" w:rsidRPr="005F6314">
        <w:rPr>
          <w:lang w:val="fr-FR"/>
        </w:rPr>
        <w:t>ONU</w:t>
      </w:r>
      <w:r w:rsidR="00026434">
        <w:rPr>
          <w:lang w:val="fr-FR"/>
        </w:rPr>
        <w:t> </w:t>
      </w:r>
      <w:r w:rsidRPr="005F6314">
        <w:rPr>
          <w:lang w:val="fr-FR"/>
        </w:rPr>
        <w:t>1274 (toutes les rubriques), modifier la colonne (2) pour lire comme suit</w:t>
      </w:r>
      <w:r>
        <w:rPr>
          <w:lang w:val="fr-FR"/>
        </w:rPr>
        <w:t> </w:t>
      </w:r>
      <w:r w:rsidRPr="005F6314">
        <w:rPr>
          <w:lang w:val="fr-FR"/>
        </w:rPr>
        <w:t xml:space="preserve">: </w:t>
      </w:r>
      <w:r w:rsidR="00297EDB">
        <w:rPr>
          <w:lang w:val="fr-FR"/>
        </w:rPr>
        <w:t>« </w:t>
      </w:r>
      <w:r w:rsidRPr="005F6314">
        <w:rPr>
          <w:color w:val="000000"/>
          <w:lang w:val="fr-FR" w:bidi="th-TH"/>
        </w:rPr>
        <w:t>n-PROPANOL (alcool propylique normal)</w:t>
      </w:r>
      <w:r w:rsidR="00297EDB">
        <w:rPr>
          <w:lang w:val="fr-FR"/>
        </w:rPr>
        <w:t> »</w:t>
      </w:r>
      <w:r w:rsidRPr="005F6314">
        <w:rPr>
          <w:lang w:val="fr-FR"/>
        </w:rPr>
        <w:t>.</w:t>
      </w:r>
    </w:p>
    <w:p w:rsidR="005B4102" w:rsidRPr="005F6314" w:rsidRDefault="005B4102" w:rsidP="005502A7">
      <w:pPr>
        <w:pStyle w:val="SingleTxtG"/>
        <w:spacing w:after="100"/>
        <w:rPr>
          <w:i/>
          <w:iCs/>
          <w:lang w:val="fr-FR"/>
        </w:rPr>
      </w:pPr>
      <w:r w:rsidRPr="00297EDB">
        <w:rPr>
          <w:iCs/>
          <w:lang w:val="fr-FR"/>
        </w:rPr>
        <w:t>(</w:t>
      </w:r>
      <w:r w:rsidRPr="005F6314">
        <w:rPr>
          <w:i/>
          <w:iCs/>
          <w:lang w:val="fr-FR"/>
        </w:rPr>
        <w:t>Document de référence</w:t>
      </w:r>
      <w:r>
        <w:rPr>
          <w:i/>
          <w:iCs/>
          <w:lang w:val="fr-FR"/>
        </w:rPr>
        <w:t> </w:t>
      </w:r>
      <w:r w:rsidRPr="005F6314">
        <w:rPr>
          <w:i/>
          <w:iCs/>
          <w:lang w:val="fr-FR"/>
        </w:rPr>
        <w:t>: ECE/TRANS/WP.15/AC.2/2018/44</w:t>
      </w:r>
      <w:r w:rsidRPr="00297EDB">
        <w:rPr>
          <w:iCs/>
          <w:lang w:val="fr-FR"/>
        </w:rPr>
        <w:t>)</w:t>
      </w:r>
    </w:p>
    <w:p w:rsidR="005B4102" w:rsidRPr="005F6314" w:rsidRDefault="005B4102" w:rsidP="005502A7">
      <w:pPr>
        <w:pStyle w:val="SingleTxtG"/>
        <w:spacing w:after="100"/>
        <w:rPr>
          <w:lang w:val="fr-FR"/>
        </w:rPr>
      </w:pPr>
      <w:r w:rsidRPr="005F6314">
        <w:rPr>
          <w:lang w:val="fr-FR"/>
        </w:rPr>
        <w:t xml:space="preserve">Pour le </w:t>
      </w:r>
      <w:r w:rsidR="00026434" w:rsidRPr="005F6314">
        <w:rPr>
          <w:lang w:val="fr-FR"/>
        </w:rPr>
        <w:t>No</w:t>
      </w:r>
      <w:r w:rsidR="00026434">
        <w:rPr>
          <w:lang w:val="fr-FR"/>
        </w:rPr>
        <w:t> </w:t>
      </w:r>
      <w:r w:rsidR="00026434" w:rsidRPr="005F6314">
        <w:rPr>
          <w:lang w:val="fr-FR"/>
        </w:rPr>
        <w:t>ONU</w:t>
      </w:r>
      <w:r w:rsidR="00026434">
        <w:rPr>
          <w:lang w:val="fr-FR"/>
        </w:rPr>
        <w:t> </w:t>
      </w:r>
      <w:r w:rsidRPr="005F6314">
        <w:rPr>
          <w:lang w:val="fr-FR"/>
        </w:rPr>
        <w:t>1823, HYDROXYDE DE SODIUM</w:t>
      </w:r>
      <w:r w:rsidR="001A2BE8">
        <w:rPr>
          <w:lang w:val="fr-FR"/>
        </w:rPr>
        <w:t>,</w:t>
      </w:r>
      <w:r w:rsidRPr="005F6314">
        <w:rPr>
          <w:lang w:val="fr-FR"/>
        </w:rPr>
        <w:t xml:space="preserve"> modifier la colonne (2) pour lire comme suit</w:t>
      </w:r>
      <w:r>
        <w:rPr>
          <w:lang w:val="fr-FR"/>
        </w:rPr>
        <w:t> </w:t>
      </w:r>
      <w:r w:rsidRPr="005F6314">
        <w:rPr>
          <w:lang w:val="fr-FR"/>
        </w:rPr>
        <w:t xml:space="preserve">: </w:t>
      </w:r>
      <w:r w:rsidR="00297EDB">
        <w:rPr>
          <w:lang w:val="fr-FR"/>
        </w:rPr>
        <w:t>« </w:t>
      </w:r>
      <w:r w:rsidRPr="005F6314">
        <w:rPr>
          <w:lang w:val="fr-FR"/>
        </w:rPr>
        <w:t xml:space="preserve">HYDROXYDE DE SODIUM, </w:t>
      </w:r>
      <w:r>
        <w:rPr>
          <w:lang w:val="fr-FR"/>
        </w:rPr>
        <w:t>SOLIDE </w:t>
      </w:r>
      <w:r w:rsidRPr="005F6314">
        <w:rPr>
          <w:lang w:val="fr-FR"/>
        </w:rPr>
        <w:t>».</w:t>
      </w:r>
    </w:p>
    <w:p w:rsidR="005B4102" w:rsidRPr="005F6314" w:rsidRDefault="005B4102" w:rsidP="005502A7">
      <w:pPr>
        <w:pStyle w:val="SingleTxtG"/>
        <w:spacing w:after="100"/>
        <w:rPr>
          <w:rFonts w:ascii="inherit" w:hAnsi="inherit" w:cs="Courier New"/>
          <w:color w:val="212121"/>
          <w:lang w:val="fr-FR"/>
        </w:rPr>
      </w:pPr>
      <w:r w:rsidRPr="00297EDB">
        <w:rPr>
          <w:iCs/>
          <w:lang w:val="fr-FR"/>
        </w:rPr>
        <w:t>(</w:t>
      </w:r>
      <w:r w:rsidRPr="005F6314">
        <w:rPr>
          <w:i/>
          <w:iCs/>
          <w:lang w:val="fr-FR"/>
        </w:rPr>
        <w:t>Document de référence</w:t>
      </w:r>
      <w:r>
        <w:rPr>
          <w:i/>
          <w:iCs/>
          <w:lang w:val="fr-FR"/>
        </w:rPr>
        <w:t> </w:t>
      </w:r>
      <w:r w:rsidRPr="005F6314">
        <w:rPr>
          <w:i/>
          <w:iCs/>
          <w:lang w:val="fr-FR"/>
        </w:rPr>
        <w:t>: ECE/TRANS/WP.15/AC.2/2018/44</w:t>
      </w:r>
      <w:r w:rsidRPr="00297EDB">
        <w:rPr>
          <w:iCs/>
          <w:lang w:val="fr-FR"/>
        </w:rPr>
        <w:t>)</w:t>
      </w:r>
    </w:p>
    <w:p w:rsidR="005B4102" w:rsidRPr="005F6314" w:rsidRDefault="005B4102" w:rsidP="005502A7">
      <w:pPr>
        <w:pStyle w:val="SingleTxtG"/>
        <w:spacing w:after="100"/>
        <w:rPr>
          <w:i/>
          <w:lang w:val="fr-FR"/>
        </w:rPr>
      </w:pPr>
      <w:r w:rsidRPr="005F6314">
        <w:rPr>
          <w:rFonts w:ascii="inherit" w:hAnsi="inherit" w:cs="Courier New"/>
          <w:color w:val="212121"/>
          <w:lang w:val="fr-FR"/>
        </w:rPr>
        <w:t xml:space="preserve">Pour les </w:t>
      </w:r>
      <w:r w:rsidR="00026434" w:rsidRPr="005F6314">
        <w:rPr>
          <w:lang w:val="fr-FR"/>
        </w:rPr>
        <w:t>No</w:t>
      </w:r>
      <w:r w:rsidR="00026434">
        <w:rPr>
          <w:lang w:val="fr-FR"/>
        </w:rPr>
        <w:t> </w:t>
      </w:r>
      <w:r w:rsidR="00026434" w:rsidRPr="005F6314">
        <w:rPr>
          <w:lang w:val="fr-FR"/>
        </w:rPr>
        <w:t>ONU</w:t>
      </w:r>
      <w:r w:rsidR="00026434">
        <w:rPr>
          <w:lang w:val="fr-FR"/>
        </w:rPr>
        <w:t> </w:t>
      </w:r>
      <w:r w:rsidRPr="005F6314">
        <w:rPr>
          <w:rFonts w:ascii="inherit" w:hAnsi="inherit" w:cs="Courier New"/>
          <w:color w:val="212121"/>
          <w:lang w:val="fr-FR"/>
        </w:rPr>
        <w:t>1993 (</w:t>
      </w:r>
      <w:r w:rsidR="00297EDB">
        <w:rPr>
          <w:rFonts w:ascii="inherit" w:hAnsi="inherit" w:cs="Courier New"/>
          <w:color w:val="212121"/>
          <w:lang w:val="fr-FR"/>
        </w:rPr>
        <w:t>six</w:t>
      </w:r>
      <w:r w:rsidRPr="005F6314">
        <w:rPr>
          <w:rFonts w:ascii="inherit" w:hAnsi="inherit" w:cs="Courier New"/>
          <w:color w:val="212121"/>
          <w:lang w:val="fr-FR"/>
        </w:rPr>
        <w:t xml:space="preserve"> premières rubriques), 3145 (toutes les rubriques), 3295 (</w:t>
      </w:r>
      <w:r w:rsidR="00297EDB">
        <w:rPr>
          <w:rFonts w:ascii="inherit" w:hAnsi="inherit" w:cs="Courier New"/>
          <w:color w:val="212121"/>
          <w:lang w:val="fr-FR"/>
        </w:rPr>
        <w:t>six</w:t>
      </w:r>
      <w:r w:rsidR="001A2BE8">
        <w:rPr>
          <w:rFonts w:ascii="inherit" w:hAnsi="inherit" w:cs="Courier New" w:hint="eastAsia"/>
          <w:color w:val="212121"/>
          <w:lang w:val="fr-FR"/>
        </w:rPr>
        <w:t> </w:t>
      </w:r>
      <w:r w:rsidRPr="005F6314">
        <w:rPr>
          <w:rFonts w:ascii="inherit" w:hAnsi="inherit" w:cs="Courier New"/>
          <w:color w:val="212121"/>
          <w:lang w:val="fr-FR"/>
        </w:rPr>
        <w:t xml:space="preserve">premières rubriques), 9002 (toutes les rubriques), 9005 et 9006, dans la colonne (20), ajouter </w:t>
      </w:r>
      <w:r w:rsidRPr="005F6314">
        <w:rPr>
          <w:lang w:val="fr-FR"/>
        </w:rPr>
        <w:t>«</w:t>
      </w:r>
      <w:r>
        <w:rPr>
          <w:lang w:val="fr-FR"/>
        </w:rPr>
        <w:t> </w:t>
      </w:r>
      <w:r w:rsidRPr="005F6314">
        <w:rPr>
          <w:rFonts w:ascii="inherit" w:hAnsi="inherit" w:cs="Courier New"/>
          <w:color w:val="212121"/>
          <w:lang w:val="fr-FR"/>
        </w:rPr>
        <w:t>27</w:t>
      </w:r>
      <w:r w:rsidR="00297EDB">
        <w:rPr>
          <w:lang w:val="fr-FR"/>
        </w:rPr>
        <w:t> »</w:t>
      </w:r>
      <w:r w:rsidRPr="005F6314">
        <w:rPr>
          <w:lang w:val="fr-FR"/>
        </w:rPr>
        <w:t>.</w:t>
      </w:r>
    </w:p>
    <w:p w:rsidR="005B4102" w:rsidRPr="005F6314" w:rsidRDefault="005B4102" w:rsidP="005502A7">
      <w:pPr>
        <w:pStyle w:val="SingleTxtG"/>
        <w:spacing w:after="100"/>
        <w:rPr>
          <w:i/>
          <w:lang w:val="fr-FR"/>
        </w:rPr>
      </w:pPr>
      <w:r w:rsidRPr="00297EDB">
        <w:rPr>
          <w:lang w:val="fr-FR"/>
        </w:rPr>
        <w:t>(</w:t>
      </w:r>
      <w:r w:rsidRPr="005F6314">
        <w:rPr>
          <w:i/>
          <w:lang w:val="fr-FR"/>
        </w:rPr>
        <w:t>Document de référence</w:t>
      </w:r>
      <w:r>
        <w:rPr>
          <w:i/>
          <w:lang w:val="fr-FR"/>
        </w:rPr>
        <w:t> </w:t>
      </w:r>
      <w:r w:rsidRPr="005F6314">
        <w:rPr>
          <w:i/>
          <w:lang w:val="fr-FR"/>
        </w:rPr>
        <w:t>: ECE/TRANS/WP.15/AC.2/2018/44</w:t>
      </w:r>
      <w:r w:rsidRPr="00297EDB">
        <w:rPr>
          <w:lang w:val="fr-FR"/>
        </w:rPr>
        <w:t>)</w:t>
      </w:r>
    </w:p>
    <w:p w:rsidR="005B4102" w:rsidRPr="005F6314" w:rsidRDefault="005B4102" w:rsidP="005502A7">
      <w:pPr>
        <w:pStyle w:val="SingleTxtG"/>
        <w:spacing w:after="100"/>
        <w:rPr>
          <w:lang w:val="fr-FR"/>
        </w:rPr>
      </w:pPr>
      <w:r w:rsidRPr="005F6314">
        <w:rPr>
          <w:lang w:val="fr-FR"/>
        </w:rPr>
        <w:t xml:space="preserve">Pour le </w:t>
      </w:r>
      <w:r w:rsidR="00026434" w:rsidRPr="005F6314">
        <w:rPr>
          <w:lang w:val="fr-FR"/>
        </w:rPr>
        <w:t>No</w:t>
      </w:r>
      <w:r w:rsidR="00026434">
        <w:rPr>
          <w:lang w:val="fr-FR"/>
        </w:rPr>
        <w:t> </w:t>
      </w:r>
      <w:r w:rsidR="00026434" w:rsidRPr="005F6314">
        <w:rPr>
          <w:lang w:val="fr-FR"/>
        </w:rPr>
        <w:t>ONU</w:t>
      </w:r>
      <w:r w:rsidR="00026434">
        <w:rPr>
          <w:lang w:val="fr-FR"/>
        </w:rPr>
        <w:t> </w:t>
      </w:r>
      <w:r w:rsidRPr="005F6314">
        <w:rPr>
          <w:lang w:val="fr-FR"/>
        </w:rPr>
        <w:t xml:space="preserve">3256, </w:t>
      </w:r>
      <w:r w:rsidR="00297EDB">
        <w:rPr>
          <w:lang w:val="fr-FR"/>
        </w:rPr>
        <w:t>« </w:t>
      </w:r>
      <w:r w:rsidRPr="005F6314">
        <w:rPr>
          <w:color w:val="000000"/>
          <w:lang w:val="fr-FR" w:bidi="th-TH"/>
        </w:rPr>
        <w:t>LIQUIDE TRANSPORTÉ À CHAUD, INFLAMMABLE, N.S.A., ayant un point d</w:t>
      </w:r>
      <w:r>
        <w:rPr>
          <w:color w:val="000000"/>
          <w:lang w:val="fr-FR" w:bidi="th-TH"/>
        </w:rPr>
        <w:t>’</w:t>
      </w:r>
      <w:r w:rsidRPr="005F6314">
        <w:rPr>
          <w:color w:val="000000"/>
          <w:lang w:val="fr-FR" w:bidi="th-TH"/>
        </w:rPr>
        <w:t>éclair supérieur à 60 °C, à une température égale ou supérieure à son point d</w:t>
      </w:r>
      <w:r>
        <w:rPr>
          <w:color w:val="000000"/>
          <w:lang w:val="fr-FR" w:bidi="th-TH"/>
        </w:rPr>
        <w:t>’</w:t>
      </w:r>
      <w:r w:rsidRPr="005F6314">
        <w:rPr>
          <w:color w:val="000000"/>
          <w:lang w:val="fr-FR" w:bidi="th-TH"/>
        </w:rPr>
        <w:t>éclair (Low QI Pitch</w:t>
      </w:r>
      <w:r w:rsidR="00297EDB">
        <w:rPr>
          <w:color w:val="000000"/>
          <w:lang w:val="fr-FR" w:bidi="th-TH"/>
        </w:rPr>
        <w:t> »</w:t>
      </w:r>
      <w:r w:rsidRPr="005F6314">
        <w:rPr>
          <w:lang w:val="fr-FR"/>
        </w:rPr>
        <w:t>, modifier la colonne (16) pour lire</w:t>
      </w:r>
      <w:r>
        <w:rPr>
          <w:lang w:val="fr-FR"/>
        </w:rPr>
        <w:t xml:space="preserve"> « </w:t>
      </w:r>
      <w:r w:rsidRPr="005F6314">
        <w:rPr>
          <w:lang w:val="fr-FR"/>
        </w:rPr>
        <w:t>II B (II B2)</w:t>
      </w:r>
      <w:r w:rsidR="00297EDB">
        <w:rPr>
          <w:lang w:val="fr-FR"/>
        </w:rPr>
        <w:t> </w:t>
      </w:r>
      <w:r w:rsidRPr="005F6314">
        <w:rPr>
          <w:lang w:val="fr-FR"/>
        </w:rPr>
        <w:t>».</w:t>
      </w:r>
    </w:p>
    <w:p w:rsidR="005B4102" w:rsidRPr="005F6314" w:rsidRDefault="005B4102" w:rsidP="005502A7">
      <w:pPr>
        <w:pStyle w:val="SingleTxtG"/>
        <w:spacing w:after="100"/>
        <w:rPr>
          <w:i/>
          <w:lang w:val="fr-FR"/>
        </w:rPr>
      </w:pPr>
      <w:r w:rsidRPr="00297EDB">
        <w:rPr>
          <w:lang w:val="fr-FR"/>
        </w:rPr>
        <w:t>(</w:t>
      </w:r>
      <w:r>
        <w:rPr>
          <w:i/>
          <w:lang w:val="fr-FR"/>
        </w:rPr>
        <w:t>Document</w:t>
      </w:r>
      <w:r w:rsidRPr="005F6314">
        <w:rPr>
          <w:i/>
          <w:lang w:val="fr-FR"/>
        </w:rPr>
        <w:t xml:space="preserve"> de référence</w:t>
      </w:r>
      <w:r>
        <w:rPr>
          <w:i/>
          <w:lang w:val="fr-FR"/>
        </w:rPr>
        <w:t> </w:t>
      </w:r>
      <w:r w:rsidRPr="005F6314">
        <w:rPr>
          <w:i/>
          <w:lang w:val="fr-FR"/>
        </w:rPr>
        <w:t>: ECE/TRANS/WP.15/AC.2/2018/50</w:t>
      </w:r>
      <w:r>
        <w:rPr>
          <w:i/>
          <w:lang w:val="fr-FR"/>
        </w:rPr>
        <w:t>,</w:t>
      </w:r>
      <w:r w:rsidRPr="005F6314">
        <w:rPr>
          <w:i/>
          <w:lang w:val="fr-FR"/>
        </w:rPr>
        <w:t xml:space="preserve"> tel que modifié par le document informel INF.23</w:t>
      </w:r>
      <w:r w:rsidRPr="00297EDB">
        <w:rPr>
          <w:lang w:val="fr-FR"/>
        </w:rPr>
        <w:t>)</w:t>
      </w:r>
    </w:p>
    <w:p w:rsidR="005B4102" w:rsidRPr="005F6314" w:rsidRDefault="005B4102" w:rsidP="005502A7">
      <w:pPr>
        <w:pStyle w:val="SingleTxtG"/>
        <w:spacing w:after="100"/>
        <w:rPr>
          <w:rFonts w:ascii="inherit" w:hAnsi="inherit"/>
          <w:color w:val="212121"/>
          <w:lang w:val="fr-FR"/>
        </w:rPr>
      </w:pPr>
      <w:r w:rsidRPr="005F6314">
        <w:rPr>
          <w:rFonts w:ascii="inherit" w:hAnsi="inherit"/>
          <w:color w:val="212121"/>
          <w:lang w:val="fr-FR"/>
        </w:rPr>
        <w:t xml:space="preserve">Pour le </w:t>
      </w:r>
      <w:r w:rsidR="00026434" w:rsidRPr="005F6314">
        <w:rPr>
          <w:lang w:val="fr-FR"/>
        </w:rPr>
        <w:t>No</w:t>
      </w:r>
      <w:r w:rsidR="00026434">
        <w:rPr>
          <w:lang w:val="fr-FR"/>
        </w:rPr>
        <w:t> </w:t>
      </w:r>
      <w:r w:rsidR="00026434" w:rsidRPr="005F6314">
        <w:rPr>
          <w:lang w:val="fr-FR"/>
        </w:rPr>
        <w:t>ONU</w:t>
      </w:r>
      <w:r w:rsidR="00026434">
        <w:rPr>
          <w:lang w:val="fr-FR"/>
        </w:rPr>
        <w:t> </w:t>
      </w:r>
      <w:r w:rsidRPr="005F6314">
        <w:rPr>
          <w:lang w:val="fr-FR"/>
        </w:rPr>
        <w:t>3295 HYDROCARBURES LIQUIDES, N.S.A. CONTENANT DE L</w:t>
      </w:r>
      <w:r>
        <w:rPr>
          <w:lang w:val="fr-FR"/>
        </w:rPr>
        <w:t>’</w:t>
      </w:r>
      <w:r w:rsidRPr="005F6314">
        <w:rPr>
          <w:lang w:val="fr-FR"/>
        </w:rPr>
        <w:t>ISOPRÈNE ET DU PENTADIÈNE, STABILISÉ</w:t>
      </w:r>
      <w:r w:rsidRPr="005F6314">
        <w:rPr>
          <w:rFonts w:ascii="inherit" w:hAnsi="inherit"/>
          <w:color w:val="212121"/>
          <w:lang w:val="fr-FR"/>
        </w:rPr>
        <w:t xml:space="preserve"> (toutes les rubriques), dans la colonne (20), supprimer </w:t>
      </w:r>
      <w:r w:rsidRPr="005F6314">
        <w:rPr>
          <w:lang w:val="fr-FR"/>
        </w:rPr>
        <w:t>«</w:t>
      </w:r>
      <w:r>
        <w:rPr>
          <w:lang w:val="fr-FR"/>
        </w:rPr>
        <w:t> </w:t>
      </w:r>
      <w:r w:rsidRPr="005F6314">
        <w:rPr>
          <w:rFonts w:ascii="inherit" w:hAnsi="inherit" w:cs="Courier New"/>
          <w:color w:val="212121"/>
          <w:lang w:val="fr-FR"/>
        </w:rPr>
        <w:t>27</w:t>
      </w:r>
      <w:r w:rsidR="006D6C9E">
        <w:rPr>
          <w:lang w:val="fr-FR"/>
        </w:rPr>
        <w:t> </w:t>
      </w:r>
      <w:r w:rsidRPr="005F6314">
        <w:rPr>
          <w:lang w:val="fr-FR"/>
        </w:rPr>
        <w:t>».</w:t>
      </w:r>
    </w:p>
    <w:p w:rsidR="005B4102" w:rsidRPr="00297EDB" w:rsidRDefault="005B4102" w:rsidP="005502A7">
      <w:pPr>
        <w:pStyle w:val="SingleTxtG"/>
        <w:spacing w:after="100"/>
        <w:rPr>
          <w:lang w:val="fr-FR"/>
        </w:rPr>
      </w:pPr>
      <w:r w:rsidRPr="00297EDB">
        <w:rPr>
          <w:lang w:val="fr-FR"/>
        </w:rPr>
        <w:t>(</w:t>
      </w:r>
      <w:r w:rsidRPr="005F6314">
        <w:rPr>
          <w:i/>
          <w:lang w:val="fr-FR"/>
        </w:rPr>
        <w:t>Document de référence</w:t>
      </w:r>
      <w:r>
        <w:rPr>
          <w:i/>
          <w:lang w:val="fr-FR"/>
        </w:rPr>
        <w:t> </w:t>
      </w:r>
      <w:r w:rsidRPr="005F6314">
        <w:rPr>
          <w:i/>
          <w:lang w:val="fr-FR"/>
        </w:rPr>
        <w:t>: ECE/TRANS/WP.15/AC.2/2018/44</w:t>
      </w:r>
      <w:r w:rsidRPr="00297EDB">
        <w:rPr>
          <w:lang w:val="fr-FR"/>
        </w:rPr>
        <w:t>)</w:t>
      </w:r>
    </w:p>
    <w:p w:rsidR="005B4102" w:rsidRPr="005F6314" w:rsidRDefault="005B4102" w:rsidP="005502A7">
      <w:pPr>
        <w:pStyle w:val="SingleTxtG"/>
        <w:spacing w:after="100"/>
        <w:rPr>
          <w:rFonts w:ascii="inherit" w:hAnsi="inherit"/>
          <w:color w:val="212121"/>
          <w:lang w:val="fr-FR"/>
        </w:rPr>
      </w:pPr>
      <w:r w:rsidRPr="005F6314">
        <w:rPr>
          <w:rFonts w:ascii="inherit" w:hAnsi="inherit"/>
          <w:color w:val="212121"/>
          <w:lang w:val="fr-FR"/>
        </w:rPr>
        <w:t xml:space="preserve">Pour le </w:t>
      </w:r>
      <w:r w:rsidR="00026434" w:rsidRPr="005F6314">
        <w:rPr>
          <w:lang w:val="fr-FR"/>
        </w:rPr>
        <w:t>No</w:t>
      </w:r>
      <w:r w:rsidR="00026434">
        <w:rPr>
          <w:lang w:val="fr-FR"/>
        </w:rPr>
        <w:t> </w:t>
      </w:r>
      <w:r w:rsidR="00026434" w:rsidRPr="005F6314">
        <w:rPr>
          <w:lang w:val="fr-FR"/>
        </w:rPr>
        <w:t>ONU</w:t>
      </w:r>
      <w:r w:rsidR="00026434">
        <w:rPr>
          <w:lang w:val="fr-FR"/>
        </w:rPr>
        <w:t> </w:t>
      </w:r>
      <w:r w:rsidRPr="005F6314">
        <w:rPr>
          <w:lang w:val="fr-FR"/>
        </w:rPr>
        <w:t>3494</w:t>
      </w:r>
      <w:r w:rsidRPr="005F6314">
        <w:rPr>
          <w:rFonts w:ascii="inherit" w:hAnsi="inherit"/>
          <w:color w:val="212121"/>
          <w:lang w:val="fr-FR"/>
        </w:rPr>
        <w:t xml:space="preserve"> (toutes les rubriques), dans la colonne (20), supprimer </w:t>
      </w:r>
      <w:r w:rsidRPr="005F6314">
        <w:rPr>
          <w:lang w:val="fr-FR"/>
        </w:rPr>
        <w:t>«</w:t>
      </w:r>
      <w:r>
        <w:rPr>
          <w:lang w:val="fr-FR"/>
        </w:rPr>
        <w:t> </w:t>
      </w:r>
      <w:r w:rsidRPr="005F6314">
        <w:rPr>
          <w:rFonts w:ascii="inherit" w:hAnsi="inherit" w:cs="Courier New"/>
          <w:color w:val="212121"/>
          <w:lang w:val="fr-FR"/>
        </w:rPr>
        <w:t>27</w:t>
      </w:r>
      <w:r w:rsidR="006D6C9E">
        <w:rPr>
          <w:lang w:val="fr-FR"/>
        </w:rPr>
        <w:t> </w:t>
      </w:r>
      <w:r w:rsidRPr="005F6314">
        <w:rPr>
          <w:lang w:val="fr-FR"/>
        </w:rPr>
        <w:t>».</w:t>
      </w:r>
    </w:p>
    <w:p w:rsidR="005B4102" w:rsidRPr="005F6314" w:rsidRDefault="005B4102" w:rsidP="005502A7">
      <w:pPr>
        <w:pStyle w:val="SingleTxtG"/>
        <w:spacing w:after="100"/>
        <w:rPr>
          <w:i/>
          <w:lang w:val="fr-FR"/>
        </w:rPr>
      </w:pPr>
      <w:r w:rsidRPr="006D6C9E">
        <w:rPr>
          <w:lang w:val="fr-FR"/>
        </w:rPr>
        <w:t>(</w:t>
      </w:r>
      <w:r w:rsidRPr="005F6314">
        <w:rPr>
          <w:i/>
          <w:lang w:val="fr-FR"/>
        </w:rPr>
        <w:t>Document de référence</w:t>
      </w:r>
      <w:r>
        <w:rPr>
          <w:i/>
          <w:lang w:val="fr-FR"/>
        </w:rPr>
        <w:t> </w:t>
      </w:r>
      <w:r w:rsidRPr="005F6314">
        <w:rPr>
          <w:i/>
          <w:lang w:val="fr-FR"/>
        </w:rPr>
        <w:t>: ECE/TRANS/WP.15/AC.2/2018/44</w:t>
      </w:r>
      <w:r w:rsidRPr="006D6C9E">
        <w:rPr>
          <w:lang w:val="fr-FR"/>
        </w:rPr>
        <w:t>)</w:t>
      </w:r>
    </w:p>
    <w:p w:rsidR="005B4102" w:rsidRPr="005F6314" w:rsidRDefault="005B4102" w:rsidP="005502A7">
      <w:pPr>
        <w:pStyle w:val="SingleTxtG"/>
        <w:spacing w:after="100"/>
        <w:rPr>
          <w:rFonts w:ascii="inherit" w:hAnsi="inherit"/>
          <w:color w:val="212121"/>
          <w:lang w:val="fr-FR"/>
        </w:rPr>
      </w:pPr>
      <w:r w:rsidRPr="005F6314">
        <w:rPr>
          <w:rFonts w:ascii="inherit" w:hAnsi="inherit"/>
          <w:color w:val="212121"/>
          <w:lang w:val="fr-FR"/>
        </w:rPr>
        <w:t xml:space="preserve">Pour le </w:t>
      </w:r>
      <w:r w:rsidRPr="005F6314">
        <w:rPr>
          <w:lang w:val="fr-FR"/>
        </w:rPr>
        <w:t>numéro d</w:t>
      </w:r>
      <w:r>
        <w:rPr>
          <w:lang w:val="fr-FR"/>
        </w:rPr>
        <w:t>’</w:t>
      </w:r>
      <w:r w:rsidRPr="005F6314">
        <w:rPr>
          <w:lang w:val="fr-FR"/>
        </w:rPr>
        <w:t>identification de la matière 9000</w:t>
      </w:r>
      <w:r w:rsidRPr="005F6314">
        <w:rPr>
          <w:rFonts w:ascii="inherit" w:hAnsi="inherit"/>
          <w:color w:val="212121"/>
          <w:lang w:val="fr-FR"/>
        </w:rPr>
        <w:t xml:space="preserve">, dans la colonne (2), supprimer </w:t>
      </w:r>
      <w:r>
        <w:rPr>
          <w:lang w:val="fr-FR"/>
        </w:rPr>
        <w:t>« </w:t>
      </w:r>
      <w:r w:rsidRPr="005F6314">
        <w:rPr>
          <w:lang w:val="fr-FR"/>
        </w:rPr>
        <w:t>ANHYDRE</w:t>
      </w:r>
      <w:r w:rsidR="006D6C9E">
        <w:rPr>
          <w:lang w:val="fr-FR"/>
        </w:rPr>
        <w:t> </w:t>
      </w:r>
      <w:r w:rsidRPr="005F6314">
        <w:rPr>
          <w:lang w:val="fr-FR"/>
        </w:rPr>
        <w:t>».</w:t>
      </w:r>
    </w:p>
    <w:p w:rsidR="005B4102" w:rsidRPr="005F6314" w:rsidRDefault="005B4102" w:rsidP="005502A7">
      <w:pPr>
        <w:pStyle w:val="SingleTxtG"/>
        <w:spacing w:after="100"/>
        <w:rPr>
          <w:i/>
          <w:lang w:val="fr-FR"/>
        </w:rPr>
      </w:pPr>
      <w:r w:rsidRPr="006D6C9E">
        <w:rPr>
          <w:lang w:val="fr-FR"/>
        </w:rPr>
        <w:t>(</w:t>
      </w:r>
      <w:r w:rsidRPr="005F6314">
        <w:rPr>
          <w:i/>
          <w:lang w:val="fr-FR"/>
        </w:rPr>
        <w:t>Document de référence</w:t>
      </w:r>
      <w:r>
        <w:rPr>
          <w:i/>
          <w:lang w:val="fr-FR"/>
        </w:rPr>
        <w:t> </w:t>
      </w:r>
      <w:r w:rsidRPr="005F6314">
        <w:rPr>
          <w:i/>
          <w:lang w:val="fr-FR"/>
        </w:rPr>
        <w:t>: ECE/TRANS/WP.15/AC.2/2018/44</w:t>
      </w:r>
      <w:r w:rsidRPr="006D6C9E">
        <w:rPr>
          <w:lang w:val="fr-FR"/>
        </w:rPr>
        <w:t>)</w:t>
      </w:r>
    </w:p>
    <w:p w:rsidR="005B4102" w:rsidRPr="005F6314" w:rsidRDefault="005B4102" w:rsidP="005502A7">
      <w:pPr>
        <w:pStyle w:val="SingleTxtG"/>
        <w:spacing w:after="100"/>
        <w:rPr>
          <w:rFonts w:ascii="inherit" w:hAnsi="inherit"/>
          <w:color w:val="212121"/>
          <w:lang w:val="fr-FR"/>
        </w:rPr>
      </w:pPr>
      <w:r w:rsidRPr="005F6314">
        <w:rPr>
          <w:rFonts w:ascii="inherit" w:hAnsi="inherit"/>
          <w:color w:val="212121"/>
          <w:lang w:val="fr-FR"/>
        </w:rPr>
        <w:t xml:space="preserve">Pour le </w:t>
      </w:r>
      <w:r w:rsidRPr="005F6314">
        <w:rPr>
          <w:lang w:val="fr-FR"/>
        </w:rPr>
        <w:t>numéro d</w:t>
      </w:r>
      <w:r>
        <w:rPr>
          <w:lang w:val="fr-FR"/>
        </w:rPr>
        <w:t>’</w:t>
      </w:r>
      <w:r w:rsidRPr="005F6314">
        <w:rPr>
          <w:lang w:val="fr-FR"/>
        </w:rPr>
        <w:t>identification de la matière 9003 (toutes les rubriques)</w:t>
      </w:r>
      <w:r w:rsidRPr="005F6314">
        <w:rPr>
          <w:rFonts w:ascii="inherit" w:hAnsi="inherit"/>
          <w:color w:val="212121"/>
          <w:lang w:val="fr-FR"/>
        </w:rPr>
        <w:t xml:space="preserve">, dans la colonne (2), supprimer </w:t>
      </w:r>
      <w:r w:rsidR="006D6C9E">
        <w:rPr>
          <w:lang w:val="fr-FR"/>
        </w:rPr>
        <w:t>« </w:t>
      </w:r>
      <w:r w:rsidRPr="005F6314">
        <w:rPr>
          <w:lang w:val="fr-FR"/>
        </w:rPr>
        <w:t>ou</w:t>
      </w:r>
      <w:r>
        <w:rPr>
          <w:lang w:val="fr-FR"/>
        </w:rPr>
        <w:t xml:space="preserve"> MATIÈRES DONT 60 °C &lt; </w:t>
      </w:r>
      <w:proofErr w:type="spellStart"/>
      <w:r>
        <w:rPr>
          <w:lang w:val="fr-FR"/>
        </w:rPr>
        <w:t>Pe</w:t>
      </w:r>
      <w:proofErr w:type="spellEnd"/>
      <w:r>
        <w:rPr>
          <w:lang w:val="fr-FR"/>
        </w:rPr>
        <w:t xml:space="preserve"> ≤ 100 </w:t>
      </w:r>
      <w:r w:rsidRPr="005F6314">
        <w:rPr>
          <w:lang w:val="fr-FR"/>
        </w:rPr>
        <w:t>°C</w:t>
      </w:r>
      <w:r w:rsidR="006D6C9E">
        <w:rPr>
          <w:lang w:val="fr-FR"/>
        </w:rPr>
        <w:t> </w:t>
      </w:r>
      <w:r w:rsidRPr="005F6314">
        <w:rPr>
          <w:lang w:val="fr-FR"/>
        </w:rPr>
        <w:t>».</w:t>
      </w:r>
    </w:p>
    <w:p w:rsidR="005B4102" w:rsidRPr="005F6314" w:rsidRDefault="005B4102" w:rsidP="005502A7">
      <w:pPr>
        <w:pStyle w:val="SingleTxtG"/>
        <w:spacing w:after="100"/>
        <w:rPr>
          <w:i/>
          <w:lang w:val="fr-FR"/>
        </w:rPr>
      </w:pPr>
      <w:r w:rsidRPr="006D6C9E">
        <w:rPr>
          <w:lang w:val="fr-FR"/>
        </w:rPr>
        <w:t>(</w:t>
      </w:r>
      <w:r w:rsidRPr="005F6314">
        <w:rPr>
          <w:i/>
          <w:lang w:val="fr-FR"/>
        </w:rPr>
        <w:t>Document de référence</w:t>
      </w:r>
      <w:r>
        <w:rPr>
          <w:i/>
          <w:lang w:val="fr-FR"/>
        </w:rPr>
        <w:t> </w:t>
      </w:r>
      <w:r w:rsidRPr="005F6314">
        <w:rPr>
          <w:i/>
          <w:lang w:val="fr-FR"/>
        </w:rPr>
        <w:t>: ECE/TRANS/WP.15/AC.2/2018/44</w:t>
      </w:r>
      <w:r w:rsidRPr="006D6C9E">
        <w:rPr>
          <w:lang w:val="fr-FR"/>
        </w:rPr>
        <w:t>)</w:t>
      </w:r>
    </w:p>
    <w:p w:rsidR="005B4102" w:rsidRDefault="005B4102" w:rsidP="005502A7">
      <w:pPr>
        <w:pStyle w:val="SingleTxtG"/>
        <w:keepNext/>
        <w:spacing w:after="100"/>
        <w:rPr>
          <w:lang w:val="fr-FR"/>
        </w:rPr>
      </w:pPr>
      <w:r w:rsidRPr="005F6314">
        <w:rPr>
          <w:lang w:val="fr-FR"/>
        </w:rPr>
        <w:t>Ajouter la rubrique suivante</w:t>
      </w:r>
      <w:r>
        <w:rPr>
          <w:lang w:val="fr-FR"/>
        </w:rPr>
        <w:t> </w:t>
      </w:r>
      <w:r w:rsidRPr="005F6314">
        <w:rPr>
          <w:lang w:val="fr-FR"/>
        </w:rPr>
        <w:t>:</w:t>
      </w:r>
    </w:p>
    <w:p w:rsidR="005B4102" w:rsidRPr="005F6314" w:rsidRDefault="005B4102" w:rsidP="005502A7">
      <w:pPr>
        <w:pStyle w:val="SingleTxtG"/>
        <w:spacing w:after="100"/>
        <w:rPr>
          <w:lang w:val="fr-FR"/>
        </w:rPr>
      </w:pPr>
      <w:r>
        <w:rPr>
          <w:lang w:val="fr-FR"/>
        </w:rPr>
        <w:t>« </w:t>
      </w:r>
    </w:p>
    <w:tbl>
      <w:tblPr>
        <w:tblW w:w="9640" w:type="dxa"/>
        <w:tblLayout w:type="fixed"/>
        <w:tblCellMar>
          <w:left w:w="70" w:type="dxa"/>
          <w:right w:w="70" w:type="dxa"/>
        </w:tblCellMar>
        <w:tblLook w:val="04A0" w:firstRow="1" w:lastRow="0" w:firstColumn="1" w:lastColumn="0" w:noHBand="0" w:noVBand="1"/>
      </w:tblPr>
      <w:tblGrid>
        <w:gridCol w:w="431"/>
        <w:gridCol w:w="1968"/>
        <w:gridCol w:w="363"/>
        <w:gridCol w:w="363"/>
        <w:gridCol w:w="363"/>
        <w:gridCol w:w="577"/>
        <w:gridCol w:w="348"/>
        <w:gridCol w:w="349"/>
        <w:gridCol w:w="348"/>
        <w:gridCol w:w="349"/>
        <w:gridCol w:w="348"/>
        <w:gridCol w:w="349"/>
        <w:gridCol w:w="348"/>
        <w:gridCol w:w="349"/>
        <w:gridCol w:w="348"/>
        <w:gridCol w:w="349"/>
        <w:gridCol w:w="348"/>
        <w:gridCol w:w="349"/>
        <w:gridCol w:w="523"/>
        <w:gridCol w:w="435"/>
        <w:gridCol w:w="435"/>
      </w:tblGrid>
      <w:tr w:rsidR="00A65F4C" w:rsidRPr="005B1FC0" w:rsidTr="00363085">
        <w:trPr>
          <w:trHeight w:val="255"/>
        </w:trPr>
        <w:tc>
          <w:tcPr>
            <w:tcW w:w="431" w:type="dxa"/>
            <w:tcBorders>
              <w:top w:val="single" w:sz="4" w:space="0" w:color="auto"/>
              <w:left w:val="single" w:sz="4" w:space="0" w:color="auto"/>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(1)</w:t>
            </w:r>
          </w:p>
        </w:tc>
        <w:tc>
          <w:tcPr>
            <w:tcW w:w="1968" w:type="dxa"/>
            <w:tcBorders>
              <w:top w:val="single" w:sz="4" w:space="0" w:color="auto"/>
              <w:left w:val="nil"/>
              <w:bottom w:val="single" w:sz="4" w:space="0" w:color="auto"/>
              <w:right w:val="single" w:sz="4" w:space="0" w:color="auto"/>
            </w:tcBorders>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(2)</w:t>
            </w:r>
          </w:p>
        </w:tc>
        <w:tc>
          <w:tcPr>
            <w:tcW w:w="363"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(3a)</w:t>
            </w:r>
          </w:p>
        </w:tc>
        <w:tc>
          <w:tcPr>
            <w:tcW w:w="363"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(3b)</w:t>
            </w:r>
          </w:p>
        </w:tc>
        <w:tc>
          <w:tcPr>
            <w:tcW w:w="363"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(4)</w:t>
            </w:r>
          </w:p>
        </w:tc>
        <w:tc>
          <w:tcPr>
            <w:tcW w:w="577"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r w:rsidRPr="005B1FC0">
              <w:rPr>
                <w:sz w:val="17"/>
                <w:szCs w:val="17"/>
                <w:lang w:val="fr-FR"/>
              </w:rPr>
              <w:t>(5)</w:t>
            </w:r>
          </w:p>
        </w:tc>
        <w:tc>
          <w:tcPr>
            <w:tcW w:w="348"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(6)</w:t>
            </w:r>
          </w:p>
        </w:tc>
        <w:tc>
          <w:tcPr>
            <w:tcW w:w="349"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(7)</w:t>
            </w:r>
          </w:p>
        </w:tc>
        <w:tc>
          <w:tcPr>
            <w:tcW w:w="348"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(8)</w:t>
            </w:r>
          </w:p>
        </w:tc>
        <w:tc>
          <w:tcPr>
            <w:tcW w:w="349" w:type="dxa"/>
            <w:tcBorders>
              <w:top w:val="single" w:sz="4" w:space="0" w:color="auto"/>
              <w:left w:val="nil"/>
              <w:bottom w:val="single" w:sz="4" w:space="0" w:color="auto"/>
              <w:right w:val="single" w:sz="4" w:space="0" w:color="auto"/>
            </w:tcBorders>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(9)</w:t>
            </w:r>
          </w:p>
        </w:tc>
        <w:tc>
          <w:tcPr>
            <w:tcW w:w="348" w:type="dxa"/>
            <w:tcBorders>
              <w:top w:val="single" w:sz="4" w:space="0" w:color="auto"/>
              <w:left w:val="nil"/>
              <w:bottom w:val="single" w:sz="4" w:space="0" w:color="auto"/>
              <w:right w:val="single" w:sz="4" w:space="0" w:color="auto"/>
            </w:tcBorders>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(10)</w:t>
            </w:r>
          </w:p>
        </w:tc>
        <w:tc>
          <w:tcPr>
            <w:tcW w:w="349"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(11)</w:t>
            </w:r>
          </w:p>
        </w:tc>
        <w:tc>
          <w:tcPr>
            <w:tcW w:w="348"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(12)</w:t>
            </w:r>
          </w:p>
        </w:tc>
        <w:tc>
          <w:tcPr>
            <w:tcW w:w="349"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(13)</w:t>
            </w:r>
          </w:p>
        </w:tc>
        <w:tc>
          <w:tcPr>
            <w:tcW w:w="348"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(14)</w:t>
            </w:r>
          </w:p>
        </w:tc>
        <w:tc>
          <w:tcPr>
            <w:tcW w:w="349"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(15)</w:t>
            </w:r>
          </w:p>
        </w:tc>
        <w:tc>
          <w:tcPr>
            <w:tcW w:w="348"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(16)</w:t>
            </w:r>
          </w:p>
        </w:tc>
        <w:tc>
          <w:tcPr>
            <w:tcW w:w="349"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(17)</w:t>
            </w:r>
          </w:p>
        </w:tc>
        <w:tc>
          <w:tcPr>
            <w:tcW w:w="523"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(18)</w:t>
            </w:r>
          </w:p>
        </w:tc>
        <w:tc>
          <w:tcPr>
            <w:tcW w:w="435"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(19)</w:t>
            </w:r>
          </w:p>
        </w:tc>
        <w:tc>
          <w:tcPr>
            <w:tcW w:w="435" w:type="dxa"/>
            <w:tcBorders>
              <w:top w:val="single" w:sz="4" w:space="0" w:color="auto"/>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color w:val="000000"/>
                <w:sz w:val="17"/>
                <w:szCs w:val="17"/>
                <w:lang w:val="fr-FR"/>
              </w:rPr>
            </w:pPr>
            <w:r w:rsidRPr="005B1FC0">
              <w:rPr>
                <w:color w:val="000000"/>
                <w:sz w:val="17"/>
                <w:szCs w:val="17"/>
                <w:lang w:val="fr-FR"/>
              </w:rPr>
              <w:t>(20)</w:t>
            </w:r>
          </w:p>
        </w:tc>
      </w:tr>
      <w:tr w:rsidR="00A65F4C" w:rsidRPr="005B1FC0" w:rsidTr="00363085">
        <w:trPr>
          <w:trHeight w:val="675"/>
        </w:trPr>
        <w:tc>
          <w:tcPr>
            <w:tcW w:w="431" w:type="dxa"/>
            <w:tcBorders>
              <w:top w:val="nil"/>
              <w:left w:val="single" w:sz="4" w:space="0" w:color="auto"/>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r w:rsidRPr="005B1FC0">
              <w:rPr>
                <w:sz w:val="17"/>
                <w:szCs w:val="17"/>
                <w:lang w:val="fr-FR"/>
              </w:rPr>
              <w:t>3082</w:t>
            </w:r>
          </w:p>
        </w:tc>
        <w:tc>
          <w:tcPr>
            <w:tcW w:w="1968" w:type="dxa"/>
            <w:tcBorders>
              <w:top w:val="nil"/>
              <w:left w:val="nil"/>
              <w:bottom w:val="single" w:sz="4" w:space="0" w:color="auto"/>
              <w:right w:val="single" w:sz="4" w:space="0" w:color="auto"/>
            </w:tcBorders>
            <w:tcMar>
              <w:left w:w="0" w:type="dxa"/>
              <w:right w:w="0" w:type="dxa"/>
            </w:tcMar>
            <w:hideMark/>
          </w:tcPr>
          <w:p w:rsidR="005B4102" w:rsidRPr="005B1FC0" w:rsidRDefault="005B4102" w:rsidP="00A65F4C">
            <w:pPr>
              <w:suppressAutoHyphens w:val="0"/>
              <w:spacing w:before="60" w:after="60" w:line="240" w:lineRule="auto"/>
              <w:ind w:left="28"/>
              <w:rPr>
                <w:sz w:val="17"/>
                <w:szCs w:val="17"/>
                <w:lang w:val="fr-FR"/>
              </w:rPr>
            </w:pPr>
            <w:r w:rsidRPr="005B1FC0">
              <w:rPr>
                <w:sz w:val="17"/>
                <w:szCs w:val="17"/>
                <w:lang w:val="fr-FR"/>
              </w:rPr>
              <w:t>MATIÈRE DANGEREUSE DU POINT DE VUE DE L’ENVIRONNEMENT, LIQUIDE, N.S.A. (BOUES D’HYDROCARBURES)</w:t>
            </w:r>
          </w:p>
        </w:tc>
        <w:tc>
          <w:tcPr>
            <w:tcW w:w="363" w:type="dxa"/>
            <w:tcBorders>
              <w:top w:val="nil"/>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r w:rsidRPr="005B1FC0">
              <w:rPr>
                <w:sz w:val="17"/>
                <w:szCs w:val="17"/>
                <w:lang w:val="fr-FR"/>
              </w:rPr>
              <w:t>9</w:t>
            </w:r>
          </w:p>
        </w:tc>
        <w:tc>
          <w:tcPr>
            <w:tcW w:w="363" w:type="dxa"/>
            <w:tcBorders>
              <w:top w:val="nil"/>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r w:rsidRPr="005B1FC0">
              <w:rPr>
                <w:sz w:val="17"/>
                <w:szCs w:val="17"/>
                <w:lang w:val="fr-FR"/>
              </w:rPr>
              <w:t>M6</w:t>
            </w:r>
          </w:p>
        </w:tc>
        <w:tc>
          <w:tcPr>
            <w:tcW w:w="363" w:type="dxa"/>
            <w:tcBorders>
              <w:top w:val="nil"/>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r w:rsidRPr="005B1FC0">
              <w:rPr>
                <w:sz w:val="17"/>
                <w:szCs w:val="17"/>
                <w:lang w:val="fr-FR"/>
              </w:rPr>
              <w:t>III</w:t>
            </w:r>
          </w:p>
        </w:tc>
        <w:tc>
          <w:tcPr>
            <w:tcW w:w="577" w:type="dxa"/>
            <w:tcBorders>
              <w:top w:val="nil"/>
              <w:left w:val="nil"/>
              <w:bottom w:val="single" w:sz="4" w:space="0" w:color="auto"/>
              <w:right w:val="single" w:sz="4" w:space="0" w:color="auto"/>
            </w:tcBorders>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r w:rsidRPr="005B1FC0">
              <w:rPr>
                <w:sz w:val="17"/>
                <w:szCs w:val="17"/>
                <w:lang w:val="fr-FR"/>
              </w:rPr>
              <w:t>9+</w:t>
            </w:r>
            <w:r w:rsidRPr="005B1FC0">
              <w:rPr>
                <w:sz w:val="17"/>
                <w:szCs w:val="17"/>
                <w:lang w:val="fr-FR"/>
              </w:rPr>
              <w:br/>
              <w:t>CMR+</w:t>
            </w:r>
            <w:r w:rsidR="00A65F4C" w:rsidRPr="005B1FC0">
              <w:rPr>
                <w:sz w:val="17"/>
                <w:szCs w:val="17"/>
                <w:lang w:val="fr-FR"/>
              </w:rPr>
              <w:br/>
            </w:r>
            <w:r w:rsidRPr="005B1FC0">
              <w:rPr>
                <w:sz w:val="17"/>
                <w:szCs w:val="17"/>
                <w:lang w:val="fr-FR"/>
              </w:rPr>
              <w:t>N1</w:t>
            </w:r>
          </w:p>
        </w:tc>
        <w:tc>
          <w:tcPr>
            <w:tcW w:w="348" w:type="dxa"/>
            <w:tcBorders>
              <w:top w:val="nil"/>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r w:rsidRPr="005B1FC0">
              <w:rPr>
                <w:sz w:val="17"/>
                <w:szCs w:val="17"/>
                <w:lang w:val="fr-FR"/>
              </w:rPr>
              <w:t>N</w:t>
            </w:r>
          </w:p>
        </w:tc>
        <w:tc>
          <w:tcPr>
            <w:tcW w:w="349" w:type="dxa"/>
            <w:tcBorders>
              <w:top w:val="nil"/>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r w:rsidRPr="005B1FC0">
              <w:rPr>
                <w:sz w:val="17"/>
                <w:szCs w:val="17"/>
                <w:lang w:val="fr-FR"/>
              </w:rPr>
              <w:t>2</w:t>
            </w:r>
          </w:p>
        </w:tc>
        <w:tc>
          <w:tcPr>
            <w:tcW w:w="348" w:type="dxa"/>
            <w:tcBorders>
              <w:top w:val="nil"/>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r w:rsidRPr="005B1FC0">
              <w:rPr>
                <w:sz w:val="17"/>
                <w:szCs w:val="17"/>
                <w:lang w:val="fr-FR"/>
              </w:rPr>
              <w:t>3</w:t>
            </w:r>
          </w:p>
        </w:tc>
        <w:tc>
          <w:tcPr>
            <w:tcW w:w="349" w:type="dxa"/>
            <w:tcBorders>
              <w:top w:val="nil"/>
              <w:left w:val="nil"/>
              <w:bottom w:val="single" w:sz="4" w:space="0" w:color="auto"/>
              <w:right w:val="single" w:sz="4" w:space="0" w:color="auto"/>
            </w:tcBorders>
            <w:noWrap/>
            <w:tcMar>
              <w:left w:w="0" w:type="dxa"/>
              <w:right w:w="0" w:type="dxa"/>
            </w:tcMar>
            <w:hideMark/>
          </w:tcPr>
          <w:p w:rsidR="005B4102" w:rsidRPr="005B1FC0" w:rsidRDefault="005B4102" w:rsidP="00A65F4C">
            <w:pPr>
              <w:spacing w:before="60" w:after="60" w:line="240" w:lineRule="auto"/>
              <w:ind w:left="28"/>
              <w:jc w:val="center"/>
              <w:rPr>
                <w:sz w:val="17"/>
                <w:szCs w:val="17"/>
                <w:lang w:val="fr-FR"/>
              </w:rPr>
            </w:pPr>
          </w:p>
        </w:tc>
        <w:tc>
          <w:tcPr>
            <w:tcW w:w="348" w:type="dxa"/>
            <w:tcBorders>
              <w:top w:val="nil"/>
              <w:left w:val="nil"/>
              <w:bottom w:val="single" w:sz="4" w:space="0" w:color="auto"/>
              <w:right w:val="single" w:sz="4" w:space="0" w:color="auto"/>
            </w:tcBorders>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r w:rsidRPr="005B1FC0">
              <w:rPr>
                <w:sz w:val="17"/>
                <w:szCs w:val="17"/>
                <w:lang w:val="fr-FR"/>
              </w:rPr>
              <w:t>10</w:t>
            </w:r>
          </w:p>
        </w:tc>
        <w:tc>
          <w:tcPr>
            <w:tcW w:w="349" w:type="dxa"/>
            <w:tcBorders>
              <w:top w:val="nil"/>
              <w:left w:val="nil"/>
              <w:bottom w:val="single" w:sz="4" w:space="0" w:color="auto"/>
              <w:right w:val="single" w:sz="4" w:space="0" w:color="auto"/>
            </w:tcBorders>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r w:rsidRPr="005B1FC0">
              <w:rPr>
                <w:sz w:val="17"/>
                <w:szCs w:val="17"/>
                <w:lang w:val="fr-FR"/>
              </w:rPr>
              <w:t>97</w:t>
            </w:r>
          </w:p>
        </w:tc>
        <w:tc>
          <w:tcPr>
            <w:tcW w:w="348" w:type="dxa"/>
            <w:tcBorders>
              <w:top w:val="nil"/>
              <w:left w:val="nil"/>
              <w:bottom w:val="single" w:sz="4" w:space="0" w:color="auto"/>
              <w:right w:val="single" w:sz="4" w:space="0" w:color="auto"/>
            </w:tcBorders>
            <w:tcMar>
              <w:left w:w="0" w:type="dxa"/>
              <w:right w:w="0" w:type="dxa"/>
            </w:tcMar>
            <w:hideMark/>
          </w:tcPr>
          <w:p w:rsidR="005B4102" w:rsidRPr="005B1FC0" w:rsidRDefault="005B4102" w:rsidP="00A65F4C">
            <w:pPr>
              <w:spacing w:before="60" w:after="60" w:line="240" w:lineRule="auto"/>
              <w:ind w:left="28"/>
              <w:jc w:val="center"/>
              <w:rPr>
                <w:sz w:val="17"/>
                <w:szCs w:val="17"/>
                <w:lang w:val="fr-FR"/>
              </w:rPr>
            </w:pPr>
          </w:p>
        </w:tc>
        <w:tc>
          <w:tcPr>
            <w:tcW w:w="349" w:type="dxa"/>
            <w:tcBorders>
              <w:top w:val="nil"/>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r w:rsidRPr="005B1FC0">
              <w:rPr>
                <w:sz w:val="17"/>
                <w:szCs w:val="17"/>
                <w:lang w:val="fr-FR"/>
              </w:rPr>
              <w:t>3</w:t>
            </w:r>
          </w:p>
        </w:tc>
        <w:tc>
          <w:tcPr>
            <w:tcW w:w="348" w:type="dxa"/>
            <w:tcBorders>
              <w:top w:val="nil"/>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proofErr w:type="gramStart"/>
            <w:r w:rsidRPr="005B1FC0">
              <w:rPr>
                <w:sz w:val="17"/>
                <w:szCs w:val="17"/>
                <w:lang w:val="fr-FR"/>
              </w:rPr>
              <w:t>oui</w:t>
            </w:r>
            <w:proofErr w:type="gramEnd"/>
          </w:p>
        </w:tc>
        <w:tc>
          <w:tcPr>
            <w:tcW w:w="349" w:type="dxa"/>
            <w:tcBorders>
              <w:top w:val="nil"/>
              <w:left w:val="nil"/>
              <w:bottom w:val="single" w:sz="4" w:space="0" w:color="auto"/>
              <w:right w:val="single" w:sz="4" w:space="0" w:color="auto"/>
            </w:tcBorders>
            <w:noWrap/>
            <w:tcMar>
              <w:left w:w="0" w:type="dxa"/>
              <w:right w:w="0" w:type="dxa"/>
            </w:tcMar>
            <w:hideMark/>
          </w:tcPr>
          <w:p w:rsidR="005B4102" w:rsidRPr="005B1FC0" w:rsidRDefault="005B4102" w:rsidP="00A65F4C">
            <w:pPr>
              <w:spacing w:before="60" w:after="60" w:line="240" w:lineRule="auto"/>
              <w:ind w:left="28"/>
              <w:jc w:val="center"/>
              <w:rPr>
                <w:sz w:val="17"/>
                <w:szCs w:val="17"/>
                <w:lang w:val="fr-FR"/>
              </w:rPr>
            </w:pPr>
          </w:p>
        </w:tc>
        <w:tc>
          <w:tcPr>
            <w:tcW w:w="348" w:type="dxa"/>
            <w:tcBorders>
              <w:top w:val="nil"/>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eastAsia="zh-CN"/>
              </w:rPr>
            </w:pPr>
          </w:p>
        </w:tc>
        <w:tc>
          <w:tcPr>
            <w:tcW w:w="349" w:type="dxa"/>
            <w:tcBorders>
              <w:top w:val="nil"/>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proofErr w:type="gramStart"/>
            <w:r w:rsidRPr="005B1FC0">
              <w:rPr>
                <w:sz w:val="17"/>
                <w:szCs w:val="17"/>
                <w:lang w:val="fr-FR"/>
              </w:rPr>
              <w:t>non</w:t>
            </w:r>
            <w:proofErr w:type="gramEnd"/>
          </w:p>
        </w:tc>
        <w:tc>
          <w:tcPr>
            <w:tcW w:w="523" w:type="dxa"/>
            <w:tcBorders>
              <w:top w:val="nil"/>
              <w:left w:val="nil"/>
              <w:bottom w:val="single" w:sz="4" w:space="0" w:color="auto"/>
              <w:right w:val="single" w:sz="4" w:space="0" w:color="auto"/>
            </w:tcBorders>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r w:rsidRPr="005B1FC0">
              <w:rPr>
                <w:sz w:val="17"/>
                <w:szCs w:val="17"/>
                <w:lang w:val="fr-FR"/>
              </w:rPr>
              <w:t>PP, EP, TOX, A</w:t>
            </w:r>
          </w:p>
        </w:tc>
        <w:tc>
          <w:tcPr>
            <w:tcW w:w="435" w:type="dxa"/>
            <w:tcBorders>
              <w:top w:val="nil"/>
              <w:left w:val="nil"/>
              <w:bottom w:val="single" w:sz="4" w:space="0" w:color="auto"/>
              <w:right w:val="single" w:sz="4" w:space="0" w:color="auto"/>
            </w:tcBorders>
            <w:noWrap/>
            <w:tcMar>
              <w:left w:w="0" w:type="dxa"/>
              <w:right w:w="0" w:type="dxa"/>
            </w:tcMar>
            <w:hideMark/>
          </w:tcPr>
          <w:p w:rsidR="005B4102" w:rsidRPr="005B1FC0" w:rsidRDefault="005B4102" w:rsidP="00A65F4C">
            <w:pPr>
              <w:suppressAutoHyphens w:val="0"/>
              <w:spacing w:before="60" w:after="60" w:line="240" w:lineRule="auto"/>
              <w:ind w:left="28"/>
              <w:jc w:val="center"/>
              <w:rPr>
                <w:sz w:val="17"/>
                <w:szCs w:val="17"/>
                <w:lang w:val="fr-FR"/>
              </w:rPr>
            </w:pPr>
            <w:r w:rsidRPr="005B1FC0">
              <w:rPr>
                <w:sz w:val="17"/>
                <w:szCs w:val="17"/>
                <w:lang w:val="fr-FR"/>
              </w:rPr>
              <w:t>0</w:t>
            </w:r>
          </w:p>
        </w:tc>
        <w:tc>
          <w:tcPr>
            <w:tcW w:w="435" w:type="dxa"/>
            <w:tcBorders>
              <w:top w:val="nil"/>
              <w:left w:val="nil"/>
              <w:bottom w:val="single" w:sz="4" w:space="0" w:color="auto"/>
              <w:right w:val="single" w:sz="4" w:space="0" w:color="auto"/>
            </w:tcBorders>
            <w:tcMar>
              <w:left w:w="0" w:type="dxa"/>
              <w:right w:w="0" w:type="dxa"/>
            </w:tcMar>
            <w:hideMark/>
          </w:tcPr>
          <w:p w:rsidR="005B4102" w:rsidRPr="005B1FC0" w:rsidRDefault="005B4102" w:rsidP="00A65F4C">
            <w:pPr>
              <w:spacing w:before="60" w:after="60" w:line="240" w:lineRule="auto"/>
              <w:ind w:left="28"/>
              <w:jc w:val="center"/>
              <w:rPr>
                <w:sz w:val="17"/>
                <w:szCs w:val="17"/>
                <w:lang w:val="fr-FR"/>
              </w:rPr>
            </w:pPr>
          </w:p>
        </w:tc>
      </w:tr>
    </w:tbl>
    <w:p w:rsidR="005B4102" w:rsidRPr="00B760E5" w:rsidRDefault="005B4102" w:rsidP="00363085">
      <w:pPr>
        <w:pStyle w:val="SingleTxtG"/>
        <w:spacing w:before="120"/>
        <w:ind w:right="0"/>
        <w:jc w:val="right"/>
        <w:rPr>
          <w:iCs/>
          <w:lang w:val="fr-FR"/>
        </w:rPr>
      </w:pPr>
      <w:r>
        <w:rPr>
          <w:iCs/>
          <w:lang w:val="fr-FR"/>
        </w:rPr>
        <w:t>».</w:t>
      </w:r>
    </w:p>
    <w:p w:rsidR="005B4102" w:rsidRPr="00243FA2" w:rsidRDefault="005B4102" w:rsidP="00FA4E25">
      <w:pPr>
        <w:pStyle w:val="SingleTxtG"/>
        <w:rPr>
          <w:lang w:val="fr-FR"/>
        </w:rPr>
      </w:pPr>
      <w:r w:rsidRPr="00243FA2">
        <w:rPr>
          <w:iCs/>
          <w:lang w:val="fr-FR"/>
        </w:rPr>
        <w:t>(</w:t>
      </w:r>
      <w:r w:rsidRPr="005F6314">
        <w:rPr>
          <w:i/>
          <w:lang w:val="fr-FR"/>
        </w:rPr>
        <w:t>Document de référence</w:t>
      </w:r>
      <w:r>
        <w:rPr>
          <w:i/>
          <w:lang w:val="fr-FR"/>
        </w:rPr>
        <w:t> </w:t>
      </w:r>
      <w:r w:rsidRPr="005F6314">
        <w:rPr>
          <w:i/>
          <w:iCs/>
          <w:lang w:val="fr-FR"/>
        </w:rPr>
        <w:t>: ECE/TRANS/WP.15/AC.2/2018/44</w:t>
      </w:r>
      <w:r w:rsidRPr="00243FA2">
        <w:rPr>
          <w:lang w:val="fr-FR"/>
        </w:rPr>
        <w:t>)</w:t>
      </w:r>
    </w:p>
    <w:p w:rsidR="005B4102" w:rsidRPr="005F6314" w:rsidRDefault="005B4102" w:rsidP="005B4102">
      <w:pPr>
        <w:keepNext/>
        <w:keepLines/>
        <w:tabs>
          <w:tab w:val="right" w:pos="851"/>
        </w:tabs>
        <w:spacing w:before="240" w:after="120"/>
        <w:ind w:left="1134" w:right="1134" w:hanging="1134"/>
        <w:rPr>
          <w:b/>
          <w:lang w:val="fr-FR"/>
        </w:rPr>
      </w:pPr>
      <w:r w:rsidRPr="005F6314">
        <w:rPr>
          <w:b/>
          <w:lang w:val="fr-FR"/>
        </w:rPr>
        <w:lastRenderedPageBreak/>
        <w:tab/>
      </w:r>
      <w:r w:rsidRPr="005F6314">
        <w:rPr>
          <w:b/>
          <w:lang w:val="fr-FR"/>
        </w:rPr>
        <w:tab/>
        <w:t>Chapitre 3.2, 3.2.3.3</w:t>
      </w:r>
    </w:p>
    <w:p w:rsidR="005B4102" w:rsidRPr="005F6314" w:rsidRDefault="005B4102" w:rsidP="00243FA2">
      <w:pPr>
        <w:pStyle w:val="SingleTxtG"/>
        <w:keepNext/>
        <w:rPr>
          <w:lang w:val="fr-FR"/>
        </w:rPr>
      </w:pPr>
      <w:r w:rsidRPr="005F6314">
        <w:rPr>
          <w:lang w:val="fr-FR"/>
        </w:rPr>
        <w:t>3.2</w:t>
      </w:r>
      <w:r>
        <w:rPr>
          <w:lang w:val="fr-FR"/>
        </w:rPr>
        <w:t>.3.3 et 3.2.4.3 H, colonne (16), m</w:t>
      </w:r>
      <w:r w:rsidRPr="005F6314">
        <w:rPr>
          <w:lang w:val="fr-FR"/>
        </w:rPr>
        <w:t>odifier pour lire comme suit</w:t>
      </w:r>
      <w:r>
        <w:rPr>
          <w:lang w:val="fr-FR"/>
        </w:rPr>
        <w:t> </w:t>
      </w:r>
      <w:r w:rsidRPr="005F6314">
        <w:rPr>
          <w:lang w:val="fr-FR"/>
        </w:rPr>
        <w:t>:</w:t>
      </w:r>
    </w:p>
    <w:p w:rsidR="005B4102" w:rsidRPr="005F6314" w:rsidRDefault="00243FA2" w:rsidP="005B4102">
      <w:pPr>
        <w:pStyle w:val="SingleTxtG"/>
        <w:rPr>
          <w:lang w:val="fr-FR"/>
        </w:rPr>
      </w:pPr>
      <w:r>
        <w:rPr>
          <w:lang w:val="fr-FR"/>
        </w:rPr>
        <w:t>« </w:t>
      </w:r>
      <w:r w:rsidR="005B4102" w:rsidRPr="005F6314">
        <w:rPr>
          <w:lang w:val="fr-FR"/>
        </w:rPr>
        <w:t>Les matières inflammables sont affectées à un groupe d</w:t>
      </w:r>
      <w:r w:rsidR="005B4102">
        <w:rPr>
          <w:lang w:val="fr-FR"/>
        </w:rPr>
        <w:t>’</w:t>
      </w:r>
      <w:r w:rsidR="005B4102" w:rsidRPr="005F6314">
        <w:rPr>
          <w:lang w:val="fr-FR"/>
        </w:rPr>
        <w:t>explosion sur la base de leur interstice expérimental maximal.</w:t>
      </w:r>
    </w:p>
    <w:p w:rsidR="005B4102" w:rsidRPr="005F6314" w:rsidRDefault="005B4102" w:rsidP="005B4102">
      <w:pPr>
        <w:pStyle w:val="SingleTxtG"/>
        <w:rPr>
          <w:lang w:val="fr-FR"/>
        </w:rPr>
      </w:pPr>
      <w:r w:rsidRPr="005F6314">
        <w:rPr>
          <w:lang w:val="fr-FR"/>
        </w:rPr>
        <w:t>La détermination de l</w:t>
      </w:r>
      <w:r>
        <w:rPr>
          <w:lang w:val="fr-FR"/>
        </w:rPr>
        <w:t>’</w:t>
      </w:r>
      <w:r w:rsidRPr="005F6314">
        <w:rPr>
          <w:lang w:val="fr-FR"/>
        </w:rPr>
        <w:t>interstice expérimental maximal s</w:t>
      </w:r>
      <w:r>
        <w:rPr>
          <w:lang w:val="fr-FR"/>
        </w:rPr>
        <w:t>’</w:t>
      </w:r>
      <w:r w:rsidRPr="005F6314">
        <w:rPr>
          <w:lang w:val="fr-FR"/>
        </w:rPr>
        <w:t>effectue selon CEI 60079-20-1.</w:t>
      </w:r>
    </w:p>
    <w:p w:rsidR="005B4102" w:rsidRPr="005F6314" w:rsidRDefault="005B4102" w:rsidP="005B4102">
      <w:pPr>
        <w:pStyle w:val="SingleTxtG"/>
        <w:rPr>
          <w:lang w:val="fr-FR"/>
        </w:rPr>
      </w:pPr>
      <w:r w:rsidRPr="005F6314">
        <w:rPr>
          <w:lang w:val="fr-FR"/>
        </w:rPr>
        <w:t>On distingue les groupes d</w:t>
      </w:r>
      <w:r>
        <w:rPr>
          <w:lang w:val="fr-FR"/>
        </w:rPr>
        <w:t>’</w:t>
      </w:r>
      <w:r w:rsidRPr="005F6314">
        <w:rPr>
          <w:lang w:val="fr-FR"/>
        </w:rPr>
        <w:t>explosion suivants :</w:t>
      </w:r>
    </w:p>
    <w:tbl>
      <w:tblPr>
        <w:tblW w:w="7371" w:type="dxa"/>
        <w:jc w:val="center"/>
        <w:tblLook w:val="04A0" w:firstRow="1" w:lastRow="0" w:firstColumn="1" w:lastColumn="0" w:noHBand="0" w:noVBand="1"/>
      </w:tblPr>
      <w:tblGrid>
        <w:gridCol w:w="3849"/>
        <w:gridCol w:w="3522"/>
      </w:tblGrid>
      <w:tr w:rsidR="005B4102" w:rsidRPr="005F6314" w:rsidTr="00243FA2">
        <w:trPr>
          <w:jc w:val="center"/>
        </w:trPr>
        <w:tc>
          <w:tcPr>
            <w:tcW w:w="2738" w:type="dxa"/>
            <w:tcBorders>
              <w:top w:val="single" w:sz="4" w:space="0" w:color="auto"/>
              <w:left w:val="single" w:sz="4" w:space="0" w:color="auto"/>
              <w:bottom w:val="single" w:sz="4" w:space="0" w:color="auto"/>
              <w:right w:val="single" w:sz="4" w:space="0" w:color="auto"/>
            </w:tcBorders>
            <w:hideMark/>
          </w:tcPr>
          <w:p w:rsidR="005B4102" w:rsidRPr="005F6314" w:rsidRDefault="005B4102" w:rsidP="003524B8">
            <w:pPr>
              <w:keepNext/>
              <w:keepLines/>
              <w:widowControl w:val="0"/>
              <w:spacing w:before="60" w:after="60" w:line="240" w:lineRule="auto"/>
              <w:textAlignment w:val="baseline"/>
              <w:rPr>
                <w:rFonts w:eastAsia="DejaVu Sans"/>
                <w:lang w:val="fr-FR"/>
              </w:rPr>
            </w:pPr>
            <w:r w:rsidRPr="005F6314">
              <w:rPr>
                <w:rFonts w:eastAsia="DejaVu Sans"/>
                <w:lang w:val="fr-FR"/>
              </w:rPr>
              <w:t>Groupe d</w:t>
            </w:r>
            <w:r>
              <w:rPr>
                <w:rFonts w:eastAsia="DejaVu Sans"/>
                <w:lang w:val="fr-FR"/>
              </w:rPr>
              <w:t>’</w:t>
            </w:r>
            <w:r w:rsidRPr="005F6314">
              <w:rPr>
                <w:rFonts w:eastAsia="DejaVu Sans"/>
                <w:lang w:val="fr-FR"/>
              </w:rPr>
              <w:t>explosion</w:t>
            </w:r>
          </w:p>
        </w:tc>
        <w:tc>
          <w:tcPr>
            <w:tcW w:w="2506" w:type="dxa"/>
            <w:tcBorders>
              <w:top w:val="single" w:sz="4" w:space="0" w:color="auto"/>
              <w:left w:val="single" w:sz="4" w:space="0" w:color="auto"/>
              <w:bottom w:val="single" w:sz="4" w:space="0" w:color="auto"/>
              <w:right w:val="single" w:sz="4" w:space="0" w:color="auto"/>
            </w:tcBorders>
            <w:hideMark/>
          </w:tcPr>
          <w:p w:rsidR="005B4102" w:rsidRPr="005F6314" w:rsidRDefault="005B4102" w:rsidP="00243FA2">
            <w:pPr>
              <w:keepNext/>
              <w:keepLines/>
              <w:widowControl w:val="0"/>
              <w:spacing w:before="60" w:after="60" w:line="240" w:lineRule="auto"/>
              <w:textAlignment w:val="baseline"/>
              <w:rPr>
                <w:rFonts w:eastAsia="DejaVu Sans"/>
                <w:lang w:val="fr-FR"/>
              </w:rPr>
            </w:pPr>
            <w:r w:rsidRPr="005F6314">
              <w:rPr>
                <w:rFonts w:eastAsia="DejaVu Sans"/>
                <w:lang w:val="fr-FR"/>
              </w:rPr>
              <w:t>Interstice expérimental maximal en mm</w:t>
            </w:r>
          </w:p>
        </w:tc>
      </w:tr>
      <w:tr w:rsidR="005B4102" w:rsidRPr="005F6314" w:rsidTr="00243FA2">
        <w:trPr>
          <w:jc w:val="center"/>
        </w:trPr>
        <w:tc>
          <w:tcPr>
            <w:tcW w:w="2738" w:type="dxa"/>
            <w:tcBorders>
              <w:top w:val="single" w:sz="4" w:space="0" w:color="auto"/>
              <w:left w:val="single" w:sz="4" w:space="0" w:color="auto"/>
              <w:bottom w:val="single" w:sz="4" w:space="0" w:color="auto"/>
              <w:right w:val="single" w:sz="4" w:space="0" w:color="auto"/>
            </w:tcBorders>
            <w:hideMark/>
          </w:tcPr>
          <w:p w:rsidR="005B4102" w:rsidRPr="005F6314" w:rsidRDefault="005B4102" w:rsidP="003524B8">
            <w:pPr>
              <w:widowControl w:val="0"/>
              <w:spacing w:before="60" w:after="60" w:line="240" w:lineRule="auto"/>
              <w:textAlignment w:val="baseline"/>
              <w:rPr>
                <w:rFonts w:eastAsia="DejaVu Sans"/>
                <w:lang w:val="fr-FR"/>
              </w:rPr>
            </w:pPr>
            <w:r w:rsidRPr="005F6314">
              <w:rPr>
                <w:rFonts w:eastAsia="DejaVu Sans"/>
                <w:lang w:val="fr-FR"/>
              </w:rPr>
              <w:t>II A</w:t>
            </w:r>
          </w:p>
        </w:tc>
        <w:tc>
          <w:tcPr>
            <w:tcW w:w="2506" w:type="dxa"/>
            <w:tcBorders>
              <w:top w:val="single" w:sz="4" w:space="0" w:color="auto"/>
              <w:left w:val="single" w:sz="4" w:space="0" w:color="auto"/>
              <w:bottom w:val="single" w:sz="4" w:space="0" w:color="auto"/>
              <w:right w:val="single" w:sz="4" w:space="0" w:color="auto"/>
            </w:tcBorders>
            <w:hideMark/>
          </w:tcPr>
          <w:p w:rsidR="005B4102" w:rsidRPr="005F6314" w:rsidRDefault="005B1FC0" w:rsidP="00243FA2">
            <w:pPr>
              <w:widowControl w:val="0"/>
              <w:spacing w:before="60" w:after="60" w:line="240" w:lineRule="auto"/>
              <w:textAlignment w:val="baseline"/>
              <w:rPr>
                <w:rFonts w:eastAsia="DejaVu Sans"/>
                <w:lang w:val="fr-FR"/>
              </w:rPr>
            </w:pPr>
            <w:r>
              <w:rPr>
                <w:rFonts w:eastAsia="DejaVu Sans"/>
                <w:lang w:val="fr-FR"/>
              </w:rPr>
              <w:t>&gt;</w:t>
            </w:r>
            <w:r w:rsidR="005B4102" w:rsidRPr="005F6314">
              <w:rPr>
                <w:rFonts w:eastAsia="DejaVu Sans"/>
                <w:lang w:val="fr-FR"/>
              </w:rPr>
              <w:t>0,9</w:t>
            </w:r>
          </w:p>
        </w:tc>
      </w:tr>
      <w:tr w:rsidR="005B4102" w:rsidRPr="005F6314" w:rsidTr="00243FA2">
        <w:trPr>
          <w:jc w:val="center"/>
        </w:trPr>
        <w:tc>
          <w:tcPr>
            <w:tcW w:w="2738" w:type="dxa"/>
            <w:tcBorders>
              <w:top w:val="single" w:sz="4" w:space="0" w:color="auto"/>
              <w:left w:val="single" w:sz="4" w:space="0" w:color="auto"/>
              <w:bottom w:val="single" w:sz="4" w:space="0" w:color="auto"/>
              <w:right w:val="single" w:sz="4" w:space="0" w:color="auto"/>
            </w:tcBorders>
            <w:hideMark/>
          </w:tcPr>
          <w:p w:rsidR="005B4102" w:rsidRPr="005F6314" w:rsidRDefault="005B4102" w:rsidP="003524B8">
            <w:pPr>
              <w:widowControl w:val="0"/>
              <w:spacing w:before="60" w:after="60" w:line="240" w:lineRule="auto"/>
              <w:textAlignment w:val="baseline"/>
              <w:rPr>
                <w:rFonts w:eastAsia="DejaVu Sans"/>
                <w:lang w:val="fr-FR"/>
              </w:rPr>
            </w:pPr>
            <w:r w:rsidRPr="005F6314">
              <w:rPr>
                <w:rFonts w:eastAsia="DejaVu Sans"/>
                <w:lang w:val="fr-FR"/>
              </w:rPr>
              <w:t>II B</w:t>
            </w:r>
          </w:p>
        </w:tc>
        <w:tc>
          <w:tcPr>
            <w:tcW w:w="2506" w:type="dxa"/>
            <w:tcBorders>
              <w:top w:val="single" w:sz="4" w:space="0" w:color="auto"/>
              <w:left w:val="single" w:sz="4" w:space="0" w:color="auto"/>
              <w:bottom w:val="single" w:sz="4" w:space="0" w:color="auto"/>
              <w:right w:val="single" w:sz="4" w:space="0" w:color="auto"/>
            </w:tcBorders>
            <w:hideMark/>
          </w:tcPr>
          <w:p w:rsidR="005B4102" w:rsidRPr="005F6314" w:rsidRDefault="005B4102" w:rsidP="00243FA2">
            <w:pPr>
              <w:widowControl w:val="0"/>
              <w:spacing w:before="60" w:after="60" w:line="240" w:lineRule="auto"/>
              <w:textAlignment w:val="baseline"/>
              <w:rPr>
                <w:rFonts w:eastAsia="DejaVu Sans"/>
                <w:lang w:val="fr-FR"/>
              </w:rPr>
            </w:pPr>
            <w:r w:rsidRPr="005F6314">
              <w:rPr>
                <w:rFonts w:eastAsia="DejaVu Sans"/>
                <w:lang w:val="fr-FR"/>
              </w:rPr>
              <w:sym w:font="Symbol" w:char="F0B3"/>
            </w:r>
            <w:r w:rsidRPr="005F6314">
              <w:rPr>
                <w:rFonts w:eastAsia="DejaVu Sans"/>
                <w:lang w:val="fr-FR"/>
              </w:rPr>
              <w:t xml:space="preserve">0,5 à </w:t>
            </w:r>
            <w:r w:rsidRPr="005F6314">
              <w:rPr>
                <w:rFonts w:eastAsia="DejaVu Sans"/>
                <w:lang w:val="fr-FR"/>
              </w:rPr>
              <w:sym w:font="Symbol" w:char="F0A3"/>
            </w:r>
            <w:r w:rsidRPr="005F6314">
              <w:rPr>
                <w:rFonts w:eastAsia="DejaVu Sans"/>
                <w:lang w:val="fr-FR"/>
              </w:rPr>
              <w:t>0,9</w:t>
            </w:r>
          </w:p>
        </w:tc>
      </w:tr>
      <w:tr w:rsidR="005B4102" w:rsidRPr="005F6314" w:rsidTr="00243FA2">
        <w:trPr>
          <w:jc w:val="center"/>
        </w:trPr>
        <w:tc>
          <w:tcPr>
            <w:tcW w:w="2738" w:type="dxa"/>
            <w:tcBorders>
              <w:top w:val="single" w:sz="4" w:space="0" w:color="auto"/>
              <w:left w:val="single" w:sz="4" w:space="0" w:color="auto"/>
              <w:bottom w:val="single" w:sz="4" w:space="0" w:color="auto"/>
              <w:right w:val="single" w:sz="4" w:space="0" w:color="auto"/>
            </w:tcBorders>
            <w:hideMark/>
          </w:tcPr>
          <w:p w:rsidR="005B4102" w:rsidRPr="005F6314" w:rsidRDefault="005B4102" w:rsidP="003524B8">
            <w:pPr>
              <w:widowControl w:val="0"/>
              <w:spacing w:before="60" w:after="60" w:line="240" w:lineRule="auto"/>
              <w:textAlignment w:val="baseline"/>
              <w:rPr>
                <w:rFonts w:eastAsia="DejaVu Sans"/>
                <w:lang w:val="fr-FR"/>
              </w:rPr>
            </w:pPr>
            <w:r w:rsidRPr="005F6314">
              <w:rPr>
                <w:rFonts w:eastAsia="DejaVu Sans"/>
                <w:lang w:val="fr-FR"/>
              </w:rPr>
              <w:t>II C</w:t>
            </w:r>
          </w:p>
        </w:tc>
        <w:tc>
          <w:tcPr>
            <w:tcW w:w="2506" w:type="dxa"/>
            <w:tcBorders>
              <w:top w:val="single" w:sz="4" w:space="0" w:color="auto"/>
              <w:left w:val="single" w:sz="4" w:space="0" w:color="auto"/>
              <w:bottom w:val="single" w:sz="4" w:space="0" w:color="auto"/>
              <w:right w:val="single" w:sz="4" w:space="0" w:color="auto"/>
            </w:tcBorders>
            <w:hideMark/>
          </w:tcPr>
          <w:p w:rsidR="005B4102" w:rsidRPr="005F6314" w:rsidRDefault="005B1FC0" w:rsidP="00243FA2">
            <w:pPr>
              <w:widowControl w:val="0"/>
              <w:spacing w:before="60" w:after="60" w:line="240" w:lineRule="auto"/>
              <w:textAlignment w:val="baseline"/>
              <w:rPr>
                <w:rFonts w:eastAsia="DejaVu Sans"/>
                <w:lang w:val="fr-FR"/>
              </w:rPr>
            </w:pPr>
            <w:r>
              <w:rPr>
                <w:rFonts w:eastAsia="DejaVu Sans"/>
                <w:lang w:val="fr-FR"/>
              </w:rPr>
              <w:t>&lt;</w:t>
            </w:r>
            <w:r w:rsidR="005B4102" w:rsidRPr="005F6314">
              <w:rPr>
                <w:rFonts w:eastAsia="DejaVu Sans"/>
                <w:lang w:val="fr-FR"/>
              </w:rPr>
              <w:t>0,5</w:t>
            </w:r>
          </w:p>
        </w:tc>
      </w:tr>
    </w:tbl>
    <w:p w:rsidR="005B4102" w:rsidRPr="005F6314" w:rsidRDefault="005B4102" w:rsidP="003524B8">
      <w:pPr>
        <w:pStyle w:val="SingleTxtG"/>
        <w:keepNext/>
        <w:spacing w:before="120"/>
        <w:rPr>
          <w:lang w:val="fr-FR"/>
        </w:rPr>
      </w:pPr>
      <w:r w:rsidRPr="005F6314">
        <w:rPr>
          <w:lang w:val="fr-FR"/>
        </w:rPr>
        <w:t>En présence de systèmes de protection autonomes on distingue en plus pour le groupe d</w:t>
      </w:r>
      <w:r>
        <w:rPr>
          <w:lang w:val="fr-FR"/>
        </w:rPr>
        <w:t>’</w:t>
      </w:r>
      <w:r w:rsidRPr="005F6314">
        <w:rPr>
          <w:lang w:val="fr-FR"/>
        </w:rPr>
        <w:t>explosion II B les sous-groupes suivants :</w:t>
      </w:r>
    </w:p>
    <w:tbl>
      <w:tblPr>
        <w:tblW w:w="7371" w:type="dxa"/>
        <w:jc w:val="center"/>
        <w:tblLook w:val="04A0" w:firstRow="1" w:lastRow="0" w:firstColumn="1" w:lastColumn="0" w:noHBand="0" w:noVBand="1"/>
      </w:tblPr>
      <w:tblGrid>
        <w:gridCol w:w="3849"/>
        <w:gridCol w:w="3522"/>
      </w:tblGrid>
      <w:tr w:rsidR="005B4102" w:rsidRPr="005F6314" w:rsidTr="003524B8">
        <w:trPr>
          <w:jc w:val="center"/>
        </w:trPr>
        <w:tc>
          <w:tcPr>
            <w:tcW w:w="2738" w:type="dxa"/>
            <w:tcBorders>
              <w:top w:val="single" w:sz="4" w:space="0" w:color="auto"/>
              <w:left w:val="single" w:sz="4" w:space="0" w:color="auto"/>
              <w:bottom w:val="single" w:sz="4" w:space="0" w:color="auto"/>
              <w:right w:val="single" w:sz="4" w:space="0" w:color="auto"/>
            </w:tcBorders>
            <w:hideMark/>
          </w:tcPr>
          <w:p w:rsidR="005B4102" w:rsidRPr="005F6314" w:rsidRDefault="005B4102" w:rsidP="003524B8">
            <w:pPr>
              <w:widowControl w:val="0"/>
              <w:spacing w:before="60" w:after="60" w:line="240" w:lineRule="auto"/>
              <w:textAlignment w:val="baseline"/>
              <w:rPr>
                <w:rFonts w:eastAsia="DejaVu Sans"/>
                <w:lang w:val="fr-FR"/>
              </w:rPr>
            </w:pPr>
            <w:r w:rsidRPr="005F6314">
              <w:rPr>
                <w:rFonts w:eastAsia="DejaVu Sans"/>
                <w:lang w:val="fr-FR"/>
              </w:rPr>
              <w:t>Groupe (sous-groupe) d</w:t>
            </w:r>
            <w:r>
              <w:rPr>
                <w:rFonts w:eastAsia="DejaVu Sans"/>
                <w:lang w:val="fr-FR"/>
              </w:rPr>
              <w:t>’</w:t>
            </w:r>
            <w:r w:rsidRPr="005F6314">
              <w:rPr>
                <w:rFonts w:eastAsia="DejaVu Sans"/>
                <w:lang w:val="fr-FR"/>
              </w:rPr>
              <w:t>explosion</w:t>
            </w:r>
          </w:p>
        </w:tc>
        <w:tc>
          <w:tcPr>
            <w:tcW w:w="2506" w:type="dxa"/>
            <w:tcBorders>
              <w:top w:val="single" w:sz="4" w:space="0" w:color="auto"/>
              <w:left w:val="single" w:sz="4" w:space="0" w:color="auto"/>
              <w:bottom w:val="single" w:sz="4" w:space="0" w:color="auto"/>
              <w:right w:val="single" w:sz="4" w:space="0" w:color="auto"/>
            </w:tcBorders>
            <w:hideMark/>
          </w:tcPr>
          <w:p w:rsidR="005B4102" w:rsidRPr="005F6314" w:rsidRDefault="005B4102" w:rsidP="003524B8">
            <w:pPr>
              <w:widowControl w:val="0"/>
              <w:spacing w:before="60" w:after="60" w:line="240" w:lineRule="auto"/>
              <w:textAlignment w:val="baseline"/>
              <w:rPr>
                <w:rFonts w:eastAsia="DejaVu Sans"/>
                <w:lang w:val="fr-FR"/>
              </w:rPr>
            </w:pPr>
            <w:r w:rsidRPr="005F6314">
              <w:rPr>
                <w:rFonts w:eastAsia="DejaVu Sans"/>
                <w:lang w:val="fr-FR"/>
              </w:rPr>
              <w:t>Interstice expérimental maximal en mm</w:t>
            </w:r>
          </w:p>
        </w:tc>
      </w:tr>
      <w:tr w:rsidR="005B4102" w:rsidRPr="005F6314" w:rsidTr="003524B8">
        <w:trPr>
          <w:jc w:val="center"/>
        </w:trPr>
        <w:tc>
          <w:tcPr>
            <w:tcW w:w="2738" w:type="dxa"/>
            <w:tcBorders>
              <w:top w:val="single" w:sz="4" w:space="0" w:color="auto"/>
              <w:left w:val="single" w:sz="4" w:space="0" w:color="auto"/>
              <w:bottom w:val="single" w:sz="4" w:space="0" w:color="auto"/>
              <w:right w:val="single" w:sz="4" w:space="0" w:color="auto"/>
            </w:tcBorders>
            <w:hideMark/>
          </w:tcPr>
          <w:p w:rsidR="005B4102" w:rsidRPr="005F6314" w:rsidRDefault="005B4102" w:rsidP="003524B8">
            <w:pPr>
              <w:widowControl w:val="0"/>
              <w:spacing w:before="60" w:after="60" w:line="240" w:lineRule="auto"/>
              <w:textAlignment w:val="baseline"/>
              <w:rPr>
                <w:rFonts w:eastAsia="DejaVu Sans"/>
                <w:lang w:val="fr-FR"/>
              </w:rPr>
            </w:pPr>
            <w:r w:rsidRPr="005F6314">
              <w:rPr>
                <w:rFonts w:eastAsia="DejaVu Sans"/>
                <w:lang w:val="fr-FR"/>
              </w:rPr>
              <w:t>II B1</w:t>
            </w:r>
          </w:p>
        </w:tc>
        <w:tc>
          <w:tcPr>
            <w:tcW w:w="2506" w:type="dxa"/>
            <w:tcBorders>
              <w:top w:val="single" w:sz="4" w:space="0" w:color="auto"/>
              <w:left w:val="single" w:sz="4" w:space="0" w:color="auto"/>
              <w:bottom w:val="single" w:sz="4" w:space="0" w:color="auto"/>
              <w:right w:val="single" w:sz="4" w:space="0" w:color="auto"/>
            </w:tcBorders>
            <w:hideMark/>
          </w:tcPr>
          <w:p w:rsidR="005B4102" w:rsidRPr="005F6314" w:rsidRDefault="005B1FC0" w:rsidP="003524B8">
            <w:pPr>
              <w:widowControl w:val="0"/>
              <w:spacing w:before="60" w:after="60" w:line="240" w:lineRule="auto"/>
              <w:textAlignment w:val="baseline"/>
              <w:rPr>
                <w:rFonts w:eastAsia="DejaVu Sans"/>
                <w:lang w:val="fr-FR"/>
              </w:rPr>
            </w:pPr>
            <w:r>
              <w:rPr>
                <w:rFonts w:eastAsia="DejaVu Sans"/>
                <w:lang w:val="fr-FR"/>
              </w:rPr>
              <w:t>&gt;</w:t>
            </w:r>
            <w:r w:rsidR="005B4102" w:rsidRPr="005F6314">
              <w:rPr>
                <w:rFonts w:eastAsia="DejaVu Sans"/>
                <w:lang w:val="fr-FR"/>
              </w:rPr>
              <w:t xml:space="preserve">0,85 à </w:t>
            </w:r>
            <w:r w:rsidR="005B4102" w:rsidRPr="005F6314">
              <w:rPr>
                <w:rFonts w:eastAsia="DejaVu Sans"/>
                <w:lang w:val="fr-FR"/>
              </w:rPr>
              <w:sym w:font="Symbol" w:char="F0A3"/>
            </w:r>
            <w:r>
              <w:rPr>
                <w:rFonts w:eastAsia="DejaVu Sans"/>
                <w:lang w:val="fr-FR"/>
              </w:rPr>
              <w:t>0</w:t>
            </w:r>
            <w:r w:rsidR="005B4102" w:rsidRPr="005F6314">
              <w:rPr>
                <w:rFonts w:eastAsia="DejaVu Sans"/>
                <w:lang w:val="fr-FR"/>
              </w:rPr>
              <w:t>,9</w:t>
            </w:r>
          </w:p>
        </w:tc>
      </w:tr>
      <w:tr w:rsidR="005B4102" w:rsidRPr="005F6314" w:rsidTr="003524B8">
        <w:trPr>
          <w:jc w:val="center"/>
        </w:trPr>
        <w:tc>
          <w:tcPr>
            <w:tcW w:w="2738" w:type="dxa"/>
            <w:tcBorders>
              <w:top w:val="single" w:sz="4" w:space="0" w:color="auto"/>
              <w:left w:val="single" w:sz="4" w:space="0" w:color="auto"/>
              <w:bottom w:val="single" w:sz="4" w:space="0" w:color="auto"/>
              <w:right w:val="single" w:sz="4" w:space="0" w:color="auto"/>
            </w:tcBorders>
            <w:hideMark/>
          </w:tcPr>
          <w:p w:rsidR="005B4102" w:rsidRPr="005F6314" w:rsidRDefault="005B4102" w:rsidP="003524B8">
            <w:pPr>
              <w:widowControl w:val="0"/>
              <w:spacing w:before="60" w:after="60" w:line="240" w:lineRule="auto"/>
              <w:textAlignment w:val="baseline"/>
              <w:rPr>
                <w:rFonts w:eastAsia="DejaVu Sans"/>
                <w:lang w:val="fr-FR"/>
              </w:rPr>
            </w:pPr>
            <w:r w:rsidRPr="005F6314">
              <w:rPr>
                <w:rFonts w:eastAsia="DejaVu Sans"/>
                <w:lang w:val="fr-FR"/>
              </w:rPr>
              <w:t>II B2</w:t>
            </w:r>
          </w:p>
        </w:tc>
        <w:tc>
          <w:tcPr>
            <w:tcW w:w="2506" w:type="dxa"/>
            <w:tcBorders>
              <w:top w:val="single" w:sz="4" w:space="0" w:color="auto"/>
              <w:left w:val="single" w:sz="4" w:space="0" w:color="auto"/>
              <w:bottom w:val="single" w:sz="4" w:space="0" w:color="auto"/>
              <w:right w:val="single" w:sz="4" w:space="0" w:color="auto"/>
            </w:tcBorders>
            <w:hideMark/>
          </w:tcPr>
          <w:p w:rsidR="005B4102" w:rsidRPr="005F6314" w:rsidRDefault="005B1FC0" w:rsidP="003524B8">
            <w:pPr>
              <w:widowControl w:val="0"/>
              <w:spacing w:before="60" w:after="60" w:line="240" w:lineRule="auto"/>
              <w:textAlignment w:val="baseline"/>
              <w:rPr>
                <w:rFonts w:eastAsia="DejaVu Sans"/>
                <w:lang w:val="fr-FR"/>
              </w:rPr>
            </w:pPr>
            <w:r>
              <w:rPr>
                <w:rFonts w:eastAsia="DejaVu Sans"/>
                <w:lang w:val="fr-FR"/>
              </w:rPr>
              <w:t>&gt;</w:t>
            </w:r>
            <w:r w:rsidR="005B4102" w:rsidRPr="005F6314">
              <w:rPr>
                <w:rFonts w:eastAsia="DejaVu Sans"/>
                <w:lang w:val="fr-FR"/>
              </w:rPr>
              <w:t xml:space="preserve">0,75 à </w:t>
            </w:r>
            <w:r w:rsidR="005B4102" w:rsidRPr="005F6314">
              <w:rPr>
                <w:rFonts w:eastAsia="DejaVu Sans"/>
                <w:lang w:val="fr-FR"/>
              </w:rPr>
              <w:sym w:font="Symbol" w:char="F0A3"/>
            </w:r>
            <w:r w:rsidR="005B4102" w:rsidRPr="005F6314">
              <w:rPr>
                <w:rFonts w:eastAsia="DejaVu Sans"/>
                <w:lang w:val="fr-FR"/>
              </w:rPr>
              <w:t>0,85</w:t>
            </w:r>
          </w:p>
        </w:tc>
      </w:tr>
      <w:tr w:rsidR="005B4102" w:rsidRPr="005F6314" w:rsidTr="003524B8">
        <w:trPr>
          <w:jc w:val="center"/>
        </w:trPr>
        <w:tc>
          <w:tcPr>
            <w:tcW w:w="2738" w:type="dxa"/>
            <w:tcBorders>
              <w:top w:val="single" w:sz="4" w:space="0" w:color="auto"/>
              <w:left w:val="single" w:sz="4" w:space="0" w:color="auto"/>
              <w:bottom w:val="single" w:sz="4" w:space="0" w:color="auto"/>
              <w:right w:val="single" w:sz="4" w:space="0" w:color="auto"/>
            </w:tcBorders>
            <w:hideMark/>
          </w:tcPr>
          <w:p w:rsidR="005B4102" w:rsidRPr="005F6314" w:rsidRDefault="005B4102" w:rsidP="003524B8">
            <w:pPr>
              <w:widowControl w:val="0"/>
              <w:spacing w:before="60" w:after="60" w:line="240" w:lineRule="auto"/>
              <w:textAlignment w:val="baseline"/>
              <w:rPr>
                <w:rFonts w:eastAsia="DejaVu Sans"/>
                <w:lang w:val="fr-FR"/>
              </w:rPr>
            </w:pPr>
            <w:r w:rsidRPr="005F6314">
              <w:rPr>
                <w:rFonts w:eastAsia="DejaVu Sans"/>
                <w:lang w:val="fr-FR"/>
              </w:rPr>
              <w:t>II B3</w:t>
            </w:r>
          </w:p>
        </w:tc>
        <w:tc>
          <w:tcPr>
            <w:tcW w:w="2506" w:type="dxa"/>
            <w:tcBorders>
              <w:top w:val="single" w:sz="4" w:space="0" w:color="auto"/>
              <w:left w:val="single" w:sz="4" w:space="0" w:color="auto"/>
              <w:bottom w:val="single" w:sz="4" w:space="0" w:color="auto"/>
              <w:right w:val="single" w:sz="4" w:space="0" w:color="auto"/>
            </w:tcBorders>
            <w:hideMark/>
          </w:tcPr>
          <w:p w:rsidR="005B4102" w:rsidRPr="005F6314" w:rsidRDefault="005B1FC0" w:rsidP="003524B8">
            <w:pPr>
              <w:widowControl w:val="0"/>
              <w:spacing w:before="60" w:after="60" w:line="240" w:lineRule="auto"/>
              <w:textAlignment w:val="baseline"/>
              <w:rPr>
                <w:rFonts w:eastAsia="DejaVu Sans"/>
                <w:lang w:val="fr-FR"/>
              </w:rPr>
            </w:pPr>
            <w:r>
              <w:rPr>
                <w:rFonts w:eastAsia="DejaVu Sans"/>
                <w:lang w:val="fr-FR"/>
              </w:rPr>
              <w:t>&gt;</w:t>
            </w:r>
            <w:r w:rsidR="005B4102" w:rsidRPr="005F6314">
              <w:rPr>
                <w:rFonts w:eastAsia="DejaVu Sans"/>
                <w:lang w:val="fr-FR"/>
              </w:rPr>
              <w:t xml:space="preserve">0,65 à </w:t>
            </w:r>
            <w:r w:rsidR="005B4102" w:rsidRPr="005F6314">
              <w:rPr>
                <w:rFonts w:eastAsia="DejaVu Sans"/>
                <w:lang w:val="fr-FR"/>
              </w:rPr>
              <w:sym w:font="Symbol" w:char="F0A3"/>
            </w:r>
            <w:r w:rsidR="005B4102" w:rsidRPr="005F6314">
              <w:rPr>
                <w:rFonts w:eastAsia="DejaVu Sans"/>
                <w:lang w:val="fr-FR"/>
              </w:rPr>
              <w:t>0,75</w:t>
            </w:r>
          </w:p>
        </w:tc>
      </w:tr>
      <w:tr w:rsidR="005B4102" w:rsidRPr="005F6314" w:rsidTr="003524B8">
        <w:trPr>
          <w:jc w:val="center"/>
        </w:trPr>
        <w:tc>
          <w:tcPr>
            <w:tcW w:w="2738" w:type="dxa"/>
            <w:tcBorders>
              <w:top w:val="single" w:sz="4" w:space="0" w:color="auto"/>
              <w:left w:val="single" w:sz="4" w:space="0" w:color="auto"/>
              <w:bottom w:val="single" w:sz="4" w:space="0" w:color="auto"/>
              <w:right w:val="single" w:sz="4" w:space="0" w:color="auto"/>
            </w:tcBorders>
            <w:hideMark/>
          </w:tcPr>
          <w:p w:rsidR="005B4102" w:rsidRPr="005F6314" w:rsidRDefault="005B4102" w:rsidP="003524B8">
            <w:pPr>
              <w:widowControl w:val="0"/>
              <w:spacing w:before="60" w:after="60" w:line="240" w:lineRule="auto"/>
              <w:textAlignment w:val="baseline"/>
              <w:rPr>
                <w:rFonts w:eastAsia="DejaVu Sans"/>
                <w:lang w:val="fr-FR"/>
              </w:rPr>
            </w:pPr>
            <w:r w:rsidRPr="005F6314">
              <w:rPr>
                <w:rFonts w:eastAsia="DejaVu Sans"/>
                <w:lang w:val="fr-FR"/>
              </w:rPr>
              <w:t>II B</w:t>
            </w:r>
          </w:p>
        </w:tc>
        <w:tc>
          <w:tcPr>
            <w:tcW w:w="2506" w:type="dxa"/>
            <w:tcBorders>
              <w:top w:val="single" w:sz="4" w:space="0" w:color="auto"/>
              <w:left w:val="single" w:sz="4" w:space="0" w:color="auto"/>
              <w:bottom w:val="single" w:sz="4" w:space="0" w:color="auto"/>
              <w:right w:val="single" w:sz="4" w:space="0" w:color="auto"/>
            </w:tcBorders>
            <w:hideMark/>
          </w:tcPr>
          <w:p w:rsidR="005B4102" w:rsidRPr="005F6314" w:rsidRDefault="005B4102" w:rsidP="003524B8">
            <w:pPr>
              <w:widowControl w:val="0"/>
              <w:spacing w:before="60" w:after="60" w:line="240" w:lineRule="auto"/>
              <w:textAlignment w:val="baseline"/>
              <w:rPr>
                <w:rFonts w:eastAsia="DejaVu Sans"/>
                <w:lang w:val="fr-FR"/>
              </w:rPr>
            </w:pPr>
            <w:r w:rsidRPr="005F6314">
              <w:rPr>
                <w:rFonts w:eastAsia="DejaVu Sans"/>
                <w:lang w:val="fr-FR"/>
              </w:rPr>
              <w:sym w:font="Symbol" w:char="F0B3"/>
            </w:r>
            <w:r w:rsidRPr="005F6314">
              <w:rPr>
                <w:rFonts w:eastAsia="DejaVu Sans"/>
                <w:lang w:val="fr-FR"/>
              </w:rPr>
              <w:t xml:space="preserve">0,5 à </w:t>
            </w:r>
            <w:r w:rsidRPr="005F6314">
              <w:rPr>
                <w:rFonts w:eastAsia="DejaVu Sans"/>
                <w:lang w:val="fr-FR"/>
              </w:rPr>
              <w:sym w:font="Symbol" w:char="F0A3"/>
            </w:r>
            <w:r w:rsidRPr="005F6314">
              <w:rPr>
                <w:rFonts w:eastAsia="DejaVu Sans"/>
                <w:lang w:val="fr-FR"/>
              </w:rPr>
              <w:t>0,65</w:t>
            </w:r>
          </w:p>
        </w:tc>
      </w:tr>
    </w:tbl>
    <w:p w:rsidR="005B4102" w:rsidRPr="005F6314" w:rsidRDefault="005B4102" w:rsidP="003524B8">
      <w:pPr>
        <w:pStyle w:val="SingleTxtG"/>
        <w:spacing w:before="120"/>
        <w:rPr>
          <w:lang w:val="fr-FR"/>
        </w:rPr>
      </w:pPr>
      <w:r w:rsidRPr="005F6314">
        <w:rPr>
          <w:lang w:val="fr-FR"/>
        </w:rPr>
        <w:t>Lorsque la protection contre les risques d</w:t>
      </w:r>
      <w:r>
        <w:rPr>
          <w:lang w:val="fr-FR"/>
        </w:rPr>
        <w:t>’</w:t>
      </w:r>
      <w:r w:rsidRPr="005F6314">
        <w:rPr>
          <w:lang w:val="fr-FR"/>
        </w:rPr>
        <w:t>explosion est exigée et que les données y</w:t>
      </w:r>
      <w:r w:rsidR="003524B8">
        <w:rPr>
          <w:lang w:val="fr-FR"/>
        </w:rPr>
        <w:t> </w:t>
      </w:r>
      <w:r w:rsidRPr="005F6314">
        <w:rPr>
          <w:lang w:val="fr-FR"/>
        </w:rPr>
        <w:t>relatives ne sont pas fournies, le groupe d</w:t>
      </w:r>
      <w:r>
        <w:rPr>
          <w:lang w:val="fr-FR"/>
        </w:rPr>
        <w:t>’</w:t>
      </w:r>
      <w:r w:rsidRPr="005F6314">
        <w:rPr>
          <w:lang w:val="fr-FR"/>
        </w:rPr>
        <w:t>explosion II B, e</w:t>
      </w:r>
      <w:r w:rsidR="003524B8">
        <w:rPr>
          <w:lang w:val="fr-FR"/>
        </w:rPr>
        <w:t>stimé sûr, doit être mentionné. </w:t>
      </w:r>
      <w:r w:rsidRPr="005F6314">
        <w:rPr>
          <w:lang w:val="fr-FR"/>
        </w:rPr>
        <w:t>».</w:t>
      </w:r>
    </w:p>
    <w:p w:rsidR="005B4102" w:rsidRPr="005F6314" w:rsidRDefault="005B4102" w:rsidP="005B4102">
      <w:pPr>
        <w:pStyle w:val="SingleTxtG"/>
        <w:rPr>
          <w:i/>
          <w:lang w:val="fr-FR"/>
        </w:rPr>
      </w:pPr>
      <w:r w:rsidRPr="003524B8">
        <w:rPr>
          <w:iCs/>
          <w:lang w:val="fr-FR"/>
        </w:rPr>
        <w:t>(</w:t>
      </w:r>
      <w:r w:rsidRPr="005F6314">
        <w:rPr>
          <w:i/>
          <w:lang w:val="fr-FR"/>
        </w:rPr>
        <w:t>Document de référence</w:t>
      </w:r>
      <w:r>
        <w:rPr>
          <w:i/>
          <w:lang w:val="fr-FR"/>
        </w:rPr>
        <w:t> </w:t>
      </w:r>
      <w:r w:rsidRPr="005F6314">
        <w:rPr>
          <w:i/>
          <w:iCs/>
          <w:lang w:val="fr-FR"/>
        </w:rPr>
        <w:t>: ECE/TRANS/WP.15/AC.2/2018/44</w:t>
      </w:r>
      <w:r w:rsidRPr="003524B8">
        <w:rPr>
          <w:lang w:val="fr-FR"/>
        </w:rPr>
        <w:t>)</w:t>
      </w:r>
    </w:p>
    <w:p w:rsidR="005B4102" w:rsidRPr="005F6314" w:rsidRDefault="005B4102" w:rsidP="005B4102">
      <w:pPr>
        <w:pStyle w:val="SingleTxtG"/>
        <w:rPr>
          <w:lang w:val="fr-FR"/>
        </w:rPr>
      </w:pPr>
      <w:r w:rsidRPr="005F6314">
        <w:rPr>
          <w:lang w:val="fr-FR"/>
        </w:rPr>
        <w:t>3.</w:t>
      </w:r>
      <w:r>
        <w:rPr>
          <w:lang w:val="fr-FR"/>
        </w:rPr>
        <w:t>2.3.3 et 3.2.4.3, colonne (20), m</w:t>
      </w:r>
      <w:r w:rsidRPr="005F6314">
        <w:rPr>
          <w:lang w:val="fr-FR"/>
        </w:rPr>
        <w:t>odifier l</w:t>
      </w:r>
      <w:r>
        <w:rPr>
          <w:lang w:val="fr-FR"/>
        </w:rPr>
        <w:t>’</w:t>
      </w:r>
      <w:r w:rsidRPr="005F6314">
        <w:rPr>
          <w:lang w:val="fr-FR"/>
        </w:rPr>
        <w:t>observation 27 pour lire comme suit</w:t>
      </w:r>
      <w:r>
        <w:rPr>
          <w:lang w:val="fr-FR"/>
        </w:rPr>
        <w:t> </w:t>
      </w:r>
      <w:r w:rsidRPr="005F6314">
        <w:rPr>
          <w:lang w:val="fr-FR"/>
        </w:rPr>
        <w:t>:</w:t>
      </w:r>
    </w:p>
    <w:p w:rsidR="005B4102" w:rsidRPr="005F6314" w:rsidRDefault="005B4102" w:rsidP="005B4102">
      <w:pPr>
        <w:pStyle w:val="SingleTxtG"/>
        <w:rPr>
          <w:lang w:val="fr-FR"/>
        </w:rPr>
      </w:pPr>
      <w:r w:rsidRPr="005F6314">
        <w:rPr>
          <w:lang w:val="fr-FR"/>
        </w:rPr>
        <w:t>« L</w:t>
      </w:r>
      <w:r>
        <w:rPr>
          <w:lang w:val="fr-FR"/>
        </w:rPr>
        <w:t>’</w:t>
      </w:r>
      <w:r w:rsidRPr="005F6314">
        <w:rPr>
          <w:lang w:val="fr-FR"/>
        </w:rPr>
        <w:t>observation 27 doit être mentionnée dans la colonne (20) pour les matières pour lesquelles la mention N.S.A. ou une dénomination générique est portée dans la colonne (2) et pour lesquelles les désignations officielles de transport ne sont pas déjà complétées par le nom technique de la marchandise ou par les renseignements complémentaires concernant la teneur en benzène. ».</w:t>
      </w:r>
    </w:p>
    <w:p w:rsidR="005B4102" w:rsidRPr="003524B8" w:rsidRDefault="005B4102" w:rsidP="005B4102">
      <w:pPr>
        <w:pStyle w:val="SingleTxtG"/>
        <w:rPr>
          <w:lang w:val="fr-FR"/>
        </w:rPr>
      </w:pPr>
      <w:r w:rsidRPr="003524B8">
        <w:rPr>
          <w:lang w:val="fr-FR"/>
        </w:rPr>
        <w:t>(</w:t>
      </w:r>
      <w:r w:rsidRPr="005F6314">
        <w:rPr>
          <w:i/>
          <w:lang w:val="fr-FR"/>
        </w:rPr>
        <w:t>Document de référence</w:t>
      </w:r>
      <w:r>
        <w:rPr>
          <w:i/>
          <w:lang w:val="fr-FR"/>
        </w:rPr>
        <w:t> </w:t>
      </w:r>
      <w:r w:rsidRPr="005F6314">
        <w:rPr>
          <w:i/>
          <w:lang w:val="fr-FR"/>
        </w:rPr>
        <w:t>: ECE/TRANS/WP.15/AC.2/2018/44</w:t>
      </w:r>
      <w:r w:rsidRPr="003524B8">
        <w:rPr>
          <w:lang w:val="fr-FR"/>
        </w:rPr>
        <w:t>)</w:t>
      </w:r>
    </w:p>
    <w:p w:rsidR="005B4102" w:rsidRPr="005F6314" w:rsidRDefault="005B4102" w:rsidP="005B4102">
      <w:pPr>
        <w:keepNext/>
        <w:keepLines/>
        <w:tabs>
          <w:tab w:val="right" w:pos="851"/>
        </w:tabs>
        <w:spacing w:before="240" w:after="120"/>
        <w:ind w:left="1134" w:right="1134" w:hanging="1134"/>
        <w:rPr>
          <w:b/>
          <w:lang w:val="fr-FR"/>
        </w:rPr>
      </w:pPr>
      <w:r w:rsidRPr="005F6314">
        <w:rPr>
          <w:b/>
          <w:lang w:val="fr-FR"/>
        </w:rPr>
        <w:tab/>
      </w:r>
      <w:r w:rsidRPr="005F6314">
        <w:rPr>
          <w:b/>
          <w:lang w:val="fr-FR"/>
        </w:rPr>
        <w:tab/>
        <w:t>Chapitre 5.4</w:t>
      </w:r>
    </w:p>
    <w:p w:rsidR="005B4102" w:rsidRPr="005F6314" w:rsidRDefault="00892C21" w:rsidP="00892C21">
      <w:pPr>
        <w:pStyle w:val="SingleTxtG"/>
        <w:keepNext/>
        <w:rPr>
          <w:lang w:val="fr-FR"/>
        </w:rPr>
      </w:pPr>
      <w:r>
        <w:rPr>
          <w:lang w:val="fr-FR"/>
        </w:rPr>
        <w:t>5.4.3.2</w:t>
      </w:r>
      <w:proofErr w:type="gramStart"/>
      <w:r>
        <w:rPr>
          <w:lang w:val="fr-FR"/>
        </w:rPr>
        <w:tab/>
        <w:t xml:space="preserve">  </w:t>
      </w:r>
      <w:r w:rsidR="005B4102" w:rsidRPr="005F6314">
        <w:rPr>
          <w:lang w:val="fr-FR"/>
        </w:rPr>
        <w:t>Modifier</w:t>
      </w:r>
      <w:proofErr w:type="gramEnd"/>
      <w:r w:rsidR="005B4102" w:rsidRPr="005F6314">
        <w:rPr>
          <w:lang w:val="fr-FR"/>
        </w:rPr>
        <w:t xml:space="preserve"> pour lire comme suit</w:t>
      </w:r>
      <w:r w:rsidR="005B4102">
        <w:rPr>
          <w:lang w:val="fr-FR"/>
        </w:rPr>
        <w:t> </w:t>
      </w:r>
      <w:r w:rsidR="005B4102" w:rsidRPr="005F6314">
        <w:rPr>
          <w:lang w:val="fr-FR"/>
        </w:rPr>
        <w:t>:</w:t>
      </w:r>
    </w:p>
    <w:p w:rsidR="005B4102" w:rsidRPr="005F6314" w:rsidRDefault="005B4102" w:rsidP="00892C21">
      <w:pPr>
        <w:pStyle w:val="SingleTxtG"/>
        <w:ind w:left="2268" w:hanging="1134"/>
        <w:rPr>
          <w:lang w:val="fr-FR"/>
        </w:rPr>
      </w:pPr>
      <w:r w:rsidRPr="005F6314">
        <w:rPr>
          <w:lang w:val="fr-FR"/>
        </w:rPr>
        <w:t>«</w:t>
      </w:r>
      <w:r>
        <w:rPr>
          <w:lang w:val="fr-FR"/>
        </w:rPr>
        <w:t> </w:t>
      </w:r>
      <w:r w:rsidRPr="005F6314">
        <w:rPr>
          <w:lang w:val="fr-FR"/>
        </w:rPr>
        <w:t>5.4.3.2</w:t>
      </w:r>
      <w:r w:rsidRPr="005F6314">
        <w:rPr>
          <w:lang w:val="fr-FR"/>
        </w:rPr>
        <w:tab/>
        <w:t>Ces consignes doivent être remises par le transporteur au conducteur avant le chargement, dans une (des) langue(s) que le conducteur et l</w:t>
      </w:r>
      <w:r>
        <w:rPr>
          <w:lang w:val="fr-FR"/>
        </w:rPr>
        <w:t>’</w:t>
      </w:r>
      <w:r w:rsidRPr="005F6314">
        <w:rPr>
          <w:lang w:val="fr-FR"/>
        </w:rPr>
        <w:t>expert peuvent lire et comprendre. Le conducteur doit s</w:t>
      </w:r>
      <w:r>
        <w:rPr>
          <w:lang w:val="fr-FR"/>
        </w:rPr>
        <w:t>’</w:t>
      </w:r>
      <w:r w:rsidRPr="005F6314">
        <w:rPr>
          <w:lang w:val="fr-FR"/>
        </w:rPr>
        <w:t>assurer que chaque membre de l</w:t>
      </w:r>
      <w:r>
        <w:rPr>
          <w:lang w:val="fr-FR"/>
        </w:rPr>
        <w:t>’</w:t>
      </w:r>
      <w:r w:rsidRPr="005F6314">
        <w:rPr>
          <w:lang w:val="fr-FR"/>
        </w:rPr>
        <w:t>équipage et toute autre personne à bord concernée comprend les consignes et est capable de les appliquer correctement.</w:t>
      </w:r>
      <w:r w:rsidR="00892C21">
        <w:rPr>
          <w:lang w:val="fr-FR"/>
        </w:rPr>
        <w:t> </w:t>
      </w:r>
      <w:r w:rsidRPr="005F6314">
        <w:rPr>
          <w:lang w:val="fr-FR"/>
        </w:rPr>
        <w:t>».</w:t>
      </w:r>
    </w:p>
    <w:p w:rsidR="005B4102" w:rsidRPr="005F6314" w:rsidRDefault="005B4102" w:rsidP="005B4102">
      <w:pPr>
        <w:pStyle w:val="SingleTxtG"/>
        <w:rPr>
          <w:i/>
          <w:lang w:val="fr-FR"/>
        </w:rPr>
      </w:pPr>
      <w:r w:rsidRPr="00892C21">
        <w:rPr>
          <w:lang w:val="fr-FR"/>
        </w:rPr>
        <w:t>(</w:t>
      </w:r>
      <w:r w:rsidRPr="005F6314">
        <w:rPr>
          <w:i/>
          <w:lang w:val="fr-FR"/>
        </w:rPr>
        <w:t>Document de référence</w:t>
      </w:r>
      <w:r>
        <w:rPr>
          <w:i/>
          <w:lang w:val="fr-FR"/>
        </w:rPr>
        <w:t> </w:t>
      </w:r>
      <w:r w:rsidRPr="005F6314">
        <w:rPr>
          <w:i/>
          <w:lang w:val="fr-FR"/>
        </w:rPr>
        <w:t>: ECE/TRANS/WP.15/AC.2/2018/40</w:t>
      </w:r>
      <w:r w:rsidRPr="00892C21">
        <w:rPr>
          <w:lang w:val="fr-FR"/>
        </w:rPr>
        <w:t>)</w:t>
      </w:r>
    </w:p>
    <w:p w:rsidR="005B4102" w:rsidRPr="005F6314" w:rsidRDefault="005B4102" w:rsidP="005B4102">
      <w:pPr>
        <w:keepNext/>
        <w:keepLines/>
        <w:tabs>
          <w:tab w:val="right" w:pos="851"/>
        </w:tabs>
        <w:spacing w:before="240" w:after="120"/>
        <w:ind w:left="1134" w:right="1134" w:hanging="1134"/>
        <w:rPr>
          <w:b/>
          <w:lang w:val="fr-FR"/>
        </w:rPr>
      </w:pPr>
      <w:r w:rsidRPr="005F6314">
        <w:rPr>
          <w:b/>
          <w:lang w:val="fr-FR"/>
        </w:rPr>
        <w:tab/>
      </w:r>
      <w:r w:rsidRPr="005F6314">
        <w:rPr>
          <w:b/>
          <w:lang w:val="fr-FR"/>
        </w:rPr>
        <w:tab/>
        <w:t>Chapitre 7.2</w:t>
      </w:r>
    </w:p>
    <w:p w:rsidR="005B4102" w:rsidRDefault="005B4102" w:rsidP="00892C21">
      <w:pPr>
        <w:pStyle w:val="SingleTxtG"/>
        <w:keepNext/>
        <w:ind w:left="1985" w:hanging="851"/>
        <w:rPr>
          <w:iCs/>
          <w:lang w:val="fr-FR"/>
        </w:rPr>
      </w:pPr>
      <w:r>
        <w:rPr>
          <w:iCs/>
          <w:lang w:val="fr-FR"/>
        </w:rPr>
        <w:t>7.2.4.25.5, deuxième tiret, m</w:t>
      </w:r>
      <w:r w:rsidRPr="005F6314">
        <w:rPr>
          <w:iCs/>
          <w:lang w:val="fr-FR"/>
        </w:rPr>
        <w:t>odifier la dernière phrase pour lire comme suit</w:t>
      </w:r>
      <w:r>
        <w:rPr>
          <w:iCs/>
          <w:lang w:val="fr-FR"/>
        </w:rPr>
        <w:t> </w:t>
      </w:r>
      <w:r w:rsidRPr="005F6314">
        <w:rPr>
          <w:iCs/>
          <w:lang w:val="fr-FR"/>
        </w:rPr>
        <w:t xml:space="preserve">: </w:t>
      </w:r>
    </w:p>
    <w:p w:rsidR="005B4102" w:rsidRPr="005F6314" w:rsidRDefault="00892C21" w:rsidP="005B4102">
      <w:pPr>
        <w:pStyle w:val="SingleTxtG"/>
        <w:rPr>
          <w:i/>
          <w:lang w:val="fr-FR"/>
        </w:rPr>
      </w:pPr>
      <w:r>
        <w:rPr>
          <w:lang w:val="fr-FR"/>
        </w:rPr>
        <w:t>« </w:t>
      </w:r>
      <w:r w:rsidR="005B4102" w:rsidRPr="005F6314">
        <w:rPr>
          <w:lang w:val="fr-FR"/>
        </w:rPr>
        <w:t>Si ces conditions ne sont pas remplies et que la conduite de retour des gaz n</w:t>
      </w:r>
      <w:r w:rsidR="005B4102">
        <w:rPr>
          <w:lang w:val="fr-FR"/>
        </w:rPr>
        <w:t>’</w:t>
      </w:r>
      <w:r w:rsidR="005B4102" w:rsidRPr="005F6314">
        <w:rPr>
          <w:lang w:val="fr-FR"/>
        </w:rPr>
        <w:t>est pas utilisée, les concentrations mesurées doive</w:t>
      </w:r>
      <w:r>
        <w:rPr>
          <w:lang w:val="fr-FR"/>
        </w:rPr>
        <w:t>nt être enregistrées par écrit. </w:t>
      </w:r>
      <w:r w:rsidR="005B4102" w:rsidRPr="005F6314">
        <w:rPr>
          <w:lang w:val="fr-FR"/>
        </w:rPr>
        <w:t>».</w:t>
      </w:r>
    </w:p>
    <w:p w:rsidR="005B4102" w:rsidRPr="005F6314" w:rsidRDefault="005B4102" w:rsidP="005B4102">
      <w:pPr>
        <w:pStyle w:val="SingleTxtG"/>
        <w:rPr>
          <w:i/>
          <w:lang w:val="fr-FR"/>
        </w:rPr>
      </w:pPr>
      <w:r w:rsidRPr="00892C21">
        <w:rPr>
          <w:lang w:val="fr-FR"/>
        </w:rPr>
        <w:t>(</w:t>
      </w:r>
      <w:r w:rsidRPr="005F6314">
        <w:rPr>
          <w:i/>
          <w:lang w:val="fr-FR"/>
        </w:rPr>
        <w:t>Document de référence</w:t>
      </w:r>
      <w:r>
        <w:rPr>
          <w:i/>
          <w:lang w:val="fr-FR"/>
        </w:rPr>
        <w:t> </w:t>
      </w:r>
      <w:r w:rsidRPr="005F6314">
        <w:rPr>
          <w:i/>
          <w:lang w:val="fr-FR"/>
        </w:rPr>
        <w:t>: document informel INF.26</w:t>
      </w:r>
      <w:r w:rsidRPr="00892C21">
        <w:rPr>
          <w:lang w:val="fr-FR"/>
        </w:rPr>
        <w:t>)</w:t>
      </w:r>
    </w:p>
    <w:p w:rsidR="005B4102" w:rsidRPr="005F6314" w:rsidRDefault="005B4102" w:rsidP="005B4102">
      <w:pPr>
        <w:keepNext/>
        <w:keepLines/>
        <w:tabs>
          <w:tab w:val="right" w:pos="851"/>
        </w:tabs>
        <w:spacing w:before="240" w:after="120"/>
        <w:ind w:left="1134" w:right="1134" w:hanging="1134"/>
        <w:rPr>
          <w:b/>
          <w:lang w:val="fr-FR"/>
        </w:rPr>
      </w:pPr>
      <w:r w:rsidRPr="005F6314">
        <w:rPr>
          <w:b/>
          <w:lang w:val="fr-FR"/>
        </w:rPr>
        <w:lastRenderedPageBreak/>
        <w:tab/>
      </w:r>
      <w:r w:rsidRPr="005F6314">
        <w:rPr>
          <w:b/>
          <w:lang w:val="fr-FR"/>
        </w:rPr>
        <w:tab/>
        <w:t>Chapitre 9.3</w:t>
      </w:r>
    </w:p>
    <w:p w:rsidR="005B4102" w:rsidRPr="005F6314" w:rsidRDefault="005B4102" w:rsidP="001215D7">
      <w:pPr>
        <w:pStyle w:val="SingleTxtG"/>
        <w:keepNext/>
        <w:rPr>
          <w:lang w:val="fr-FR"/>
        </w:rPr>
      </w:pPr>
      <w:r>
        <w:rPr>
          <w:lang w:val="fr-FR"/>
        </w:rPr>
        <w:t>9.3.2.22.4 b), m</w:t>
      </w:r>
      <w:r w:rsidRPr="005F6314">
        <w:rPr>
          <w:lang w:val="fr-FR"/>
        </w:rPr>
        <w:t>odifier pour lire comme suit</w:t>
      </w:r>
      <w:r>
        <w:rPr>
          <w:lang w:val="fr-FR"/>
        </w:rPr>
        <w:t> </w:t>
      </w:r>
      <w:r w:rsidRPr="005F6314">
        <w:rPr>
          <w:lang w:val="fr-FR"/>
        </w:rPr>
        <w:t>:</w:t>
      </w:r>
    </w:p>
    <w:p w:rsidR="005B4102" w:rsidRPr="005F6314" w:rsidRDefault="001215D7" w:rsidP="001215D7">
      <w:pPr>
        <w:pStyle w:val="SingleTxtG"/>
        <w:ind w:left="2835" w:hanging="567"/>
        <w:rPr>
          <w:lang w:val="fr-FR"/>
        </w:rPr>
      </w:pPr>
      <w:proofErr w:type="gramStart"/>
      <w:r>
        <w:rPr>
          <w:lang w:val="fr-FR"/>
        </w:rPr>
        <w:t>« </w:t>
      </w:r>
      <w:r w:rsidR="005B4102" w:rsidRPr="005F6314">
        <w:rPr>
          <w:lang w:val="fr-FR"/>
        </w:rPr>
        <w:t xml:space="preserve"> b</w:t>
      </w:r>
      <w:proofErr w:type="gramEnd"/>
      <w:r w:rsidR="005B4102" w:rsidRPr="005F6314">
        <w:rPr>
          <w:lang w:val="fr-FR"/>
        </w:rPr>
        <w:t>)</w:t>
      </w:r>
      <w:r w:rsidR="005B4102" w:rsidRPr="005F6314">
        <w:rPr>
          <w:lang w:val="fr-FR"/>
        </w:rPr>
        <w:tab/>
        <w:t>Lorsque la liste des matières du bateau selon 1.16.1.2.5 doit contenir des matières pour lesquelles la protection contre les explosions est exigée selon la colonne (1</w:t>
      </w:r>
      <w:r>
        <w:rPr>
          <w:lang w:val="fr-FR"/>
        </w:rPr>
        <w:t>7) du tableau C du chapitre 3.2 :</w:t>
      </w:r>
    </w:p>
    <w:p w:rsidR="005B4102" w:rsidRPr="005F6314" w:rsidRDefault="001215D7" w:rsidP="005B1FC0">
      <w:pPr>
        <w:pStyle w:val="Bullet2G"/>
        <w:ind w:left="3119" w:hanging="284"/>
        <w:rPr>
          <w:lang w:val="fr-FR"/>
        </w:rPr>
      </w:pPr>
      <w:r>
        <w:rPr>
          <w:lang w:val="fr-FR"/>
        </w:rPr>
        <w:t>L</w:t>
      </w:r>
      <w:r w:rsidR="005B4102" w:rsidRPr="005F6314">
        <w:rPr>
          <w:lang w:val="fr-FR"/>
        </w:rPr>
        <w:t>a conduite d</w:t>
      </w:r>
      <w:r w:rsidR="005B4102">
        <w:rPr>
          <w:lang w:val="fr-FR"/>
        </w:rPr>
        <w:t>’</w:t>
      </w:r>
      <w:r w:rsidR="005B4102" w:rsidRPr="005F6314">
        <w:rPr>
          <w:lang w:val="fr-FR"/>
        </w:rPr>
        <w:t>évacuation de gaz au niveau du raccordement à chaque citerne de cargaison ainsi que la soupape de dépression doivent être équipées d</w:t>
      </w:r>
      <w:r w:rsidR="005B4102">
        <w:rPr>
          <w:lang w:val="fr-FR"/>
        </w:rPr>
        <w:t>’</w:t>
      </w:r>
      <w:r w:rsidR="005B4102" w:rsidRPr="005F6314">
        <w:rPr>
          <w:lang w:val="fr-FR"/>
        </w:rPr>
        <w:t>un coupe-flammes résistant à une détonation</w:t>
      </w:r>
      <w:r w:rsidR="005B4102">
        <w:rPr>
          <w:lang w:val="fr-FR"/>
        </w:rPr>
        <w:t> </w:t>
      </w:r>
      <w:r w:rsidR="005B4102" w:rsidRPr="005F6314">
        <w:rPr>
          <w:lang w:val="fr-FR"/>
        </w:rPr>
        <w:t>; et</w:t>
      </w:r>
    </w:p>
    <w:p w:rsidR="005B4102" w:rsidRPr="005F6314" w:rsidRDefault="001215D7" w:rsidP="005B1FC0">
      <w:pPr>
        <w:pStyle w:val="Bullet2G"/>
        <w:ind w:left="3119" w:hanging="284"/>
        <w:rPr>
          <w:lang w:val="fr-FR"/>
        </w:rPr>
      </w:pPr>
      <w:r>
        <w:rPr>
          <w:lang w:val="fr-FR"/>
        </w:rPr>
        <w:t>L</w:t>
      </w:r>
      <w:r w:rsidR="005B4102" w:rsidRPr="005F6314">
        <w:rPr>
          <w:lang w:val="fr-FR"/>
        </w:rPr>
        <w:t>e dispositif de décompression en toute sécurité des citernes à cargaison doit être conçu pour résister à la déflagration et au feu continu</w:t>
      </w:r>
      <w:r w:rsidR="005B4102">
        <w:rPr>
          <w:lang w:val="fr-FR"/>
        </w:rPr>
        <w:t> </w:t>
      </w:r>
      <w:r w:rsidR="005B4102" w:rsidRPr="005F6314">
        <w:rPr>
          <w:lang w:val="fr-FR"/>
        </w:rPr>
        <w:t>; ».</w:t>
      </w:r>
    </w:p>
    <w:p w:rsidR="005B4102" w:rsidRPr="005F6314" w:rsidRDefault="005B4102" w:rsidP="005B4102">
      <w:pPr>
        <w:pStyle w:val="SingleTxtG"/>
        <w:rPr>
          <w:i/>
          <w:lang w:val="fr-FR"/>
        </w:rPr>
      </w:pPr>
      <w:r w:rsidRPr="004E5C62">
        <w:rPr>
          <w:lang w:val="fr-FR"/>
        </w:rPr>
        <w:t>(</w:t>
      </w:r>
      <w:r w:rsidRPr="005F6314">
        <w:rPr>
          <w:i/>
          <w:lang w:val="fr-FR"/>
        </w:rPr>
        <w:t>Document de référence</w:t>
      </w:r>
      <w:r>
        <w:rPr>
          <w:i/>
          <w:lang w:val="fr-FR"/>
        </w:rPr>
        <w:t> </w:t>
      </w:r>
      <w:r w:rsidRPr="005F6314">
        <w:rPr>
          <w:i/>
          <w:lang w:val="fr-FR"/>
        </w:rPr>
        <w:t>: ECE/TRANS/WP.15/AC.2/2018/32</w:t>
      </w:r>
      <w:r w:rsidRPr="004E5C62">
        <w:rPr>
          <w:lang w:val="fr-FR"/>
        </w:rPr>
        <w:t>)</w:t>
      </w:r>
    </w:p>
    <w:p w:rsidR="005B4102" w:rsidRPr="005F6314" w:rsidRDefault="005B4102" w:rsidP="004E5C62">
      <w:pPr>
        <w:pStyle w:val="SingleTxtG"/>
        <w:keepNext/>
        <w:rPr>
          <w:lang w:val="fr-FR"/>
        </w:rPr>
      </w:pPr>
      <w:r>
        <w:rPr>
          <w:lang w:val="fr-FR"/>
        </w:rPr>
        <w:t>9.3.2.22.4 e), m</w:t>
      </w:r>
      <w:r w:rsidRPr="005F6314">
        <w:rPr>
          <w:lang w:val="fr-FR"/>
        </w:rPr>
        <w:t>odifier le premier paragraphe pour lire comme suit</w:t>
      </w:r>
      <w:r>
        <w:rPr>
          <w:lang w:val="fr-FR"/>
        </w:rPr>
        <w:t> </w:t>
      </w:r>
      <w:r w:rsidRPr="005F6314">
        <w:rPr>
          <w:lang w:val="fr-FR"/>
        </w:rPr>
        <w:t>:</w:t>
      </w:r>
    </w:p>
    <w:p w:rsidR="005B4102" w:rsidRPr="004E5C62" w:rsidRDefault="005B4102" w:rsidP="005B4102">
      <w:pPr>
        <w:pStyle w:val="SingleTxtG"/>
        <w:rPr>
          <w:spacing w:val="-1"/>
          <w:lang w:val="fr-FR"/>
        </w:rPr>
      </w:pPr>
      <w:r w:rsidRPr="004E5C62">
        <w:rPr>
          <w:spacing w:val="-1"/>
          <w:lang w:val="fr-FR"/>
        </w:rPr>
        <w:t>«</w:t>
      </w:r>
      <w:r w:rsidR="004E5C62" w:rsidRPr="004E5C62">
        <w:rPr>
          <w:spacing w:val="-1"/>
          <w:lang w:val="fr-FR" w:eastAsia="fr-FR"/>
        </w:rPr>
        <w:t> </w:t>
      </w:r>
      <w:r w:rsidRPr="004E5C62">
        <w:rPr>
          <w:spacing w:val="-1"/>
          <w:lang w:val="fr-FR" w:eastAsia="fr-FR"/>
        </w:rPr>
        <w:t>Les systèmes de protection autonomes visés aux alinéas b) et c) doivent être sélectionnés en fonction des groupes/sous-groupes d’explosion auxquels appartiennent les matières prévues dans la liste des matières du bateau (voir colonn</w:t>
      </w:r>
      <w:r w:rsidR="004E5C62">
        <w:rPr>
          <w:spacing w:val="-1"/>
          <w:lang w:val="fr-FR" w:eastAsia="fr-FR"/>
        </w:rPr>
        <w:t>e (16) du tableau C du chapitre </w:t>
      </w:r>
      <w:r w:rsidRPr="004E5C62">
        <w:rPr>
          <w:spacing w:val="-1"/>
          <w:lang w:val="fr-FR" w:eastAsia="fr-FR"/>
        </w:rPr>
        <w:t>3.2). Les orifices des soupapes de dégagement à grande vitesse doivent être situés à 2,00 m au moins au-dessus du pont et à une distance de 6,00</w:t>
      </w:r>
      <w:r w:rsidR="004E5C62" w:rsidRPr="004E5C62">
        <w:rPr>
          <w:spacing w:val="-1"/>
          <w:lang w:val="fr-FR" w:eastAsia="fr-FR"/>
        </w:rPr>
        <w:t> </w:t>
      </w:r>
      <w:r w:rsidRPr="004E5C62">
        <w:rPr>
          <w:spacing w:val="-1"/>
          <w:lang w:val="fr-FR" w:eastAsia="fr-FR"/>
        </w:rPr>
        <w:t>m au moins des ouvertures de logements, de la timonerie et de locaux de service situés en dehors de la zone de cargaison. Cette hauteur peut être réduite à 1,00 m, lorsque dans un cercle de 1,00 m de rayon autour de l’orifice de dégagement il n’y a aucune installation de commande. Cette zone doit être signalisée en tant que zone de danger ;</w:t>
      </w:r>
      <w:r w:rsidR="004E5C62" w:rsidRPr="004E5C62">
        <w:rPr>
          <w:spacing w:val="-1"/>
          <w:lang w:val="fr-FR"/>
        </w:rPr>
        <w:t> </w:t>
      </w:r>
      <w:r w:rsidRPr="004E5C62">
        <w:rPr>
          <w:spacing w:val="-1"/>
          <w:lang w:val="fr-FR"/>
        </w:rPr>
        <w:t>».</w:t>
      </w:r>
    </w:p>
    <w:p w:rsidR="005B4102" w:rsidRDefault="005B4102" w:rsidP="005B4102">
      <w:pPr>
        <w:pStyle w:val="SingleTxtG"/>
        <w:rPr>
          <w:i/>
          <w:lang w:val="fr-FR"/>
        </w:rPr>
      </w:pPr>
      <w:r w:rsidRPr="004E5C62">
        <w:rPr>
          <w:lang w:val="fr-FR"/>
        </w:rPr>
        <w:t>(</w:t>
      </w:r>
      <w:r w:rsidRPr="005F6314">
        <w:rPr>
          <w:i/>
          <w:lang w:val="fr-FR"/>
        </w:rPr>
        <w:t>Document de référence</w:t>
      </w:r>
      <w:r>
        <w:rPr>
          <w:i/>
          <w:lang w:val="fr-FR"/>
        </w:rPr>
        <w:t> </w:t>
      </w:r>
      <w:r w:rsidRPr="005F6314">
        <w:rPr>
          <w:i/>
          <w:lang w:val="fr-FR"/>
        </w:rPr>
        <w:t>: ECE/TRANS/WP.15/AC.2/2018/32</w:t>
      </w:r>
      <w:r w:rsidRPr="004E5C62">
        <w:rPr>
          <w:lang w:val="fr-FR"/>
        </w:rPr>
        <w:t>)</w:t>
      </w:r>
    </w:p>
    <w:bookmarkEnd w:id="1"/>
    <w:p w:rsidR="005B4102" w:rsidRDefault="005B4102" w:rsidP="00A762E7">
      <w:pPr>
        <w:pStyle w:val="HChG"/>
      </w:pPr>
      <w:r w:rsidRPr="009236E9">
        <w:br w:type="page"/>
      </w:r>
      <w:bookmarkStart w:id="5" w:name="_Toc397351332"/>
      <w:r w:rsidRPr="009236E9">
        <w:lastRenderedPageBreak/>
        <w:t>Annex</w:t>
      </w:r>
      <w:r>
        <w:t>e</w:t>
      </w:r>
      <w:r w:rsidRPr="009236E9">
        <w:t xml:space="preserve"> I</w:t>
      </w:r>
      <w:bookmarkEnd w:id="5"/>
      <w:r w:rsidRPr="009236E9">
        <w:t>I</w:t>
      </w:r>
    </w:p>
    <w:p w:rsidR="005B4102" w:rsidRPr="00DD6A1F" w:rsidRDefault="005B4102" w:rsidP="004E5C62">
      <w:pPr>
        <w:pStyle w:val="SingleTxtG"/>
        <w:jc w:val="right"/>
      </w:pPr>
      <w:r>
        <w:t>[</w:t>
      </w:r>
      <w:r w:rsidRPr="004E5C62">
        <w:rPr>
          <w:i/>
        </w:rPr>
        <w:t>Original : anglais et français</w:t>
      </w:r>
      <w:r>
        <w:t>]</w:t>
      </w:r>
    </w:p>
    <w:p w:rsidR="005B4102" w:rsidRPr="009236E9" w:rsidRDefault="005B4102" w:rsidP="00093FBD">
      <w:pPr>
        <w:pStyle w:val="HChG"/>
      </w:pPr>
      <w:r w:rsidRPr="009236E9">
        <w:tab/>
      </w:r>
      <w:r w:rsidRPr="009236E9">
        <w:tab/>
      </w:r>
      <w:r>
        <w:t xml:space="preserve">Projet d’amendements au Règlement annexé à l’ADN </w:t>
      </w:r>
      <w:r w:rsidR="00093FBD">
        <w:br/>
      </w:r>
      <w:r>
        <w:t xml:space="preserve">pour </w:t>
      </w:r>
      <w:proofErr w:type="spellStart"/>
      <w:r>
        <w:t>entrée</w:t>
      </w:r>
      <w:proofErr w:type="spellEnd"/>
      <w:r>
        <w:t xml:space="preserve"> en vigueur le 1</w:t>
      </w:r>
      <w:r w:rsidRPr="00B71EB8">
        <w:rPr>
          <w:vertAlign w:val="superscript"/>
        </w:rPr>
        <w:t>er</w:t>
      </w:r>
      <w:r w:rsidR="00093FBD">
        <w:t> </w:t>
      </w:r>
      <w:r>
        <w:t>janvier 2019</w:t>
      </w:r>
    </w:p>
    <w:p w:rsidR="00DD60D2" w:rsidRDefault="005B4102" w:rsidP="00093FBD">
      <w:pPr>
        <w:pStyle w:val="SingleTxtG"/>
      </w:pPr>
      <w:r w:rsidRPr="00F54F0B">
        <w:t>(</w:t>
      </w:r>
      <w:r w:rsidR="00093FBD">
        <w:t>V</w:t>
      </w:r>
      <w:r>
        <w:t>oir le document</w:t>
      </w:r>
      <w:r w:rsidRPr="00F54F0B">
        <w:t xml:space="preserve"> ECE/ADN/45/Add.1)</w:t>
      </w:r>
    </w:p>
    <w:p w:rsidR="005B4102" w:rsidRDefault="00DD60D2" w:rsidP="00DD60D2">
      <w:pPr>
        <w:pStyle w:val="HChG"/>
      </w:pPr>
      <w:r>
        <w:br w:type="page"/>
      </w:r>
      <w:bookmarkStart w:id="6" w:name="_Toc397351334"/>
      <w:r w:rsidR="005B4102" w:rsidRPr="009236E9">
        <w:lastRenderedPageBreak/>
        <w:t>Annex</w:t>
      </w:r>
      <w:r w:rsidR="005B4102">
        <w:t>e</w:t>
      </w:r>
      <w:r w:rsidR="005B4102" w:rsidRPr="009236E9">
        <w:t xml:space="preserve"> II</w:t>
      </w:r>
      <w:bookmarkEnd w:id="6"/>
      <w:r w:rsidR="005B4102" w:rsidRPr="009236E9">
        <w:t>I</w:t>
      </w:r>
    </w:p>
    <w:p w:rsidR="005B4102" w:rsidRPr="00DD6A1F" w:rsidRDefault="005B4102" w:rsidP="00093FBD">
      <w:pPr>
        <w:pStyle w:val="SingleTxtG"/>
        <w:jc w:val="right"/>
      </w:pPr>
      <w:r>
        <w:t>[</w:t>
      </w:r>
      <w:r w:rsidRPr="00093FBD">
        <w:rPr>
          <w:i/>
        </w:rPr>
        <w:t>Original : anglais et français</w:t>
      </w:r>
      <w:r>
        <w:t>]</w:t>
      </w:r>
    </w:p>
    <w:p w:rsidR="005B4102" w:rsidRPr="009236E9" w:rsidRDefault="005B4102" w:rsidP="00DD60D2">
      <w:pPr>
        <w:pStyle w:val="HChG"/>
      </w:pPr>
      <w:r w:rsidRPr="009236E9">
        <w:tab/>
      </w:r>
      <w:r w:rsidRPr="009236E9">
        <w:tab/>
      </w:r>
      <w:r>
        <w:t xml:space="preserve">Projet de rectificatif aux amendements au Règlement annexé à l’ADN pour </w:t>
      </w:r>
      <w:proofErr w:type="spellStart"/>
      <w:r>
        <w:t>entrée</w:t>
      </w:r>
      <w:proofErr w:type="spellEnd"/>
      <w:r>
        <w:t xml:space="preserve"> en vigueur le 1</w:t>
      </w:r>
      <w:r w:rsidRPr="00B71EB8">
        <w:rPr>
          <w:vertAlign w:val="superscript"/>
        </w:rPr>
        <w:t>er</w:t>
      </w:r>
      <w:r w:rsidR="00093FBD">
        <w:t> </w:t>
      </w:r>
      <w:r>
        <w:t>janvier 2019</w:t>
      </w:r>
    </w:p>
    <w:p w:rsidR="005B4102" w:rsidRPr="00F54F0B" w:rsidRDefault="005B4102" w:rsidP="00FA4E25">
      <w:pPr>
        <w:pStyle w:val="SingleTxtG"/>
      </w:pPr>
      <w:r w:rsidRPr="00F54F0B">
        <w:t>(</w:t>
      </w:r>
      <w:r w:rsidR="00093FBD">
        <w:t>V</w:t>
      </w:r>
      <w:r>
        <w:t>oir le document</w:t>
      </w:r>
      <w:r w:rsidRPr="00F54F0B">
        <w:t xml:space="preserve"> ECE/ADN/45/Corr.1)</w:t>
      </w:r>
    </w:p>
    <w:p w:rsidR="005B4102" w:rsidRDefault="005B4102" w:rsidP="00DD60D2">
      <w:pPr>
        <w:pStyle w:val="HChG"/>
      </w:pPr>
      <w:r w:rsidRPr="009236E9">
        <w:br w:type="page"/>
      </w:r>
      <w:r w:rsidRPr="009236E9">
        <w:lastRenderedPageBreak/>
        <w:t>Annex</w:t>
      </w:r>
      <w:r>
        <w:t>e</w:t>
      </w:r>
      <w:r w:rsidRPr="009236E9">
        <w:t xml:space="preserve"> IV</w:t>
      </w:r>
    </w:p>
    <w:p w:rsidR="005B4102" w:rsidRPr="00DD6A1F" w:rsidRDefault="005B4102" w:rsidP="00DD60D2">
      <w:pPr>
        <w:pStyle w:val="SingleTxtG"/>
        <w:jc w:val="right"/>
      </w:pPr>
      <w:r>
        <w:t>[</w:t>
      </w:r>
      <w:r w:rsidRPr="00DD60D2">
        <w:rPr>
          <w:i/>
        </w:rPr>
        <w:t>Original : anglais et français</w:t>
      </w:r>
      <w:r>
        <w:t>]</w:t>
      </w:r>
    </w:p>
    <w:p w:rsidR="005B4102" w:rsidRPr="00B92223" w:rsidRDefault="005B4102" w:rsidP="00DD60D2">
      <w:pPr>
        <w:pStyle w:val="HChG"/>
        <w:rPr>
          <w:b w:val="0"/>
        </w:rPr>
      </w:pPr>
      <w:r w:rsidRPr="009236E9">
        <w:tab/>
      </w:r>
      <w:r w:rsidRPr="009236E9">
        <w:tab/>
      </w:r>
      <w:r>
        <w:t xml:space="preserve">Propositions de corrections au Règlement annexé à l’ADN </w:t>
      </w:r>
      <w:r w:rsidRPr="00B92223">
        <w:rPr>
          <w:b w:val="0"/>
          <w:bCs/>
          <w:sz w:val="22"/>
          <w:szCs w:val="16"/>
        </w:rPr>
        <w:t>(sous réserve d’acceptation par les Parties contractantes)</w:t>
      </w:r>
    </w:p>
    <w:p w:rsidR="005B4102" w:rsidRPr="005F6314" w:rsidRDefault="005B4102" w:rsidP="005C3E06">
      <w:pPr>
        <w:pStyle w:val="H23G"/>
        <w:rPr>
          <w:lang w:val="fr-FR"/>
        </w:rPr>
      </w:pPr>
      <w:r w:rsidRPr="009236E9">
        <w:tab/>
      </w:r>
      <w:r w:rsidRPr="005F6314">
        <w:rPr>
          <w:lang w:val="fr-FR"/>
        </w:rPr>
        <w:t>1.</w:t>
      </w:r>
      <w:r w:rsidRPr="005F6314">
        <w:rPr>
          <w:lang w:val="fr-FR"/>
        </w:rPr>
        <w:tab/>
        <w:t>Chapitre 1.8, 1.8.5.3 a)</w:t>
      </w:r>
    </w:p>
    <w:p w:rsidR="005B4102" w:rsidRPr="005F6314" w:rsidRDefault="005B4102" w:rsidP="005C3E06">
      <w:pPr>
        <w:pStyle w:val="SingleTxtG"/>
        <w:keepNext/>
        <w:rPr>
          <w:lang w:val="fr-FR"/>
        </w:rPr>
      </w:pPr>
      <w:r w:rsidRPr="005F6314">
        <w:rPr>
          <w:i/>
          <w:iCs/>
          <w:lang w:val="fr-FR"/>
        </w:rPr>
        <w:t xml:space="preserve">Substituer </w:t>
      </w:r>
      <w:r w:rsidRPr="005F6314">
        <w:rPr>
          <w:lang w:val="fr-FR"/>
        </w:rPr>
        <w:t>au texte existant</w:t>
      </w:r>
      <w:r>
        <w:rPr>
          <w:lang w:val="fr-FR"/>
        </w:rPr>
        <w:t> </w:t>
      </w:r>
      <w:r w:rsidRPr="005F6314">
        <w:rPr>
          <w:lang w:val="fr-FR"/>
        </w:rPr>
        <w:t>:</w:t>
      </w:r>
    </w:p>
    <w:p w:rsidR="005B4102" w:rsidRPr="005F6314" w:rsidRDefault="005B4102" w:rsidP="009B4707">
      <w:pPr>
        <w:pStyle w:val="SingleTxtG"/>
        <w:ind w:left="2835" w:hanging="567"/>
        <w:rPr>
          <w:lang w:val="fr-FR"/>
        </w:rPr>
      </w:pPr>
      <w:r>
        <w:rPr>
          <w:lang w:val="fr-FR"/>
        </w:rPr>
        <w:t>« </w:t>
      </w:r>
      <w:proofErr w:type="gramStart"/>
      <w:r w:rsidRPr="005F6314">
        <w:rPr>
          <w:lang w:val="fr-FR"/>
        </w:rPr>
        <w:t>a</w:t>
      </w:r>
      <w:proofErr w:type="gramEnd"/>
      <w:r w:rsidRPr="005F6314">
        <w:rPr>
          <w:lang w:val="fr-FR"/>
        </w:rPr>
        <w:t>)</w:t>
      </w:r>
      <w:r>
        <w:rPr>
          <w:lang w:val="fr-FR"/>
        </w:rPr>
        <w:tab/>
        <w:t xml:space="preserve"> </w:t>
      </w:r>
      <w:r w:rsidRPr="005F6314">
        <w:rPr>
          <w:lang w:val="fr-FR"/>
        </w:rPr>
        <w:t>Des classes 1 ou 2 ou du groupe d</w:t>
      </w:r>
      <w:r>
        <w:rPr>
          <w:lang w:val="fr-FR"/>
        </w:rPr>
        <w:t>’</w:t>
      </w:r>
      <w:r w:rsidRPr="005F6314">
        <w:rPr>
          <w:lang w:val="fr-FR"/>
        </w:rPr>
        <w:t>emballage I ou d</w:t>
      </w:r>
      <w:r>
        <w:rPr>
          <w:lang w:val="fr-FR"/>
        </w:rPr>
        <w:t>’</w:t>
      </w:r>
      <w:r w:rsidRPr="005F6314">
        <w:rPr>
          <w:lang w:val="fr-FR"/>
        </w:rPr>
        <w:t>autres matières qui ne sont pas affectées à un groupe d</w:t>
      </w:r>
      <w:r>
        <w:rPr>
          <w:lang w:val="fr-FR"/>
        </w:rPr>
        <w:t>’</w:t>
      </w:r>
      <w:r w:rsidRPr="005F6314">
        <w:rPr>
          <w:lang w:val="fr-FR"/>
        </w:rPr>
        <w:t>emballage, dans des quantités égales ou supérieures à 50 kg ou 50 litres</w:t>
      </w:r>
      <w:r>
        <w:rPr>
          <w:lang w:val="fr-FR"/>
        </w:rPr>
        <w:t> </w:t>
      </w:r>
      <w:r w:rsidRPr="005F6314">
        <w:rPr>
          <w:lang w:val="fr-FR"/>
        </w:rPr>
        <w:t>;</w:t>
      </w:r>
      <w:r>
        <w:rPr>
          <w:lang w:val="fr-FR"/>
        </w:rPr>
        <w:t> ».</w:t>
      </w:r>
    </w:p>
    <w:p w:rsidR="005B4102" w:rsidRPr="005F6314" w:rsidRDefault="005B4102" w:rsidP="005B4102">
      <w:pPr>
        <w:pStyle w:val="SingleTxtG"/>
        <w:rPr>
          <w:lang w:val="fr-FR"/>
        </w:rPr>
      </w:pPr>
      <w:r w:rsidRPr="005C3E06">
        <w:rPr>
          <w:lang w:val="fr-FR"/>
        </w:rPr>
        <w:t>(</w:t>
      </w:r>
      <w:r w:rsidRPr="005F6314">
        <w:rPr>
          <w:i/>
          <w:lang w:val="fr-FR"/>
        </w:rPr>
        <w:t>Document de référence</w:t>
      </w:r>
      <w:r>
        <w:rPr>
          <w:i/>
          <w:lang w:val="fr-FR"/>
        </w:rPr>
        <w:t> </w:t>
      </w:r>
      <w:r w:rsidRPr="005F6314">
        <w:rPr>
          <w:i/>
          <w:lang w:val="fr-FR"/>
        </w:rPr>
        <w:t>: document informel INF.15</w:t>
      </w:r>
      <w:r w:rsidRPr="005C3E06">
        <w:rPr>
          <w:lang w:val="fr-FR"/>
        </w:rPr>
        <w:t>)</w:t>
      </w:r>
    </w:p>
    <w:p w:rsidR="005B4102" w:rsidRPr="005F6314" w:rsidRDefault="005B4102" w:rsidP="005C3E06">
      <w:pPr>
        <w:pStyle w:val="H23G"/>
        <w:rPr>
          <w:lang w:val="fr-FR"/>
        </w:rPr>
      </w:pPr>
      <w:bookmarkStart w:id="7" w:name="_Hlk523159597"/>
      <w:r>
        <w:rPr>
          <w:lang w:val="fr-FR"/>
        </w:rPr>
        <w:tab/>
        <w:t>2.</w:t>
      </w:r>
      <w:r>
        <w:rPr>
          <w:lang w:val="fr-FR"/>
        </w:rPr>
        <w:tab/>
        <w:t>Chapitre 3.2, t</w:t>
      </w:r>
      <w:r w:rsidRPr="005F6314">
        <w:rPr>
          <w:lang w:val="fr-FR"/>
        </w:rPr>
        <w:t>ableau C, No ONU 1203, colonne (2), toutes les rubriques</w:t>
      </w:r>
    </w:p>
    <w:p w:rsidR="009B4707" w:rsidRDefault="005C3E06" w:rsidP="005B4102">
      <w:pPr>
        <w:pStyle w:val="SingleTxtG"/>
        <w:rPr>
          <w:i/>
          <w:iCs/>
          <w:lang w:val="fr-FR"/>
        </w:rPr>
      </w:pPr>
      <w:r>
        <w:rPr>
          <w:i/>
          <w:iCs/>
          <w:lang w:val="fr-FR"/>
        </w:rPr>
        <w:t>À</w:t>
      </w:r>
      <w:r w:rsidR="005B4102" w:rsidRPr="005F6314">
        <w:rPr>
          <w:i/>
          <w:iCs/>
          <w:lang w:val="fr-FR"/>
        </w:rPr>
        <w:t xml:space="preserve"> la place d</w:t>
      </w:r>
      <w:r w:rsidR="005B4102">
        <w:rPr>
          <w:i/>
          <w:iCs/>
          <w:lang w:val="fr-FR"/>
        </w:rPr>
        <w:t xml:space="preserve">e </w:t>
      </w:r>
    </w:p>
    <w:p w:rsidR="009B4707" w:rsidRDefault="005B4102" w:rsidP="005B4102">
      <w:pPr>
        <w:pStyle w:val="SingleTxtG"/>
        <w:rPr>
          <w:lang w:val="fr-FR"/>
        </w:rPr>
      </w:pPr>
      <w:r>
        <w:rPr>
          <w:i/>
          <w:iCs/>
          <w:lang w:val="fr-FR"/>
        </w:rPr>
        <w:t>« </w:t>
      </w:r>
      <w:r w:rsidRPr="005F6314">
        <w:rPr>
          <w:lang w:val="fr-FR"/>
        </w:rPr>
        <w:t>ESSENCE POUR MOTEURS D</w:t>
      </w:r>
      <w:r>
        <w:rPr>
          <w:lang w:val="fr-FR"/>
        </w:rPr>
        <w:t>’</w:t>
      </w:r>
      <w:r w:rsidRPr="005F6314">
        <w:rPr>
          <w:lang w:val="fr-FR"/>
        </w:rPr>
        <w:t>AUTOMOBILES</w:t>
      </w:r>
      <w:r>
        <w:rPr>
          <w:lang w:val="fr-FR"/>
        </w:rPr>
        <w:t xml:space="preserve"> », </w:t>
      </w:r>
    </w:p>
    <w:p w:rsidR="009B4707" w:rsidRDefault="005B4102" w:rsidP="005B4102">
      <w:pPr>
        <w:pStyle w:val="SingleTxtG"/>
        <w:rPr>
          <w:lang w:val="fr-FR"/>
        </w:rPr>
      </w:pPr>
      <w:proofErr w:type="gramStart"/>
      <w:r w:rsidRPr="005C3E06">
        <w:rPr>
          <w:i/>
          <w:lang w:val="fr-FR"/>
        </w:rPr>
        <w:t>lire</w:t>
      </w:r>
      <w:proofErr w:type="gramEnd"/>
      <w:r w:rsidRPr="005F6314">
        <w:rPr>
          <w:lang w:val="fr-FR"/>
        </w:rPr>
        <w:t xml:space="preserve"> </w:t>
      </w:r>
    </w:p>
    <w:p w:rsidR="005B4102" w:rsidRPr="005F6314" w:rsidRDefault="005B4102" w:rsidP="005B4102">
      <w:pPr>
        <w:pStyle w:val="SingleTxtG"/>
        <w:rPr>
          <w:lang w:val="fr-FR"/>
        </w:rPr>
      </w:pPr>
      <w:r>
        <w:rPr>
          <w:lang w:val="fr-FR"/>
        </w:rPr>
        <w:t>« </w:t>
      </w:r>
      <w:r w:rsidRPr="005F6314">
        <w:rPr>
          <w:lang w:val="fr-FR"/>
        </w:rPr>
        <w:t>ESSENCE</w:t>
      </w:r>
      <w:r>
        <w:rPr>
          <w:lang w:val="fr-FR"/>
        </w:rPr>
        <w:t> ».</w:t>
      </w:r>
    </w:p>
    <w:p w:rsidR="005B4102" w:rsidRPr="005F6314" w:rsidRDefault="005B4102" w:rsidP="005B4102">
      <w:pPr>
        <w:pStyle w:val="SingleTxtG"/>
        <w:rPr>
          <w:lang w:val="fr-FR"/>
        </w:rPr>
      </w:pPr>
      <w:r w:rsidRPr="005C3E06">
        <w:rPr>
          <w:lang w:val="fr-FR"/>
        </w:rPr>
        <w:t>(</w:t>
      </w:r>
      <w:r w:rsidRPr="005F6314">
        <w:rPr>
          <w:i/>
          <w:lang w:val="fr-FR"/>
        </w:rPr>
        <w:t>Document de référence</w:t>
      </w:r>
      <w:r>
        <w:rPr>
          <w:i/>
          <w:lang w:val="fr-FR"/>
        </w:rPr>
        <w:t> </w:t>
      </w:r>
      <w:r w:rsidRPr="005F6314">
        <w:rPr>
          <w:i/>
          <w:lang w:val="fr-FR"/>
        </w:rPr>
        <w:t>: ECE/TRANS/WP.15/AC.2/2018/41</w:t>
      </w:r>
      <w:r w:rsidRPr="005C3E06">
        <w:rPr>
          <w:lang w:val="fr-FR"/>
        </w:rPr>
        <w:t>)</w:t>
      </w:r>
      <w:bookmarkEnd w:id="7"/>
    </w:p>
    <w:p w:rsidR="005B4102" w:rsidRPr="005F6314" w:rsidRDefault="005B4102" w:rsidP="005C3E06">
      <w:pPr>
        <w:pStyle w:val="H23G"/>
        <w:rPr>
          <w:lang w:val="fr-FR"/>
        </w:rPr>
      </w:pPr>
      <w:r w:rsidRPr="005F6314">
        <w:rPr>
          <w:lang w:val="fr-FR"/>
        </w:rPr>
        <w:tab/>
        <w:t>3.</w:t>
      </w:r>
      <w:r w:rsidRPr="005F6314">
        <w:rPr>
          <w:lang w:val="fr-FR"/>
        </w:rPr>
        <w:tab/>
        <w:t>Chapitre 5.4, 5.4.1.1.3</w:t>
      </w:r>
    </w:p>
    <w:p w:rsidR="005B4102" w:rsidRPr="005F6314" w:rsidRDefault="005C3E06" w:rsidP="0046136F">
      <w:pPr>
        <w:pStyle w:val="SingleTxtG"/>
        <w:keepNext/>
        <w:rPr>
          <w:lang w:val="fr-FR"/>
        </w:rPr>
      </w:pPr>
      <w:r>
        <w:rPr>
          <w:i/>
          <w:iCs/>
          <w:lang w:val="fr-FR"/>
        </w:rPr>
        <w:t>À</w:t>
      </w:r>
      <w:r w:rsidR="005B4102" w:rsidRPr="005F6314">
        <w:rPr>
          <w:i/>
          <w:iCs/>
          <w:lang w:val="fr-FR"/>
        </w:rPr>
        <w:t xml:space="preserve"> la place de</w:t>
      </w:r>
      <w:r w:rsidR="005B4102" w:rsidRPr="005F6314">
        <w:rPr>
          <w:lang w:val="fr-FR"/>
        </w:rPr>
        <w:t xml:space="preserve"> </w:t>
      </w:r>
    </w:p>
    <w:p w:rsidR="005B4102" w:rsidRPr="005F6314" w:rsidRDefault="005B4102" w:rsidP="005B4102">
      <w:pPr>
        <w:pStyle w:val="SingleTxtG"/>
        <w:rPr>
          <w:lang w:val="fr-FR"/>
        </w:rPr>
      </w:pPr>
      <w:r>
        <w:rPr>
          <w:lang w:val="fr-FR"/>
        </w:rPr>
        <w:t>« DÉCHETS CONFORMES AU 2.1.3.5.5 »</w:t>
      </w:r>
      <w:r w:rsidRPr="005F6314">
        <w:rPr>
          <w:lang w:val="fr-FR"/>
        </w:rPr>
        <w:t xml:space="preserve"> (par exemple </w:t>
      </w:r>
      <w:r w:rsidR="005C3E06">
        <w:rPr>
          <w:lang w:val="fr-FR"/>
        </w:rPr>
        <w:t>« No </w:t>
      </w:r>
      <w:r w:rsidRPr="005F6314">
        <w:rPr>
          <w:lang w:val="fr-FR"/>
        </w:rPr>
        <w:t>ONU</w:t>
      </w:r>
      <w:r w:rsidR="005C3E06">
        <w:rPr>
          <w:lang w:val="fr-FR"/>
        </w:rPr>
        <w:t> </w:t>
      </w:r>
      <w:r w:rsidRPr="005F6314">
        <w:rPr>
          <w:lang w:val="fr-FR"/>
        </w:rPr>
        <w:t>3264, LIQUIDE INORGANIQUE, CORROSIF, ACIDE, N.S.A., 8, II, (E),</w:t>
      </w:r>
      <w:r>
        <w:rPr>
          <w:lang w:val="fr-FR"/>
        </w:rPr>
        <w:t xml:space="preserve"> DÉCHETS CONFORMES AU</w:t>
      </w:r>
      <w:r w:rsidR="005C3E06">
        <w:rPr>
          <w:lang w:val="fr-FR"/>
        </w:rPr>
        <w:t> </w:t>
      </w:r>
      <w:r>
        <w:rPr>
          <w:lang w:val="fr-FR"/>
        </w:rPr>
        <w:t>2.1.3.5.5</w:t>
      </w:r>
      <w:r w:rsidR="005C3E06">
        <w:rPr>
          <w:lang w:val="fr-FR"/>
        </w:rPr>
        <w:t> »</w:t>
      </w:r>
      <w:r w:rsidRPr="005F6314">
        <w:rPr>
          <w:lang w:val="fr-FR"/>
        </w:rPr>
        <w:t>)</w:t>
      </w:r>
      <w:r>
        <w:rPr>
          <w:lang w:val="fr-FR"/>
        </w:rPr>
        <w:t>,</w:t>
      </w:r>
    </w:p>
    <w:p w:rsidR="005B4102" w:rsidRPr="0046136F" w:rsidRDefault="005B4102" w:rsidP="0046136F">
      <w:pPr>
        <w:pStyle w:val="SingleTxtG"/>
        <w:keepNext/>
        <w:rPr>
          <w:i/>
          <w:lang w:val="fr-FR"/>
        </w:rPr>
      </w:pPr>
      <w:proofErr w:type="gramStart"/>
      <w:r w:rsidRPr="0046136F">
        <w:rPr>
          <w:i/>
          <w:iCs/>
          <w:lang w:val="fr-FR"/>
        </w:rPr>
        <w:t>lire</w:t>
      </w:r>
      <w:proofErr w:type="gramEnd"/>
      <w:r w:rsidRPr="0046136F">
        <w:rPr>
          <w:i/>
          <w:lang w:val="fr-FR"/>
        </w:rPr>
        <w:t xml:space="preserve"> </w:t>
      </w:r>
    </w:p>
    <w:p w:rsidR="005B4102" w:rsidRPr="005F6314" w:rsidRDefault="005B4102" w:rsidP="005B4102">
      <w:pPr>
        <w:pStyle w:val="SingleTxtG"/>
        <w:rPr>
          <w:lang w:val="fr-FR"/>
        </w:rPr>
      </w:pPr>
      <w:r>
        <w:rPr>
          <w:lang w:val="fr-FR"/>
        </w:rPr>
        <w:t>« DÉCHETS CONFORMES AU 2.1.3.5.5 »</w:t>
      </w:r>
      <w:r w:rsidRPr="005F6314">
        <w:rPr>
          <w:lang w:val="fr-FR"/>
        </w:rPr>
        <w:t xml:space="preserve"> (par exemple </w:t>
      </w:r>
      <w:r w:rsidR="0046136F">
        <w:rPr>
          <w:lang w:val="fr-FR"/>
        </w:rPr>
        <w:t>« </w:t>
      </w:r>
      <w:r w:rsidRPr="005F6314">
        <w:rPr>
          <w:lang w:val="fr-FR"/>
        </w:rPr>
        <w:t>UN 3264, LIQUIDE INORGANIQUE, CORROSIF, ACIDE, N.S.A., 8, II, (E), DÉCHETS CONFORMES AU 2.1.3.5.5</w:t>
      </w:r>
      <w:r w:rsidR="0046136F">
        <w:rPr>
          <w:lang w:val="fr-FR"/>
        </w:rPr>
        <w:t> »</w:t>
      </w:r>
      <w:r w:rsidRPr="005F6314">
        <w:rPr>
          <w:lang w:val="fr-FR"/>
        </w:rPr>
        <w:t>)</w:t>
      </w:r>
      <w:r>
        <w:rPr>
          <w:lang w:val="fr-FR"/>
        </w:rPr>
        <w:t>.</w:t>
      </w:r>
    </w:p>
    <w:p w:rsidR="005B4102" w:rsidRPr="005F6314" w:rsidRDefault="005B4102" w:rsidP="005B4102">
      <w:pPr>
        <w:pStyle w:val="SingleTxtG"/>
        <w:rPr>
          <w:lang w:val="fr-FR"/>
        </w:rPr>
      </w:pPr>
      <w:r w:rsidRPr="0046136F">
        <w:rPr>
          <w:lang w:val="fr-FR"/>
        </w:rPr>
        <w:t>(</w:t>
      </w:r>
      <w:r w:rsidRPr="005F6314">
        <w:rPr>
          <w:i/>
          <w:lang w:val="fr-FR"/>
        </w:rPr>
        <w:t>Document de référence</w:t>
      </w:r>
      <w:r>
        <w:rPr>
          <w:i/>
          <w:lang w:val="fr-FR"/>
        </w:rPr>
        <w:t> </w:t>
      </w:r>
      <w:r w:rsidRPr="005F6314">
        <w:rPr>
          <w:i/>
          <w:lang w:val="fr-FR"/>
        </w:rPr>
        <w:t>: document informel INF.13</w:t>
      </w:r>
      <w:r w:rsidRPr="0046136F">
        <w:rPr>
          <w:lang w:val="fr-FR"/>
        </w:rPr>
        <w:t>)</w:t>
      </w:r>
    </w:p>
    <w:p w:rsidR="005B4102" w:rsidRPr="005F6314" w:rsidRDefault="005B4102" w:rsidP="005B4102">
      <w:pPr>
        <w:pStyle w:val="H23G"/>
        <w:spacing w:line="240" w:lineRule="atLeast"/>
        <w:rPr>
          <w:lang w:val="fr-FR"/>
        </w:rPr>
      </w:pPr>
      <w:r w:rsidRPr="005F6314">
        <w:rPr>
          <w:lang w:val="fr-FR"/>
        </w:rPr>
        <w:tab/>
        <w:t>4.</w:t>
      </w:r>
      <w:r w:rsidRPr="005F6314">
        <w:rPr>
          <w:lang w:val="fr-FR"/>
        </w:rPr>
        <w:tab/>
        <w:t>Chapitre 5.4, 5.4.2, titre</w:t>
      </w:r>
    </w:p>
    <w:p w:rsidR="009B4707" w:rsidRDefault="0046136F" w:rsidP="005B4102">
      <w:pPr>
        <w:pStyle w:val="SingleTxtG"/>
        <w:rPr>
          <w:lang w:val="fr-FR"/>
        </w:rPr>
      </w:pPr>
      <w:r>
        <w:rPr>
          <w:i/>
          <w:iCs/>
          <w:lang w:val="fr-FR"/>
        </w:rPr>
        <w:t>À</w:t>
      </w:r>
      <w:r w:rsidRPr="005F6314">
        <w:rPr>
          <w:i/>
          <w:iCs/>
          <w:lang w:val="fr-FR"/>
        </w:rPr>
        <w:t xml:space="preserve"> la place de</w:t>
      </w:r>
      <w:r w:rsidRPr="005F6314">
        <w:rPr>
          <w:lang w:val="fr-FR"/>
        </w:rPr>
        <w:t xml:space="preserve"> </w:t>
      </w:r>
    </w:p>
    <w:p w:rsidR="009B4707" w:rsidRDefault="005B4102" w:rsidP="005B4102">
      <w:pPr>
        <w:pStyle w:val="SingleTxtG"/>
        <w:rPr>
          <w:lang w:val="fr-FR"/>
        </w:rPr>
      </w:pPr>
      <w:r w:rsidRPr="0046136F">
        <w:rPr>
          <w:iCs/>
          <w:lang w:val="fr-FR"/>
        </w:rPr>
        <w:t>« </w:t>
      </w:r>
      <w:r w:rsidRPr="005F6314">
        <w:rPr>
          <w:lang w:val="fr-FR"/>
        </w:rPr>
        <w:t>Certificat d</w:t>
      </w:r>
      <w:r>
        <w:rPr>
          <w:lang w:val="fr-FR"/>
        </w:rPr>
        <w:t>’</w:t>
      </w:r>
      <w:r w:rsidRPr="005F6314">
        <w:rPr>
          <w:lang w:val="fr-FR"/>
        </w:rPr>
        <w:t>empotage du conteneur, du véhicule ou du wagon</w:t>
      </w:r>
      <w:r w:rsidR="009B4707">
        <w:rPr>
          <w:lang w:val="fr-FR"/>
        </w:rPr>
        <w:t> »</w:t>
      </w:r>
      <w:r>
        <w:rPr>
          <w:lang w:val="fr-FR"/>
        </w:rPr>
        <w:t>,</w:t>
      </w:r>
      <w:r w:rsidRPr="005F6314">
        <w:rPr>
          <w:lang w:val="fr-FR"/>
        </w:rPr>
        <w:t xml:space="preserve"> </w:t>
      </w:r>
    </w:p>
    <w:p w:rsidR="00F53B26" w:rsidRDefault="005B4102" w:rsidP="005B4102">
      <w:pPr>
        <w:pStyle w:val="SingleTxtG"/>
        <w:rPr>
          <w:lang w:val="fr-FR"/>
        </w:rPr>
      </w:pPr>
      <w:proofErr w:type="gramStart"/>
      <w:r w:rsidRPr="0046136F">
        <w:rPr>
          <w:i/>
          <w:iCs/>
          <w:lang w:val="fr-FR"/>
        </w:rPr>
        <w:t>lire</w:t>
      </w:r>
      <w:proofErr w:type="gramEnd"/>
      <w:r w:rsidRPr="005F6314">
        <w:rPr>
          <w:lang w:val="fr-FR"/>
        </w:rPr>
        <w:t xml:space="preserve"> </w:t>
      </w:r>
    </w:p>
    <w:p w:rsidR="005B4102" w:rsidRPr="005F6314" w:rsidRDefault="005B4102" w:rsidP="005B4102">
      <w:pPr>
        <w:pStyle w:val="SingleTxtG"/>
        <w:rPr>
          <w:highlight w:val="yellow"/>
          <w:lang w:val="fr-FR"/>
        </w:rPr>
      </w:pPr>
      <w:r>
        <w:rPr>
          <w:lang w:val="fr-FR"/>
        </w:rPr>
        <w:t>« </w:t>
      </w:r>
      <w:r w:rsidRPr="005F6314">
        <w:rPr>
          <w:lang w:val="fr-FR"/>
        </w:rPr>
        <w:t>Certificat d</w:t>
      </w:r>
      <w:r>
        <w:rPr>
          <w:lang w:val="fr-FR"/>
        </w:rPr>
        <w:t>’</w:t>
      </w:r>
      <w:r w:rsidRPr="005F6314">
        <w:rPr>
          <w:lang w:val="fr-FR"/>
        </w:rPr>
        <w:t>empotage du conteneur ou du véhicule</w:t>
      </w:r>
      <w:r>
        <w:rPr>
          <w:lang w:val="fr-FR"/>
        </w:rPr>
        <w:t> ».</w:t>
      </w:r>
    </w:p>
    <w:p w:rsidR="005B4102" w:rsidRPr="005F6314" w:rsidRDefault="005B4102" w:rsidP="005B4102">
      <w:pPr>
        <w:pStyle w:val="SingleTxtG"/>
        <w:rPr>
          <w:i/>
          <w:lang w:val="fr-FR"/>
        </w:rPr>
      </w:pPr>
      <w:r w:rsidRPr="003F604C">
        <w:rPr>
          <w:lang w:val="fr-FR"/>
        </w:rPr>
        <w:t>(</w:t>
      </w:r>
      <w:r w:rsidRPr="005F6314">
        <w:rPr>
          <w:i/>
          <w:lang w:val="fr-FR"/>
        </w:rPr>
        <w:t>Document de référence</w:t>
      </w:r>
      <w:r>
        <w:rPr>
          <w:i/>
          <w:lang w:val="fr-FR"/>
        </w:rPr>
        <w:t> </w:t>
      </w:r>
      <w:r w:rsidRPr="005F6314">
        <w:rPr>
          <w:i/>
          <w:lang w:val="fr-FR"/>
        </w:rPr>
        <w:t>: ECE/TRANS/WP.15/AC.2/2018/28</w:t>
      </w:r>
      <w:r w:rsidRPr="003F604C">
        <w:rPr>
          <w:lang w:val="fr-FR"/>
        </w:rPr>
        <w:t>)</w:t>
      </w:r>
    </w:p>
    <w:p w:rsidR="005B4102" w:rsidRPr="005F6314" w:rsidRDefault="005B4102" w:rsidP="005B4102">
      <w:pPr>
        <w:pStyle w:val="H23G"/>
        <w:spacing w:line="240" w:lineRule="atLeast"/>
        <w:rPr>
          <w:lang w:val="fr-FR"/>
        </w:rPr>
      </w:pPr>
      <w:r w:rsidRPr="005F6314">
        <w:rPr>
          <w:lang w:val="fr-FR"/>
        </w:rPr>
        <w:tab/>
        <w:t>5.</w:t>
      </w:r>
      <w:r w:rsidRPr="005F6314">
        <w:rPr>
          <w:lang w:val="fr-FR"/>
        </w:rPr>
        <w:tab/>
        <w:t>Chapitre 8.1, 8.1.2.1 b)</w:t>
      </w:r>
    </w:p>
    <w:p w:rsidR="00F53B26" w:rsidRDefault="0046136F" w:rsidP="005B4102">
      <w:pPr>
        <w:pStyle w:val="SingleTxtG"/>
        <w:rPr>
          <w:lang w:val="fr-FR"/>
        </w:rPr>
      </w:pPr>
      <w:r>
        <w:rPr>
          <w:i/>
          <w:iCs/>
          <w:lang w:val="fr-FR"/>
        </w:rPr>
        <w:t>À</w:t>
      </w:r>
      <w:r w:rsidRPr="005F6314">
        <w:rPr>
          <w:i/>
          <w:iCs/>
          <w:lang w:val="fr-FR"/>
        </w:rPr>
        <w:t xml:space="preserve"> la place de</w:t>
      </w:r>
      <w:r w:rsidRPr="005F6314">
        <w:rPr>
          <w:lang w:val="fr-FR"/>
        </w:rPr>
        <w:t xml:space="preserve"> </w:t>
      </w:r>
    </w:p>
    <w:p w:rsidR="00F53B26" w:rsidRDefault="005B4102" w:rsidP="005B4102">
      <w:pPr>
        <w:pStyle w:val="SingleTxtG"/>
        <w:rPr>
          <w:lang w:val="fr-FR"/>
        </w:rPr>
      </w:pPr>
      <w:r>
        <w:rPr>
          <w:lang w:val="fr-FR"/>
        </w:rPr>
        <w:t>« </w:t>
      </w:r>
      <w:proofErr w:type="gramStart"/>
      <w:r w:rsidRPr="005F6314">
        <w:rPr>
          <w:lang w:val="fr-FR"/>
        </w:rPr>
        <w:t>certificat</w:t>
      </w:r>
      <w:proofErr w:type="gramEnd"/>
      <w:r w:rsidRPr="005F6314">
        <w:rPr>
          <w:lang w:val="fr-FR"/>
        </w:rPr>
        <w:t xml:space="preserve"> d</w:t>
      </w:r>
      <w:r>
        <w:rPr>
          <w:lang w:val="fr-FR"/>
        </w:rPr>
        <w:t>’</w:t>
      </w:r>
      <w:r w:rsidRPr="005F6314">
        <w:rPr>
          <w:lang w:val="fr-FR"/>
        </w:rPr>
        <w:t>empotage du grand conteneur, du vé</w:t>
      </w:r>
      <w:r>
        <w:rPr>
          <w:lang w:val="fr-FR"/>
        </w:rPr>
        <w:t xml:space="preserve">hicule ou du wagon (voir 5.4.2) », </w:t>
      </w:r>
    </w:p>
    <w:p w:rsidR="00F53B26" w:rsidRDefault="005B4102" w:rsidP="005B4102">
      <w:pPr>
        <w:pStyle w:val="SingleTxtG"/>
        <w:rPr>
          <w:lang w:val="fr-FR"/>
        </w:rPr>
      </w:pPr>
      <w:proofErr w:type="gramStart"/>
      <w:r w:rsidRPr="0046136F">
        <w:rPr>
          <w:i/>
          <w:iCs/>
          <w:lang w:val="fr-FR"/>
        </w:rPr>
        <w:t>lire</w:t>
      </w:r>
      <w:proofErr w:type="gramEnd"/>
      <w:r w:rsidRPr="005F6314">
        <w:rPr>
          <w:lang w:val="fr-FR"/>
        </w:rPr>
        <w:t xml:space="preserve"> </w:t>
      </w:r>
    </w:p>
    <w:p w:rsidR="005B4102" w:rsidRPr="005F6314" w:rsidRDefault="005B4102" w:rsidP="005B4102">
      <w:pPr>
        <w:pStyle w:val="SingleTxtG"/>
        <w:rPr>
          <w:lang w:val="fr-FR"/>
        </w:rPr>
      </w:pPr>
      <w:r>
        <w:rPr>
          <w:lang w:val="fr-FR"/>
        </w:rPr>
        <w:t>« </w:t>
      </w:r>
      <w:proofErr w:type="gramStart"/>
      <w:r w:rsidRPr="005F6314">
        <w:rPr>
          <w:lang w:val="fr-FR"/>
        </w:rPr>
        <w:t>certificat</w:t>
      </w:r>
      <w:proofErr w:type="gramEnd"/>
      <w:r w:rsidRPr="005F6314">
        <w:rPr>
          <w:lang w:val="fr-FR"/>
        </w:rPr>
        <w:t xml:space="preserve"> d</w:t>
      </w:r>
      <w:r>
        <w:rPr>
          <w:lang w:val="fr-FR"/>
        </w:rPr>
        <w:t>’</w:t>
      </w:r>
      <w:r w:rsidRPr="005F6314">
        <w:rPr>
          <w:lang w:val="fr-FR"/>
        </w:rPr>
        <w:t>empotage du conteneur ou du véhicule (voir 5.4.2)</w:t>
      </w:r>
      <w:r>
        <w:rPr>
          <w:lang w:val="fr-FR"/>
        </w:rPr>
        <w:t> ».</w:t>
      </w:r>
    </w:p>
    <w:p w:rsidR="005B4102" w:rsidRDefault="005B4102" w:rsidP="005B4102">
      <w:pPr>
        <w:pStyle w:val="SingleTxtG"/>
        <w:rPr>
          <w:lang w:val="fr-FR"/>
        </w:rPr>
      </w:pPr>
      <w:r w:rsidRPr="003F604C">
        <w:rPr>
          <w:lang w:val="fr-FR"/>
        </w:rPr>
        <w:t>(</w:t>
      </w:r>
      <w:r w:rsidRPr="005F6314">
        <w:rPr>
          <w:i/>
          <w:lang w:val="fr-FR"/>
        </w:rPr>
        <w:t>Document de référence</w:t>
      </w:r>
      <w:r>
        <w:rPr>
          <w:i/>
          <w:lang w:val="fr-FR"/>
        </w:rPr>
        <w:t> </w:t>
      </w:r>
      <w:r w:rsidRPr="005F6314">
        <w:rPr>
          <w:i/>
          <w:lang w:val="fr-FR"/>
        </w:rPr>
        <w:t>: ECE/TRANS/WP.15/AC.2/2018/28</w:t>
      </w:r>
      <w:r w:rsidRPr="003F604C">
        <w:rPr>
          <w:lang w:val="fr-FR"/>
        </w:rPr>
        <w:t>)</w:t>
      </w:r>
    </w:p>
    <w:p w:rsidR="005B4102" w:rsidRDefault="005B4102" w:rsidP="003F604C">
      <w:pPr>
        <w:pStyle w:val="HChG"/>
      </w:pPr>
      <w:r w:rsidRPr="009236E9">
        <w:lastRenderedPageBreak/>
        <w:t>Annex</w:t>
      </w:r>
      <w:r>
        <w:t>e</w:t>
      </w:r>
      <w:r w:rsidRPr="009236E9">
        <w:t xml:space="preserve"> V</w:t>
      </w:r>
    </w:p>
    <w:p w:rsidR="005B4102" w:rsidRPr="00DD6A1F" w:rsidRDefault="005B4102" w:rsidP="003F604C">
      <w:pPr>
        <w:pStyle w:val="SingleTxtG"/>
        <w:jc w:val="right"/>
      </w:pPr>
      <w:r>
        <w:t>[</w:t>
      </w:r>
      <w:r w:rsidRPr="003F604C">
        <w:rPr>
          <w:i/>
        </w:rPr>
        <w:t>Original : anglais et français</w:t>
      </w:r>
      <w:r>
        <w:t>]</w:t>
      </w:r>
    </w:p>
    <w:p w:rsidR="005B4102" w:rsidRPr="003F604C" w:rsidRDefault="005B4102" w:rsidP="003F604C">
      <w:pPr>
        <w:pStyle w:val="HChG"/>
        <w:rPr>
          <w:b w:val="0"/>
          <w:sz w:val="22"/>
          <w:szCs w:val="22"/>
        </w:rPr>
      </w:pPr>
      <w:r w:rsidRPr="009236E9">
        <w:tab/>
      </w:r>
      <w:r w:rsidRPr="009236E9">
        <w:tab/>
      </w:r>
      <w:r>
        <w:t xml:space="preserve">Corrections au document </w:t>
      </w:r>
      <w:r w:rsidRPr="009236E9">
        <w:t xml:space="preserve">ECE/TRANS/258 </w:t>
      </w:r>
      <w:r w:rsidR="003F604C">
        <w:br/>
      </w:r>
      <w:r>
        <w:t xml:space="preserve">(publication ADN 2017) </w:t>
      </w:r>
      <w:r w:rsidR="003F604C">
        <w:br/>
      </w:r>
      <w:r w:rsidRPr="003F604C">
        <w:rPr>
          <w:b w:val="0"/>
          <w:sz w:val="22"/>
          <w:szCs w:val="22"/>
        </w:rPr>
        <w:t>(ne nécessitant pas l’acceptation par les Parties contractantes)</w:t>
      </w:r>
    </w:p>
    <w:p w:rsidR="005B4102" w:rsidRPr="005F6314" w:rsidRDefault="005B4102" w:rsidP="003F604C">
      <w:pPr>
        <w:pStyle w:val="H23G"/>
        <w:rPr>
          <w:lang w:val="fr-FR"/>
        </w:rPr>
      </w:pPr>
      <w:r w:rsidRPr="005F6314">
        <w:rPr>
          <w:lang w:val="fr-FR"/>
        </w:rPr>
        <w:tab/>
      </w:r>
      <w:r w:rsidRPr="005F6314">
        <w:rPr>
          <w:lang w:val="fr-FR"/>
        </w:rPr>
        <w:tab/>
        <w:t>Table des matières</w:t>
      </w:r>
    </w:p>
    <w:p w:rsidR="00F53B26" w:rsidRDefault="003F604C" w:rsidP="005B4102">
      <w:pPr>
        <w:pStyle w:val="SingleTxtG"/>
        <w:rPr>
          <w:lang w:val="fr-FR"/>
        </w:rPr>
      </w:pPr>
      <w:r>
        <w:rPr>
          <w:i/>
          <w:iCs/>
          <w:lang w:val="fr-FR"/>
        </w:rPr>
        <w:t>À</w:t>
      </w:r>
      <w:r w:rsidRPr="005F6314">
        <w:rPr>
          <w:i/>
          <w:iCs/>
          <w:lang w:val="fr-FR"/>
        </w:rPr>
        <w:t xml:space="preserve"> la place de</w:t>
      </w:r>
      <w:r w:rsidRPr="005F6314">
        <w:rPr>
          <w:lang w:val="fr-FR"/>
        </w:rPr>
        <w:t xml:space="preserve"> </w:t>
      </w:r>
    </w:p>
    <w:p w:rsidR="00F53B26" w:rsidRDefault="005B4102" w:rsidP="005B4102">
      <w:pPr>
        <w:pStyle w:val="SingleTxtG"/>
        <w:rPr>
          <w:lang w:val="fr-FR"/>
        </w:rPr>
      </w:pPr>
      <w:r>
        <w:rPr>
          <w:iCs/>
          <w:lang w:val="fr-FR"/>
        </w:rPr>
        <w:t>« </w:t>
      </w:r>
      <w:r w:rsidRPr="005F6314">
        <w:rPr>
          <w:lang w:val="fr-FR"/>
        </w:rPr>
        <w:t>5.4.2 Certificat d</w:t>
      </w:r>
      <w:r>
        <w:rPr>
          <w:lang w:val="fr-FR"/>
        </w:rPr>
        <w:t>’</w:t>
      </w:r>
      <w:r w:rsidRPr="005F6314">
        <w:rPr>
          <w:lang w:val="fr-FR"/>
        </w:rPr>
        <w:t>empotage du grand conteneur, du véhicule ou du wagon</w:t>
      </w:r>
      <w:r>
        <w:rPr>
          <w:lang w:val="fr-FR"/>
        </w:rPr>
        <w:t xml:space="preserve"> », </w:t>
      </w:r>
    </w:p>
    <w:p w:rsidR="00F53B26" w:rsidRDefault="005B4102" w:rsidP="005B4102">
      <w:pPr>
        <w:pStyle w:val="SingleTxtG"/>
        <w:rPr>
          <w:lang w:val="fr-FR"/>
        </w:rPr>
      </w:pPr>
      <w:proofErr w:type="gramStart"/>
      <w:r w:rsidRPr="003F604C">
        <w:rPr>
          <w:i/>
          <w:lang w:val="fr-FR"/>
        </w:rPr>
        <w:t>lire</w:t>
      </w:r>
      <w:proofErr w:type="gramEnd"/>
      <w:r w:rsidRPr="005F6314">
        <w:rPr>
          <w:lang w:val="fr-FR"/>
        </w:rPr>
        <w:t xml:space="preserve"> </w:t>
      </w:r>
    </w:p>
    <w:p w:rsidR="005B4102" w:rsidRPr="005F6314" w:rsidRDefault="005B4102" w:rsidP="005B4102">
      <w:pPr>
        <w:pStyle w:val="SingleTxtG"/>
        <w:rPr>
          <w:highlight w:val="yellow"/>
          <w:lang w:val="fr-FR"/>
        </w:rPr>
      </w:pPr>
      <w:r>
        <w:rPr>
          <w:lang w:val="fr-FR"/>
        </w:rPr>
        <w:t>« </w:t>
      </w:r>
      <w:r w:rsidRPr="005F6314">
        <w:rPr>
          <w:lang w:val="fr-FR"/>
        </w:rPr>
        <w:t>5.4.2 Certificat d</w:t>
      </w:r>
      <w:r>
        <w:rPr>
          <w:lang w:val="fr-FR"/>
        </w:rPr>
        <w:t>’</w:t>
      </w:r>
      <w:r w:rsidRPr="005F6314">
        <w:rPr>
          <w:lang w:val="fr-FR"/>
        </w:rPr>
        <w:t>empotage du conteneur ou du véhicule</w:t>
      </w:r>
      <w:r>
        <w:rPr>
          <w:lang w:val="fr-FR"/>
        </w:rPr>
        <w:t> ».</w:t>
      </w:r>
    </w:p>
    <w:p w:rsidR="005B4102" w:rsidRPr="005F6314" w:rsidRDefault="005B4102" w:rsidP="005B4102">
      <w:pPr>
        <w:pStyle w:val="SingleTxtG"/>
        <w:rPr>
          <w:i/>
          <w:lang w:val="fr-FR"/>
        </w:rPr>
      </w:pPr>
      <w:r w:rsidRPr="003F604C">
        <w:rPr>
          <w:lang w:val="fr-FR"/>
        </w:rPr>
        <w:t>(</w:t>
      </w:r>
      <w:r w:rsidRPr="005F6314">
        <w:rPr>
          <w:i/>
          <w:lang w:val="fr-FR"/>
        </w:rPr>
        <w:t>Document de référence</w:t>
      </w:r>
      <w:r>
        <w:rPr>
          <w:i/>
          <w:lang w:val="fr-FR"/>
        </w:rPr>
        <w:t> </w:t>
      </w:r>
      <w:r w:rsidRPr="005F6314">
        <w:rPr>
          <w:i/>
          <w:lang w:val="fr-FR"/>
        </w:rPr>
        <w:t>: ECE/TRANS/WP.15/AC.2/2018/28</w:t>
      </w:r>
      <w:r w:rsidRPr="003F604C">
        <w:rPr>
          <w:lang w:val="fr-FR"/>
        </w:rPr>
        <w:t>)</w:t>
      </w:r>
    </w:p>
    <w:p w:rsidR="005B4102" w:rsidRPr="005F6314" w:rsidRDefault="005B4102" w:rsidP="003F604C">
      <w:pPr>
        <w:pStyle w:val="H23G"/>
        <w:rPr>
          <w:lang w:val="fr-FR"/>
        </w:rPr>
      </w:pPr>
      <w:r w:rsidRPr="005F6314">
        <w:rPr>
          <w:lang w:val="fr-FR"/>
        </w:rPr>
        <w:tab/>
      </w:r>
      <w:r w:rsidRPr="005F6314">
        <w:rPr>
          <w:lang w:val="fr-FR"/>
        </w:rPr>
        <w:tab/>
        <w:t xml:space="preserve">Chapitre 9.1, 9.1.0.41.3 </w:t>
      </w:r>
      <w:r w:rsidR="007C058C">
        <w:rPr>
          <w:lang w:val="fr-FR"/>
        </w:rPr>
        <w:t>et</w:t>
      </w:r>
      <w:r w:rsidRPr="005F6314">
        <w:rPr>
          <w:lang w:val="fr-FR"/>
        </w:rPr>
        <w:t xml:space="preserve"> 9.2.0.41.3</w:t>
      </w:r>
    </w:p>
    <w:p w:rsidR="005B4102" w:rsidRPr="005F6314" w:rsidRDefault="005B4102" w:rsidP="005B4102">
      <w:pPr>
        <w:pStyle w:val="SingleTxtG"/>
        <w:rPr>
          <w:lang w:val="fr-FR"/>
        </w:rPr>
      </w:pPr>
      <w:r w:rsidRPr="005F6314">
        <w:rPr>
          <w:lang w:val="fr-FR"/>
        </w:rPr>
        <w:t>Sans objet en français.</w:t>
      </w:r>
    </w:p>
    <w:p w:rsidR="005B4102" w:rsidRPr="005F6314" w:rsidRDefault="005B4102" w:rsidP="005B4102">
      <w:pPr>
        <w:pStyle w:val="SingleTxtG"/>
        <w:rPr>
          <w:lang w:val="fr-FR"/>
        </w:rPr>
      </w:pPr>
      <w:r w:rsidRPr="003F604C">
        <w:rPr>
          <w:lang w:val="fr-FR"/>
        </w:rPr>
        <w:t>(</w:t>
      </w:r>
      <w:r w:rsidRPr="005F6314">
        <w:rPr>
          <w:i/>
          <w:lang w:val="fr-FR"/>
        </w:rPr>
        <w:t>Document de référence</w:t>
      </w:r>
      <w:r>
        <w:rPr>
          <w:i/>
          <w:lang w:val="fr-FR"/>
        </w:rPr>
        <w:t> </w:t>
      </w:r>
      <w:r w:rsidRPr="005F6314">
        <w:rPr>
          <w:i/>
          <w:lang w:val="fr-FR"/>
        </w:rPr>
        <w:t>: ECE/TRANS/WP.15/AC.2/2018/26</w:t>
      </w:r>
      <w:r w:rsidRPr="003F604C">
        <w:rPr>
          <w:lang w:val="fr-FR"/>
        </w:rPr>
        <w:t>)</w:t>
      </w:r>
    </w:p>
    <w:p w:rsidR="00F9573C" w:rsidRPr="00BD37D8" w:rsidRDefault="00BD37D8" w:rsidP="00BD37D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BD37D8" w:rsidSect="00F820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A78" w:rsidRDefault="007F3A78" w:rsidP="00F95C08">
      <w:pPr>
        <w:spacing w:line="240" w:lineRule="auto"/>
      </w:pPr>
    </w:p>
  </w:endnote>
  <w:endnote w:type="continuationSeparator" w:id="0">
    <w:p w:rsidR="007F3A78" w:rsidRPr="00AC3823" w:rsidRDefault="007F3A78" w:rsidP="00AC3823">
      <w:pPr>
        <w:pStyle w:val="Footer"/>
      </w:pPr>
    </w:p>
  </w:endnote>
  <w:endnote w:type="continuationNotice" w:id="1">
    <w:p w:rsidR="007F3A78" w:rsidRDefault="007F3A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DejaVu Sans">
    <w:altName w:val="Arial"/>
    <w:charset w:val="00"/>
    <w:family w:val="swiss"/>
    <w:pitch w:val="variable"/>
    <w:sig w:usb0="E7002EFF" w:usb1="D200FDFF" w:usb2="0A04602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A78" w:rsidRPr="00F82091" w:rsidRDefault="007F3A78" w:rsidP="00F82091">
    <w:pPr>
      <w:pStyle w:val="Footer"/>
      <w:tabs>
        <w:tab w:val="right" w:pos="9638"/>
      </w:tabs>
    </w:pPr>
    <w:r w:rsidRPr="00F82091">
      <w:rPr>
        <w:b/>
        <w:sz w:val="18"/>
      </w:rPr>
      <w:fldChar w:fldCharType="begin"/>
    </w:r>
    <w:r w:rsidRPr="00F82091">
      <w:rPr>
        <w:b/>
        <w:sz w:val="18"/>
      </w:rPr>
      <w:instrText xml:space="preserve"> PAGE  \* MERGEFORMAT </w:instrText>
    </w:r>
    <w:r w:rsidRPr="00F82091">
      <w:rPr>
        <w:b/>
        <w:sz w:val="18"/>
      </w:rPr>
      <w:fldChar w:fldCharType="separate"/>
    </w:r>
    <w:r w:rsidR="003669C0">
      <w:rPr>
        <w:b/>
        <w:noProof/>
        <w:sz w:val="18"/>
      </w:rPr>
      <w:t>26</w:t>
    </w:r>
    <w:r w:rsidRPr="00F82091">
      <w:rPr>
        <w:b/>
        <w:sz w:val="18"/>
      </w:rPr>
      <w:fldChar w:fldCharType="end"/>
    </w:r>
    <w:r>
      <w:rPr>
        <w:b/>
        <w:sz w:val="18"/>
      </w:rPr>
      <w:tab/>
    </w:r>
    <w:r>
      <w:t>GE.18-15345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A78" w:rsidRPr="00F82091" w:rsidRDefault="007F3A78" w:rsidP="00F82091">
    <w:pPr>
      <w:pStyle w:val="Footer"/>
      <w:tabs>
        <w:tab w:val="right" w:pos="9638"/>
      </w:tabs>
      <w:rPr>
        <w:b/>
        <w:sz w:val="18"/>
      </w:rPr>
    </w:pPr>
    <w:r>
      <w:t>GE.18-15345</w:t>
    </w:r>
    <w:r>
      <w:tab/>
    </w:r>
    <w:r w:rsidRPr="00F82091">
      <w:rPr>
        <w:b/>
        <w:sz w:val="18"/>
      </w:rPr>
      <w:fldChar w:fldCharType="begin"/>
    </w:r>
    <w:r w:rsidRPr="00F82091">
      <w:rPr>
        <w:b/>
        <w:sz w:val="18"/>
      </w:rPr>
      <w:instrText xml:space="preserve"> PAGE  \* MERGEFORMAT </w:instrText>
    </w:r>
    <w:r w:rsidRPr="00F82091">
      <w:rPr>
        <w:b/>
        <w:sz w:val="18"/>
      </w:rPr>
      <w:fldChar w:fldCharType="separate"/>
    </w:r>
    <w:r w:rsidR="003669C0">
      <w:rPr>
        <w:b/>
        <w:noProof/>
        <w:sz w:val="18"/>
      </w:rPr>
      <w:t>25</w:t>
    </w:r>
    <w:r w:rsidRPr="00F820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A78" w:rsidRPr="00F82091" w:rsidRDefault="007F3A78" w:rsidP="00F82091">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15345  (</w:t>
    </w:r>
    <w:proofErr w:type="gramEnd"/>
    <w:r>
      <w:rPr>
        <w:sz w:val="20"/>
      </w:rPr>
      <w:t>F)    151118    191218</w:t>
    </w:r>
    <w:r>
      <w:rPr>
        <w:sz w:val="20"/>
      </w:rPr>
      <w:br/>
    </w:r>
    <w:r w:rsidRPr="00F82091">
      <w:rPr>
        <w:rFonts w:ascii="C39T30Lfz" w:hAnsi="C39T30Lfz"/>
        <w:sz w:val="56"/>
      </w:rPr>
      <w:t></w:t>
    </w:r>
    <w:r w:rsidRPr="00F82091">
      <w:rPr>
        <w:rFonts w:ascii="C39T30Lfz" w:hAnsi="C39T30Lfz"/>
        <w:sz w:val="56"/>
      </w:rPr>
      <w:t></w:t>
    </w:r>
    <w:r w:rsidRPr="00F82091">
      <w:rPr>
        <w:rFonts w:ascii="C39T30Lfz" w:hAnsi="C39T30Lfz"/>
        <w:sz w:val="56"/>
      </w:rPr>
      <w:t></w:t>
    </w:r>
    <w:r w:rsidRPr="00F82091">
      <w:rPr>
        <w:rFonts w:ascii="C39T30Lfz" w:hAnsi="C39T30Lfz"/>
        <w:sz w:val="56"/>
      </w:rPr>
      <w:t></w:t>
    </w:r>
    <w:r w:rsidRPr="00F82091">
      <w:rPr>
        <w:rFonts w:ascii="C39T30Lfz" w:hAnsi="C39T30Lfz"/>
        <w:sz w:val="56"/>
      </w:rPr>
      <w:t></w:t>
    </w:r>
    <w:r w:rsidRPr="00F82091">
      <w:rPr>
        <w:rFonts w:ascii="C39T30Lfz" w:hAnsi="C39T30Lfz"/>
        <w:sz w:val="56"/>
      </w:rPr>
      <w:t></w:t>
    </w:r>
    <w:r w:rsidRPr="00F82091">
      <w:rPr>
        <w:rFonts w:ascii="C39T30Lfz" w:hAnsi="C39T30Lfz"/>
        <w:sz w:val="56"/>
      </w:rPr>
      <w:t></w:t>
    </w:r>
    <w:r w:rsidRPr="00F82091">
      <w:rPr>
        <w:rFonts w:ascii="C39T30Lfz" w:hAnsi="C39T30Lfz"/>
        <w:sz w:val="56"/>
      </w:rPr>
      <w:t></w:t>
    </w:r>
    <w:r w:rsidRPr="00F8209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A78" w:rsidRPr="00AC3823" w:rsidRDefault="007F3A78" w:rsidP="00AC3823">
      <w:pPr>
        <w:pStyle w:val="Footer"/>
        <w:tabs>
          <w:tab w:val="right" w:pos="2155"/>
        </w:tabs>
        <w:spacing w:after="80" w:line="240" w:lineRule="atLeast"/>
        <w:ind w:left="680"/>
        <w:rPr>
          <w:u w:val="single"/>
        </w:rPr>
      </w:pPr>
      <w:r>
        <w:rPr>
          <w:u w:val="single"/>
        </w:rPr>
        <w:tab/>
      </w:r>
    </w:p>
  </w:footnote>
  <w:footnote w:type="continuationSeparator" w:id="0">
    <w:p w:rsidR="007F3A78" w:rsidRPr="00AC3823" w:rsidRDefault="007F3A78" w:rsidP="00AC3823">
      <w:pPr>
        <w:pStyle w:val="Footer"/>
        <w:tabs>
          <w:tab w:val="right" w:pos="2155"/>
        </w:tabs>
        <w:spacing w:after="80" w:line="240" w:lineRule="atLeast"/>
        <w:ind w:left="680"/>
        <w:rPr>
          <w:u w:val="single"/>
        </w:rPr>
      </w:pPr>
      <w:r>
        <w:rPr>
          <w:u w:val="single"/>
        </w:rPr>
        <w:tab/>
      </w:r>
    </w:p>
  </w:footnote>
  <w:footnote w:type="continuationNotice" w:id="1">
    <w:p w:rsidR="007F3A78" w:rsidRPr="00AC3823" w:rsidRDefault="007F3A78">
      <w:pPr>
        <w:spacing w:line="240" w:lineRule="auto"/>
        <w:rPr>
          <w:sz w:val="2"/>
          <w:szCs w:val="2"/>
        </w:rPr>
      </w:pPr>
    </w:p>
  </w:footnote>
  <w:footnote w:id="2">
    <w:p w:rsidR="007F3A78" w:rsidRPr="00613574" w:rsidRDefault="007F3A78" w:rsidP="005B4102">
      <w:pPr>
        <w:pStyle w:val="FootnoteText"/>
      </w:pPr>
      <w:r>
        <w:tab/>
      </w:r>
      <w:r w:rsidRPr="005B4102">
        <w:rPr>
          <w:rStyle w:val="FootnoteReference"/>
          <w:sz w:val="20"/>
          <w:vertAlign w:val="baseline"/>
        </w:rPr>
        <w:sym w:font="Symbol" w:char="F02A"/>
      </w:r>
      <w:r>
        <w:t xml:space="preserve"> </w:t>
      </w:r>
      <w:r>
        <w:tab/>
        <w:t>Diffusé en allemand par la Commission centrale pour la navigation du Rhin sous la cote CCNR/ZKR/ADN/WP.15/AC.2/68</w:t>
      </w:r>
      <w:r w:rsidRPr="003871CA">
        <w:t>.</w:t>
      </w:r>
    </w:p>
  </w:footnote>
  <w:footnote w:id="3">
    <w:p w:rsidR="007F3A78" w:rsidRPr="00A06273" w:rsidRDefault="007F3A78" w:rsidP="005B4102">
      <w:pPr>
        <w:pStyle w:val="FootnoteText"/>
      </w:pPr>
      <w:r>
        <w:tab/>
      </w:r>
      <w:r w:rsidRPr="00B07826">
        <w:rPr>
          <w:rStyle w:val="FootnoteReference"/>
        </w:rPr>
        <w:footnoteRef/>
      </w:r>
      <w:r>
        <w:t xml:space="preserve"> </w:t>
      </w:r>
      <w:r>
        <w:tab/>
        <w:t>Directive 2012/18/UE du Parlement européen et du Conseil du 4 juillet 2012 concernant la maîtrise des dangers liés aux accidents majeurs impliquant des substances dangereuses.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A78" w:rsidRPr="00F82091" w:rsidRDefault="00BE2E32">
    <w:pPr>
      <w:pStyle w:val="Header"/>
    </w:pPr>
    <w:r>
      <w:fldChar w:fldCharType="begin"/>
    </w:r>
    <w:r>
      <w:instrText xml:space="preserve"> TITLE  \* MERGEFORMAT </w:instrText>
    </w:r>
    <w:r>
      <w:fldChar w:fldCharType="separate"/>
    </w:r>
    <w:r>
      <w:t>ECE/TRANS/WP.15/AC.2/68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A78" w:rsidRPr="00F82091" w:rsidRDefault="00BE2E32" w:rsidP="00F82091">
    <w:pPr>
      <w:pStyle w:val="Header"/>
      <w:jc w:val="right"/>
    </w:pPr>
    <w:r>
      <w:fldChar w:fldCharType="begin"/>
    </w:r>
    <w:r>
      <w:instrText xml:space="preserve"> TITLE  \* MERGEFORMAT </w:instrText>
    </w:r>
    <w:r>
      <w:fldChar w:fldCharType="separate"/>
    </w:r>
    <w:r>
      <w:t>ECE/TRANS/WP.15/AC.2/68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DE938EF"/>
    <w:multiLevelType w:val="multilevel"/>
    <w:tmpl w:val="F51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F64AD"/>
    <w:multiLevelType w:val="multilevel"/>
    <w:tmpl w:val="06B4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0"/>
  </w:num>
  <w:num w:numId="17">
    <w:abstractNumId w:val="16"/>
  </w:num>
  <w:num w:numId="18">
    <w:abstractNumId w:val="13"/>
  </w:num>
  <w:num w:numId="19">
    <w:abstractNumId w:val="12"/>
  </w:num>
  <w:num w:numId="20">
    <w:abstractNumId w:val="18"/>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8B"/>
    <w:rsid w:val="00017F94"/>
    <w:rsid w:val="00023842"/>
    <w:rsid w:val="00026434"/>
    <w:rsid w:val="000334F9"/>
    <w:rsid w:val="000376CD"/>
    <w:rsid w:val="00045FEB"/>
    <w:rsid w:val="00050E40"/>
    <w:rsid w:val="0007796D"/>
    <w:rsid w:val="00093CAB"/>
    <w:rsid w:val="00093FBD"/>
    <w:rsid w:val="000B7790"/>
    <w:rsid w:val="000E061E"/>
    <w:rsid w:val="001056D9"/>
    <w:rsid w:val="00107F4D"/>
    <w:rsid w:val="00111F2F"/>
    <w:rsid w:val="001215D7"/>
    <w:rsid w:val="00137E35"/>
    <w:rsid w:val="0014365E"/>
    <w:rsid w:val="00143C66"/>
    <w:rsid w:val="0017397D"/>
    <w:rsid w:val="00176178"/>
    <w:rsid w:val="001830F5"/>
    <w:rsid w:val="00190C74"/>
    <w:rsid w:val="001A2BE8"/>
    <w:rsid w:val="001B19B5"/>
    <w:rsid w:val="001C2973"/>
    <w:rsid w:val="001D5B33"/>
    <w:rsid w:val="001E5008"/>
    <w:rsid w:val="001F525A"/>
    <w:rsid w:val="001F6C74"/>
    <w:rsid w:val="002077E2"/>
    <w:rsid w:val="0021458E"/>
    <w:rsid w:val="002220A3"/>
    <w:rsid w:val="00223272"/>
    <w:rsid w:val="00243FA2"/>
    <w:rsid w:val="0024779E"/>
    <w:rsid w:val="00257168"/>
    <w:rsid w:val="00257CE3"/>
    <w:rsid w:val="0026482E"/>
    <w:rsid w:val="002744B8"/>
    <w:rsid w:val="00275B47"/>
    <w:rsid w:val="002832AC"/>
    <w:rsid w:val="00290B8B"/>
    <w:rsid w:val="00297EDB"/>
    <w:rsid w:val="002D7C93"/>
    <w:rsid w:val="002F00A4"/>
    <w:rsid w:val="00305801"/>
    <w:rsid w:val="00343F05"/>
    <w:rsid w:val="003524B8"/>
    <w:rsid w:val="00363085"/>
    <w:rsid w:val="003669C0"/>
    <w:rsid w:val="003916DE"/>
    <w:rsid w:val="003B1F9C"/>
    <w:rsid w:val="003B3F09"/>
    <w:rsid w:val="003B5602"/>
    <w:rsid w:val="003F604C"/>
    <w:rsid w:val="00400737"/>
    <w:rsid w:val="00421996"/>
    <w:rsid w:val="00441C3B"/>
    <w:rsid w:val="00446FE5"/>
    <w:rsid w:val="00452396"/>
    <w:rsid w:val="00455F27"/>
    <w:rsid w:val="0046136F"/>
    <w:rsid w:val="004632F5"/>
    <w:rsid w:val="004837D8"/>
    <w:rsid w:val="004A0861"/>
    <w:rsid w:val="004D411B"/>
    <w:rsid w:val="004E2EED"/>
    <w:rsid w:val="004E468C"/>
    <w:rsid w:val="004E5C62"/>
    <w:rsid w:val="005025BD"/>
    <w:rsid w:val="00534447"/>
    <w:rsid w:val="005502A7"/>
    <w:rsid w:val="005505B7"/>
    <w:rsid w:val="00554480"/>
    <w:rsid w:val="00555C62"/>
    <w:rsid w:val="00556858"/>
    <w:rsid w:val="00573BE5"/>
    <w:rsid w:val="00583DF9"/>
    <w:rsid w:val="00586ED3"/>
    <w:rsid w:val="00596AA9"/>
    <w:rsid w:val="005B1FC0"/>
    <w:rsid w:val="005B4102"/>
    <w:rsid w:val="005C3E06"/>
    <w:rsid w:val="005F0315"/>
    <w:rsid w:val="00603328"/>
    <w:rsid w:val="00676565"/>
    <w:rsid w:val="006A0095"/>
    <w:rsid w:val="006B1CE6"/>
    <w:rsid w:val="006C6310"/>
    <w:rsid w:val="006D6C9E"/>
    <w:rsid w:val="00711B48"/>
    <w:rsid w:val="0071601D"/>
    <w:rsid w:val="00773C49"/>
    <w:rsid w:val="007A0D96"/>
    <w:rsid w:val="007A62E6"/>
    <w:rsid w:val="007C058C"/>
    <w:rsid w:val="007F20FA"/>
    <w:rsid w:val="007F3A78"/>
    <w:rsid w:val="0080684C"/>
    <w:rsid w:val="00816C48"/>
    <w:rsid w:val="00847E7A"/>
    <w:rsid w:val="00871C75"/>
    <w:rsid w:val="008776DC"/>
    <w:rsid w:val="00892C21"/>
    <w:rsid w:val="008C19ED"/>
    <w:rsid w:val="008C25D2"/>
    <w:rsid w:val="008C65FE"/>
    <w:rsid w:val="00903BFE"/>
    <w:rsid w:val="009446C0"/>
    <w:rsid w:val="009705C8"/>
    <w:rsid w:val="00973863"/>
    <w:rsid w:val="00994F85"/>
    <w:rsid w:val="009B4707"/>
    <w:rsid w:val="009C1CF4"/>
    <w:rsid w:val="009F1ABB"/>
    <w:rsid w:val="009F6B74"/>
    <w:rsid w:val="00A3029F"/>
    <w:rsid w:val="00A30353"/>
    <w:rsid w:val="00A52405"/>
    <w:rsid w:val="00A54295"/>
    <w:rsid w:val="00A65F4C"/>
    <w:rsid w:val="00A762E7"/>
    <w:rsid w:val="00A80F57"/>
    <w:rsid w:val="00AB5D99"/>
    <w:rsid w:val="00AC3823"/>
    <w:rsid w:val="00AD1997"/>
    <w:rsid w:val="00AD3BCC"/>
    <w:rsid w:val="00AE323C"/>
    <w:rsid w:val="00AF0CB5"/>
    <w:rsid w:val="00B00181"/>
    <w:rsid w:val="00B00B0D"/>
    <w:rsid w:val="00B04272"/>
    <w:rsid w:val="00B45F2E"/>
    <w:rsid w:val="00B70119"/>
    <w:rsid w:val="00B765F7"/>
    <w:rsid w:val="00B92223"/>
    <w:rsid w:val="00BA0CA9"/>
    <w:rsid w:val="00BB03AE"/>
    <w:rsid w:val="00BD37D8"/>
    <w:rsid w:val="00BE2E32"/>
    <w:rsid w:val="00BE40F8"/>
    <w:rsid w:val="00C02897"/>
    <w:rsid w:val="00C44A57"/>
    <w:rsid w:val="00C57733"/>
    <w:rsid w:val="00C82AD0"/>
    <w:rsid w:val="00C97039"/>
    <w:rsid w:val="00CB2A9F"/>
    <w:rsid w:val="00D3439C"/>
    <w:rsid w:val="00D53E34"/>
    <w:rsid w:val="00DB1831"/>
    <w:rsid w:val="00DC0490"/>
    <w:rsid w:val="00DC20DB"/>
    <w:rsid w:val="00DD3BFD"/>
    <w:rsid w:val="00DD60D2"/>
    <w:rsid w:val="00DF4CEC"/>
    <w:rsid w:val="00DF6678"/>
    <w:rsid w:val="00E026FC"/>
    <w:rsid w:val="00E0299A"/>
    <w:rsid w:val="00E47F74"/>
    <w:rsid w:val="00E85C74"/>
    <w:rsid w:val="00EA6547"/>
    <w:rsid w:val="00EF2E22"/>
    <w:rsid w:val="00F35BAF"/>
    <w:rsid w:val="00F402DC"/>
    <w:rsid w:val="00F47DA2"/>
    <w:rsid w:val="00F53B26"/>
    <w:rsid w:val="00F660DF"/>
    <w:rsid w:val="00F76823"/>
    <w:rsid w:val="00F82091"/>
    <w:rsid w:val="00F92DF1"/>
    <w:rsid w:val="00F94664"/>
    <w:rsid w:val="00F9573C"/>
    <w:rsid w:val="00F95C08"/>
    <w:rsid w:val="00FA01F8"/>
    <w:rsid w:val="00FA4E25"/>
    <w:rsid w:val="00FD6C89"/>
    <w:rsid w:val="00FD6EE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DFA500-D260-42D1-B31B-87755139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5B4102"/>
    <w:rPr>
      <w:sz w:val="16"/>
      <w:szCs w:val="16"/>
    </w:rPr>
  </w:style>
  <w:style w:type="character" w:customStyle="1" w:styleId="SingleTxtGChar">
    <w:name w:val="_ Single Txt_G Char"/>
    <w:link w:val="SingleTxtG"/>
    <w:qFormat/>
    <w:rsid w:val="005B4102"/>
    <w:rPr>
      <w:rFonts w:ascii="Times New Roman" w:eastAsiaTheme="minorHAnsi" w:hAnsi="Times New Roman" w:cs="Times New Roman"/>
      <w:sz w:val="20"/>
      <w:szCs w:val="20"/>
      <w:lang w:eastAsia="en-US"/>
    </w:rPr>
  </w:style>
  <w:style w:type="character" w:customStyle="1" w:styleId="HChGChar">
    <w:name w:val="_ H _Ch_G Char"/>
    <w:link w:val="HChG"/>
    <w:rsid w:val="005B4102"/>
    <w:rPr>
      <w:rFonts w:ascii="Times New Roman" w:eastAsiaTheme="minorHAnsi" w:hAnsi="Times New Roman" w:cs="Times New Roman"/>
      <w:b/>
      <w:sz w:val="28"/>
      <w:szCs w:val="20"/>
      <w:lang w:eastAsia="en-US"/>
    </w:rPr>
  </w:style>
  <w:style w:type="table" w:customStyle="1" w:styleId="Grilledutableau6">
    <w:name w:val="Grille du tableau6"/>
    <w:basedOn w:val="TableNormal"/>
    <w:uiPriority w:val="59"/>
    <w:rsid w:val="005B4102"/>
    <w:pPr>
      <w:spacing w:after="0" w:line="240" w:lineRule="auto"/>
    </w:pPr>
    <w:rPr>
      <w:rFonts w:ascii="Arial" w:eastAsia="Calibri" w:hAnsi="Arial" w:cs="Times New Roman"/>
      <w:sz w:val="20"/>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5B4102"/>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9519</Words>
  <Characters>54264</Characters>
  <Application>Microsoft Office Word</Application>
  <DocSecurity>0</DocSecurity>
  <Lines>452</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ECE/TRANS/WP.15/AC.2/68</vt:lpstr>
      <vt:lpstr>ECE/TRANS/WP.15/AC.2/68</vt:lpstr>
    </vt:vector>
  </TitlesOfParts>
  <Company>DCM</Company>
  <LinksUpToDate>false</LinksUpToDate>
  <CharactersWithSpaces>63656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ECE/TRANS/WP.15/AC.2/68</dc:title>
  <dc:subject/>
  <dc:creator>Nathalie VITTOZ</dc:creator>
  <cp:keywords/>
  <cp:lastModifiedBy>Marie-Claude Collet</cp:lastModifiedBy>
  <cp:revision>3</cp:revision>
  <cp:lastPrinted>2018-12-19T12:21:00Z</cp:lastPrinted>
  <dcterms:created xsi:type="dcterms:W3CDTF">2018-12-19T12:21:00Z</dcterms:created>
  <dcterms:modified xsi:type="dcterms:W3CDTF">2018-12-19T12:22:00Z</dcterms:modified>
</cp:coreProperties>
</file>