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D70305" w:rsidTr="00F01516">
        <w:trPr>
          <w:trHeight w:hRule="exact" w:val="851"/>
        </w:trPr>
        <w:tc>
          <w:tcPr>
            <w:tcW w:w="1277" w:type="dxa"/>
            <w:tcBorders>
              <w:bottom w:val="single" w:sz="4" w:space="0" w:color="auto"/>
            </w:tcBorders>
          </w:tcPr>
          <w:p w:rsidR="003447BF" w:rsidRPr="00367E6A" w:rsidRDefault="003447BF" w:rsidP="00F01516">
            <w:pPr>
              <w:rPr>
                <w:lang w:val="fr-FR"/>
              </w:rPr>
            </w:pPr>
          </w:p>
        </w:tc>
        <w:tc>
          <w:tcPr>
            <w:tcW w:w="2268" w:type="dxa"/>
            <w:tcBorders>
              <w:bottom w:val="single" w:sz="4" w:space="0" w:color="auto"/>
            </w:tcBorders>
            <w:vAlign w:val="bottom"/>
          </w:tcPr>
          <w:p w:rsidR="003447BF" w:rsidRPr="00367E6A" w:rsidRDefault="003447BF"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447BF" w:rsidRPr="006D7AA7" w:rsidRDefault="003447BF" w:rsidP="00DC45A6">
            <w:pPr>
              <w:jc w:val="right"/>
              <w:rPr>
                <w:lang w:val="en-GB"/>
              </w:rPr>
            </w:pPr>
            <w:r w:rsidRPr="006D7AA7">
              <w:rPr>
                <w:sz w:val="40"/>
                <w:lang w:val="en-GB"/>
              </w:rPr>
              <w:t>ECE</w:t>
            </w:r>
            <w:r w:rsidRPr="006D7AA7">
              <w:rPr>
                <w:lang w:val="en-GB"/>
              </w:rPr>
              <w:t>/TRANS/WP.15/AC.2/201</w:t>
            </w:r>
            <w:r w:rsidR="00D70305" w:rsidRPr="006D7AA7">
              <w:rPr>
                <w:lang w:val="en-GB"/>
              </w:rPr>
              <w:t>8</w:t>
            </w:r>
            <w:r w:rsidRPr="006D7AA7">
              <w:rPr>
                <w:lang w:val="en-GB"/>
              </w:rPr>
              <w:t>/</w:t>
            </w:r>
            <w:r w:rsidR="00FC0365">
              <w:rPr>
                <w:lang w:val="en-GB"/>
              </w:rPr>
              <w:t>51</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01510D" w:rsidP="00F01516">
            <w:pPr>
              <w:spacing w:before="120"/>
              <w:jc w:val="cent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pt;height:47pt;visibility:visible">
                  <v:imagedata r:id="rId8"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3447BF" w:rsidRDefault="00FC0365" w:rsidP="00072E86">
            <w:pPr>
              <w:spacing w:line="240" w:lineRule="exact"/>
              <w:rPr>
                <w:lang w:val="fr-FR"/>
              </w:rPr>
            </w:pPr>
            <w:r>
              <w:rPr>
                <w:lang w:val="fr-FR"/>
              </w:rPr>
              <w:t>18</w:t>
            </w:r>
            <w:r w:rsidR="00B03AD8">
              <w:rPr>
                <w:lang w:val="fr-FR"/>
              </w:rPr>
              <w:t xml:space="preserve"> juin</w:t>
            </w:r>
            <w:r w:rsidR="00D70305">
              <w:rPr>
                <w:lang w:val="fr-FR"/>
              </w:rPr>
              <w:t xml:space="preserve"> 201</w:t>
            </w:r>
            <w:r w:rsidR="0028112F">
              <w:rPr>
                <w:lang w:val="fr-FR"/>
              </w:rPr>
              <w:t>8</w:t>
            </w:r>
          </w:p>
          <w:p w:rsidR="003447BF" w:rsidRDefault="003447BF" w:rsidP="00C4302B">
            <w:pPr>
              <w:spacing w:line="240" w:lineRule="exact"/>
              <w:rPr>
                <w:lang w:val="fr-FR"/>
              </w:rPr>
            </w:pPr>
          </w:p>
          <w:p w:rsidR="003447BF" w:rsidRPr="00367E6A" w:rsidRDefault="003447BF" w:rsidP="00B30CFB">
            <w:pPr>
              <w:spacing w:line="240" w:lineRule="exact"/>
              <w:rPr>
                <w:lang w:val="fr-FR"/>
              </w:rPr>
            </w:pPr>
            <w:r>
              <w:rPr>
                <w:lang w:val="fr-FR"/>
              </w:rPr>
              <w:t>Original</w:t>
            </w:r>
            <w:r w:rsidR="00AD545E">
              <w:rPr>
                <w:lang w:val="fr-FR"/>
              </w:rPr>
              <w:t xml:space="preserve"> </w:t>
            </w:r>
            <w:r>
              <w:rPr>
                <w:lang w:val="fr-FR"/>
              </w:rPr>
              <w:t xml:space="preserve">: </w:t>
            </w:r>
            <w:r w:rsidR="00D319BE">
              <w:rPr>
                <w:lang w:val="fr-FR"/>
              </w:rPr>
              <w:t>f</w:t>
            </w:r>
            <w:r>
              <w:rPr>
                <w:lang w:val="fr-FR"/>
              </w:rPr>
              <w:t xml:space="preserve">rançais </w:t>
            </w:r>
          </w:p>
        </w:tc>
      </w:tr>
    </w:tbl>
    <w:p w:rsidR="003447BF" w:rsidRPr="00367E6A" w:rsidRDefault="003447BF" w:rsidP="000312C0">
      <w:pPr>
        <w:spacing w:before="120"/>
        <w:rPr>
          <w:b/>
          <w:sz w:val="28"/>
          <w:szCs w:val="28"/>
          <w:lang w:val="fr-FR"/>
        </w:rPr>
      </w:pPr>
      <w:r w:rsidRPr="00367E6A">
        <w:rPr>
          <w:b/>
          <w:sz w:val="28"/>
          <w:szCs w:val="28"/>
          <w:lang w:val="fr-FR"/>
        </w:rPr>
        <w:t>Commission économique pour l’Europe</w:t>
      </w:r>
    </w:p>
    <w:p w:rsidR="003447BF" w:rsidRPr="00367E6A" w:rsidRDefault="003447BF" w:rsidP="00B93E72">
      <w:pPr>
        <w:spacing w:before="120"/>
        <w:rPr>
          <w:sz w:val="28"/>
          <w:szCs w:val="28"/>
          <w:lang w:val="fr-FR"/>
        </w:rPr>
      </w:pPr>
      <w:r w:rsidRPr="00367E6A">
        <w:rPr>
          <w:sz w:val="28"/>
          <w:szCs w:val="28"/>
          <w:lang w:val="fr-FR"/>
        </w:rPr>
        <w:t>Comité des transports intérieurs</w:t>
      </w:r>
    </w:p>
    <w:p w:rsidR="003447BF" w:rsidRPr="00367E6A" w:rsidRDefault="003447BF" w:rsidP="00B93E72">
      <w:pPr>
        <w:spacing w:before="120"/>
        <w:rPr>
          <w:b/>
          <w:sz w:val="24"/>
          <w:szCs w:val="24"/>
          <w:lang w:val="fr-FR"/>
        </w:rPr>
      </w:pPr>
      <w:r w:rsidRPr="00367E6A">
        <w:rPr>
          <w:b/>
          <w:sz w:val="24"/>
          <w:szCs w:val="24"/>
          <w:lang w:val="fr-FR"/>
        </w:rPr>
        <w:t>Groupe de travail des transports de marchandises dangereuses</w:t>
      </w:r>
    </w:p>
    <w:p w:rsidR="003447BF" w:rsidRPr="00A17EEC" w:rsidRDefault="003447B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3447BF" w:rsidRPr="00234E40" w:rsidRDefault="00D70305" w:rsidP="00D70305">
      <w:pPr>
        <w:spacing w:before="120"/>
        <w:rPr>
          <w:b/>
        </w:rPr>
      </w:pPr>
      <w:r>
        <w:rPr>
          <w:b/>
        </w:rPr>
        <w:t>Trente-</w:t>
      </w:r>
      <w:r w:rsidR="00770118">
        <w:rPr>
          <w:b/>
        </w:rPr>
        <w:t>troisième</w:t>
      </w:r>
      <w:r w:rsidR="003447BF">
        <w:rPr>
          <w:b/>
        </w:rPr>
        <w:t xml:space="preserve"> </w:t>
      </w:r>
      <w:r w:rsidR="003447BF" w:rsidRPr="00234E40">
        <w:rPr>
          <w:b/>
        </w:rPr>
        <w:t>session</w:t>
      </w:r>
    </w:p>
    <w:p w:rsidR="003447BF" w:rsidRDefault="003447BF" w:rsidP="00745866">
      <w:r>
        <w:t>Genève, 2</w:t>
      </w:r>
      <w:r w:rsidR="00770118">
        <w:t>7</w:t>
      </w:r>
      <w:r>
        <w:t>-</w:t>
      </w:r>
      <w:r w:rsidR="00770118">
        <w:t>31</w:t>
      </w:r>
      <w:r>
        <w:t xml:space="preserve"> </w:t>
      </w:r>
      <w:r w:rsidR="00770118">
        <w:t>août</w:t>
      </w:r>
      <w:r>
        <w:t xml:space="preserve"> 201</w:t>
      </w:r>
      <w:r w:rsidR="00745866">
        <w:t>8</w:t>
      </w:r>
    </w:p>
    <w:p w:rsidR="003447BF" w:rsidRDefault="003447BF" w:rsidP="0049374F">
      <w:r w:rsidRPr="00B93E72">
        <w:t xml:space="preserve">Point </w:t>
      </w:r>
      <w:r w:rsidR="00B03AD8">
        <w:t>4</w:t>
      </w:r>
      <w:r w:rsidRPr="0013653F">
        <w:t xml:space="preserve"> b)</w:t>
      </w:r>
      <w:r w:rsidRPr="00B93E72">
        <w:t xml:space="preserve"> de l</w:t>
      </w:r>
      <w:r>
        <w:t>’</w:t>
      </w:r>
      <w:r w:rsidRPr="00B93E72">
        <w:t>ordre du jour provisoire</w:t>
      </w:r>
    </w:p>
    <w:p w:rsidR="003447BF" w:rsidRPr="00B30CFB" w:rsidRDefault="003447BF" w:rsidP="001850B8">
      <w:pPr>
        <w:rPr>
          <w:b/>
          <w:lang w:val="fr-FR"/>
        </w:rPr>
      </w:pPr>
      <w:r w:rsidRPr="00B30CFB">
        <w:rPr>
          <w:b/>
          <w:lang w:val="fr-FR"/>
        </w:rPr>
        <w:t xml:space="preserve">Propositions </w:t>
      </w:r>
      <w:r>
        <w:rPr>
          <w:b/>
          <w:lang w:val="fr-FR"/>
        </w:rPr>
        <w:t>d'amendements au R</w:t>
      </w:r>
      <w:r w:rsidRPr="00B30CFB">
        <w:rPr>
          <w:b/>
          <w:lang w:val="fr-FR"/>
        </w:rPr>
        <w:t>èglement annexé à l'ADN</w:t>
      </w:r>
      <w:r w:rsidR="001850B8">
        <w:rPr>
          <w:b/>
          <w:lang w:val="fr-FR"/>
        </w:rPr>
        <w:t> :</w:t>
      </w:r>
    </w:p>
    <w:p w:rsidR="003447BF" w:rsidRPr="00C63AC1" w:rsidRDefault="006D7AA7" w:rsidP="00B30CFB">
      <w:proofErr w:type="gramStart"/>
      <w:r>
        <w:rPr>
          <w:b/>
          <w:lang w:val="fr-FR"/>
        </w:rPr>
        <w:t>a</w:t>
      </w:r>
      <w:r w:rsidR="00F37523">
        <w:rPr>
          <w:b/>
          <w:lang w:val="fr-FR"/>
        </w:rPr>
        <w:t>u</w:t>
      </w:r>
      <w:r w:rsidR="003447BF">
        <w:rPr>
          <w:b/>
          <w:lang w:val="fr-FR"/>
        </w:rPr>
        <w:t>tres</w:t>
      </w:r>
      <w:proofErr w:type="gramEnd"/>
      <w:r w:rsidR="003447BF">
        <w:rPr>
          <w:b/>
          <w:lang w:val="fr-FR"/>
        </w:rPr>
        <w:t xml:space="preserve"> propositions</w:t>
      </w:r>
    </w:p>
    <w:p w:rsidR="003447BF" w:rsidRPr="00EA0C87" w:rsidRDefault="00B83A66" w:rsidP="00A30B57">
      <w:pPr>
        <w:pStyle w:val="HChG"/>
        <w:keepNext w:val="0"/>
      </w:pPr>
      <w:r>
        <w:tab/>
      </w:r>
      <w:r>
        <w:tab/>
      </w:r>
      <w:r w:rsidR="00A30B57" w:rsidRPr="00A30B57">
        <w:rPr>
          <w:bCs/>
          <w:lang w:val="fr-FR"/>
        </w:rPr>
        <w:t xml:space="preserve">Sous-section 1.1.3.6 de </w:t>
      </w:r>
      <w:proofErr w:type="gramStart"/>
      <w:r w:rsidR="00A30B57" w:rsidRPr="00A30B57">
        <w:rPr>
          <w:bCs/>
          <w:lang w:val="fr-FR"/>
        </w:rPr>
        <w:t>l'ADN</w:t>
      </w:r>
      <w:r w:rsidR="00A30B57">
        <w:rPr>
          <w:bCs/>
          <w:lang w:val="fr-FR"/>
        </w:rPr>
        <w:t>:</w:t>
      </w:r>
      <w:proofErr w:type="gramEnd"/>
      <w:r w:rsidR="00A30B57">
        <w:rPr>
          <w:bCs/>
          <w:lang w:val="fr-FR"/>
        </w:rPr>
        <w:t xml:space="preserve"> </w:t>
      </w:r>
      <w:r w:rsidR="00A30B57" w:rsidRPr="00A30B57">
        <w:rPr>
          <w:bCs/>
          <w:lang w:val="fr-FR"/>
        </w:rPr>
        <w:t>Exemptions liées aux quantités transportées à bord des bateaux</w:t>
      </w:r>
    </w:p>
    <w:p w:rsidR="003447BF" w:rsidRDefault="003447BF" w:rsidP="00A30B57">
      <w:pPr>
        <w:pStyle w:val="H1G"/>
        <w:rPr>
          <w:b w:val="0"/>
          <w:bCs/>
          <w:szCs w:val="24"/>
        </w:rPr>
      </w:pPr>
      <w:r w:rsidRPr="00EA0C87">
        <w:tab/>
      </w:r>
      <w:r w:rsidRPr="00EA0C87">
        <w:tab/>
      </w:r>
      <w:r w:rsidR="00780335" w:rsidRPr="00780335">
        <w:rPr>
          <w:lang w:val="fr-FR"/>
        </w:rPr>
        <w:t>Communication du Gouvernement de l’</w:t>
      </w:r>
      <w:r w:rsidR="00D0029B" w:rsidRPr="00D0029B">
        <w:rPr>
          <w:lang w:val="fr-FR"/>
        </w:rPr>
        <w:t>Allemagne</w:t>
      </w:r>
      <w:r w:rsidR="00DB533B" w:rsidRPr="00905A77">
        <w:rPr>
          <w:rStyle w:val="FootnoteReference"/>
          <w:b w:val="0"/>
          <w:bCs/>
          <w:sz w:val="24"/>
          <w:szCs w:val="24"/>
        </w:rPr>
        <w:footnoteReference w:id="2"/>
      </w:r>
      <w:r w:rsidR="004D5258" w:rsidRPr="00905A77">
        <w:rPr>
          <w:b w:val="0"/>
          <w:bCs/>
          <w:szCs w:val="24"/>
          <w:vertAlign w:val="superscript"/>
          <w:lang w:val="fr-FR"/>
        </w:rPr>
        <w:t>,</w:t>
      </w:r>
      <w:r w:rsidR="00DB533B" w:rsidRPr="00905A77">
        <w:rPr>
          <w:rStyle w:val="FootnoteReference"/>
          <w:b w:val="0"/>
          <w:bCs/>
          <w:sz w:val="24"/>
          <w:szCs w:val="24"/>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A87087" w:rsidRPr="00A87087" w:rsidTr="009A0B0D">
        <w:trPr>
          <w:jc w:val="center"/>
        </w:trPr>
        <w:tc>
          <w:tcPr>
            <w:tcW w:w="2330" w:type="dxa"/>
          </w:tcPr>
          <w:p w:rsidR="00A87087" w:rsidRPr="00A87087" w:rsidRDefault="00A87087" w:rsidP="00A87087">
            <w:pPr>
              <w:widowControl w:val="0"/>
              <w:tabs>
                <w:tab w:val="left" w:pos="284"/>
              </w:tabs>
              <w:suppressAutoHyphens w:val="0"/>
              <w:overflowPunct w:val="0"/>
              <w:autoSpaceDE w:val="0"/>
              <w:autoSpaceDN w:val="0"/>
              <w:adjustRightInd w:val="0"/>
              <w:spacing w:before="120" w:after="120" w:line="240" w:lineRule="auto"/>
              <w:ind w:left="1134" w:hanging="1134"/>
              <w:jc w:val="both"/>
              <w:textAlignment w:val="baseline"/>
              <w:rPr>
                <w:i/>
                <w:lang w:val="fr-FR" w:eastAsia="fr-FR"/>
              </w:rPr>
            </w:pPr>
            <w:r w:rsidRPr="00A87087">
              <w:rPr>
                <w:rFonts w:eastAsia="Arial"/>
                <w:i/>
                <w:lang w:val="fr-FR" w:eastAsia="fr-FR"/>
              </w:rPr>
              <w:t>Résumé</w:t>
            </w:r>
          </w:p>
        </w:tc>
        <w:tc>
          <w:tcPr>
            <w:tcW w:w="7309" w:type="dxa"/>
          </w:tcPr>
          <w:p w:rsidR="00A87087" w:rsidRPr="00A87087" w:rsidRDefault="00A87087" w:rsidP="00A87087">
            <w:pPr>
              <w:widowControl w:val="0"/>
              <w:suppressAutoHyphens w:val="0"/>
              <w:overflowPunct w:val="0"/>
              <w:autoSpaceDE w:val="0"/>
              <w:autoSpaceDN w:val="0"/>
              <w:adjustRightInd w:val="0"/>
              <w:spacing w:before="120" w:after="120" w:line="240" w:lineRule="auto"/>
              <w:ind w:left="1134" w:hanging="1134"/>
              <w:jc w:val="both"/>
              <w:textAlignment w:val="baseline"/>
              <w:rPr>
                <w:lang w:val="fr-FR" w:eastAsia="fr-FR"/>
              </w:rPr>
            </w:pPr>
          </w:p>
        </w:tc>
      </w:tr>
      <w:tr w:rsidR="00A87087" w:rsidRPr="00A87087" w:rsidTr="009A0B0D">
        <w:trPr>
          <w:jc w:val="center"/>
        </w:trPr>
        <w:tc>
          <w:tcPr>
            <w:tcW w:w="2330" w:type="dxa"/>
            <w:tcBorders>
              <w:bottom w:val="single" w:sz="4" w:space="0" w:color="auto"/>
            </w:tcBorders>
          </w:tcPr>
          <w:p w:rsidR="00A87087" w:rsidRPr="00A87087" w:rsidRDefault="001F1563" w:rsidP="00A87087">
            <w:pPr>
              <w:widowControl w:val="0"/>
              <w:suppressAutoHyphens w:val="0"/>
              <w:overflowPunct w:val="0"/>
              <w:autoSpaceDE w:val="0"/>
              <w:autoSpaceDN w:val="0"/>
              <w:adjustRightInd w:val="0"/>
              <w:spacing w:before="120" w:after="120" w:line="240" w:lineRule="auto"/>
              <w:textAlignment w:val="baseline"/>
              <w:rPr>
                <w:b/>
                <w:lang w:val="fr-FR" w:eastAsia="fr-FR"/>
              </w:rPr>
            </w:pPr>
            <w:r>
              <w:rPr>
                <w:b/>
                <w:lang w:val="fr-FR" w:eastAsia="fr-FR"/>
              </w:rPr>
              <w:t>Résumé analytique :</w:t>
            </w:r>
          </w:p>
        </w:tc>
        <w:tc>
          <w:tcPr>
            <w:tcW w:w="7309" w:type="dxa"/>
          </w:tcPr>
          <w:p w:rsidR="00A87087" w:rsidRPr="00A87087" w:rsidRDefault="00A30B57" w:rsidP="00A30B57">
            <w:pPr>
              <w:suppressAutoHyphens w:val="0"/>
              <w:autoSpaceDE w:val="0"/>
              <w:autoSpaceDN w:val="0"/>
              <w:adjustRightInd w:val="0"/>
              <w:spacing w:before="40" w:after="120" w:line="240" w:lineRule="auto"/>
              <w:rPr>
                <w:rFonts w:cs="Arial"/>
                <w:lang w:val="fr-FR" w:eastAsia="fr-FR"/>
              </w:rPr>
            </w:pPr>
            <w:r w:rsidRPr="00A30B57">
              <w:rPr>
                <w:rFonts w:cs="Arial"/>
                <w:lang w:val="fr-FR" w:eastAsia="fr-FR"/>
              </w:rPr>
              <w:t>Les modalités de calcul de la quantité brute des marchandises dangereuses transportées à bord mentionnée au 1.1.3.6.1 a) de l'ADN ne sont pas claires.</w:t>
            </w:r>
          </w:p>
        </w:tc>
      </w:tr>
      <w:tr w:rsidR="00A87087" w:rsidRPr="00A87087" w:rsidTr="009A0B0D">
        <w:trPr>
          <w:jc w:val="center"/>
        </w:trPr>
        <w:tc>
          <w:tcPr>
            <w:tcW w:w="2330" w:type="dxa"/>
            <w:tcBorders>
              <w:bottom w:val="single" w:sz="4" w:space="0" w:color="auto"/>
            </w:tcBorders>
          </w:tcPr>
          <w:p w:rsidR="00A87087" w:rsidRPr="00A87087" w:rsidRDefault="00B03AD8" w:rsidP="00A87087">
            <w:pPr>
              <w:widowControl w:val="0"/>
              <w:suppressAutoHyphens w:val="0"/>
              <w:overflowPunct w:val="0"/>
              <w:autoSpaceDE w:val="0"/>
              <w:autoSpaceDN w:val="0"/>
              <w:adjustRightInd w:val="0"/>
              <w:spacing w:before="120" w:after="120" w:line="240" w:lineRule="auto"/>
              <w:textAlignment w:val="baseline"/>
              <w:rPr>
                <w:b/>
                <w:lang w:val="fr-FR" w:eastAsia="fr-FR"/>
              </w:rPr>
            </w:pPr>
            <w:r>
              <w:rPr>
                <w:b/>
                <w:lang w:val="fr-FR" w:eastAsia="fr-FR"/>
              </w:rPr>
              <w:t>Mesure à prendre :</w:t>
            </w:r>
          </w:p>
        </w:tc>
        <w:tc>
          <w:tcPr>
            <w:tcW w:w="7309" w:type="dxa"/>
          </w:tcPr>
          <w:p w:rsidR="00A87087" w:rsidRPr="00A87087" w:rsidRDefault="00A30B57" w:rsidP="00A30B57">
            <w:pPr>
              <w:widowControl w:val="0"/>
              <w:suppressAutoHyphens w:val="0"/>
              <w:overflowPunct w:val="0"/>
              <w:autoSpaceDE w:val="0"/>
              <w:autoSpaceDN w:val="0"/>
              <w:adjustRightInd w:val="0"/>
              <w:spacing w:before="40" w:after="120" w:line="240" w:lineRule="auto"/>
              <w:ind w:left="11"/>
              <w:jc w:val="both"/>
              <w:textAlignment w:val="baseline"/>
              <w:rPr>
                <w:lang w:val="fr-FR" w:eastAsia="fr-FR"/>
              </w:rPr>
            </w:pPr>
            <w:r w:rsidRPr="00A30B57">
              <w:rPr>
                <w:lang w:val="fr-FR" w:eastAsia="fr-FR"/>
              </w:rPr>
              <w:t>Modification du 1.1.3.6.1 a) de l'ADN.</w:t>
            </w:r>
          </w:p>
        </w:tc>
      </w:tr>
      <w:tr w:rsidR="00A87087" w:rsidRPr="00A87087" w:rsidTr="009A0B0D">
        <w:trPr>
          <w:jc w:val="center"/>
        </w:trPr>
        <w:tc>
          <w:tcPr>
            <w:tcW w:w="2330" w:type="dxa"/>
            <w:tcBorders>
              <w:top w:val="single" w:sz="4" w:space="0" w:color="auto"/>
            </w:tcBorders>
          </w:tcPr>
          <w:p w:rsidR="00A87087" w:rsidRPr="00A87087" w:rsidRDefault="00A87087" w:rsidP="00A87087">
            <w:pPr>
              <w:widowControl w:val="0"/>
              <w:tabs>
                <w:tab w:val="left" w:pos="284"/>
              </w:tabs>
              <w:suppressAutoHyphens w:val="0"/>
              <w:overflowPunct w:val="0"/>
              <w:autoSpaceDE w:val="0"/>
              <w:autoSpaceDN w:val="0"/>
              <w:adjustRightInd w:val="0"/>
              <w:spacing w:before="120" w:after="120" w:line="240" w:lineRule="auto"/>
              <w:textAlignment w:val="baseline"/>
              <w:rPr>
                <w:b/>
                <w:lang w:val="fr-FR" w:eastAsia="fr-FR"/>
              </w:rPr>
            </w:pPr>
            <w:r w:rsidRPr="00A87087">
              <w:rPr>
                <w:b/>
                <w:lang w:val="fr-FR" w:eastAsia="fr-FR"/>
              </w:rPr>
              <w:t>Documents connexes :</w:t>
            </w:r>
          </w:p>
        </w:tc>
        <w:tc>
          <w:tcPr>
            <w:tcW w:w="7309" w:type="dxa"/>
          </w:tcPr>
          <w:p w:rsidR="00A87087" w:rsidRPr="00A87087" w:rsidRDefault="00A30B57" w:rsidP="00A30B57">
            <w:pPr>
              <w:widowControl w:val="0"/>
              <w:suppressAutoHyphens w:val="0"/>
              <w:overflowPunct w:val="0"/>
              <w:autoSpaceDE w:val="0"/>
              <w:autoSpaceDN w:val="0"/>
              <w:adjustRightInd w:val="0"/>
              <w:spacing w:before="40" w:after="120" w:line="240" w:lineRule="auto"/>
              <w:ind w:left="11"/>
              <w:jc w:val="both"/>
              <w:textAlignment w:val="baseline"/>
              <w:rPr>
                <w:lang w:val="en-US" w:eastAsia="fr-FR"/>
              </w:rPr>
            </w:pPr>
            <w:r w:rsidRPr="00A30B57">
              <w:rPr>
                <w:rFonts w:eastAsia="Calibri"/>
                <w:lang w:val="fr-FR" w:eastAsia="fr-FR"/>
              </w:rPr>
              <w:t>Néant</w:t>
            </w:r>
          </w:p>
        </w:tc>
      </w:tr>
    </w:tbl>
    <w:p w:rsidR="00D0029B" w:rsidRPr="00B03AD8" w:rsidRDefault="00D0029B" w:rsidP="00D0029B">
      <w:pPr>
        <w:pStyle w:val="HChG"/>
        <w:rPr>
          <w:lang w:val="de-DE"/>
        </w:rPr>
      </w:pPr>
      <w:r>
        <w:rPr>
          <w:lang w:val="de-DE"/>
        </w:rPr>
        <w:lastRenderedPageBreak/>
        <w:tab/>
      </w:r>
      <w:r w:rsidRPr="00B03AD8">
        <w:rPr>
          <w:lang w:val="de-DE"/>
        </w:rPr>
        <w:tab/>
      </w:r>
      <w:proofErr w:type="spellStart"/>
      <w:r w:rsidRPr="00B03AD8">
        <w:rPr>
          <w:lang w:val="de-DE"/>
        </w:rPr>
        <w:t>Introduction</w:t>
      </w:r>
      <w:proofErr w:type="spellEnd"/>
    </w:p>
    <w:p w:rsidR="00A30B57" w:rsidRPr="00A30B57" w:rsidRDefault="00A30B57" w:rsidP="00A30B57">
      <w:pPr>
        <w:pStyle w:val="SingleTxtG"/>
        <w:rPr>
          <w:bCs/>
          <w:lang w:val="fr-FR"/>
        </w:rPr>
      </w:pPr>
      <w:r w:rsidRPr="00A30B57">
        <w:rPr>
          <w:bCs/>
          <w:lang w:val="fr-FR"/>
        </w:rPr>
        <w:t>1.</w:t>
      </w:r>
      <w:r w:rsidRPr="00A30B57">
        <w:rPr>
          <w:bCs/>
          <w:lang w:val="fr-FR"/>
        </w:rPr>
        <w:tab/>
        <w:t>La section 1.1.3 de l'ADN contient plusieurs types d'exemptions : outre l'exemption de certaines dispositions de l'ADN en fonction des quantités transportées à bord du bateau concerné (1.1.3.6), il existe également des exemptions en rapport avec le type de transport (1.1.3.1), avec des prescriptions spéciales, des quantités limitées ou exemptées (1.1.3.4) ou avec le transport d'équipements pour le stockage et la production d'énergie électrique (1.1.3.7).</w:t>
      </w:r>
    </w:p>
    <w:p w:rsidR="00A30B57" w:rsidRPr="00A30B57" w:rsidRDefault="00A30B57" w:rsidP="00A30B57">
      <w:pPr>
        <w:pStyle w:val="SingleTxtG"/>
        <w:rPr>
          <w:bCs/>
          <w:lang w:val="fr-FR"/>
        </w:rPr>
      </w:pPr>
      <w:r w:rsidRPr="00A30B57">
        <w:rPr>
          <w:bCs/>
          <w:lang w:val="fr-FR"/>
        </w:rPr>
        <w:t>2.</w:t>
      </w:r>
      <w:r w:rsidRPr="00A30B57">
        <w:rPr>
          <w:bCs/>
          <w:lang w:val="fr-FR"/>
        </w:rPr>
        <w:tab/>
        <w:t>Ces différentes règles d'exemption peuvent être appliquées simultanément pour les différentes marchandises dangereuses transportées.</w:t>
      </w:r>
    </w:p>
    <w:p w:rsidR="00D0029B" w:rsidRPr="00B03AD8" w:rsidRDefault="00A30B57" w:rsidP="00A30B57">
      <w:pPr>
        <w:pStyle w:val="SingleTxtG"/>
        <w:rPr>
          <w:bCs/>
          <w:lang w:val="fr-FR"/>
        </w:rPr>
      </w:pPr>
      <w:r w:rsidRPr="00A30B57">
        <w:rPr>
          <w:bCs/>
          <w:lang w:val="fr-FR"/>
        </w:rPr>
        <w:t>3.</w:t>
      </w:r>
      <w:r w:rsidRPr="00A30B57">
        <w:rPr>
          <w:bCs/>
          <w:lang w:val="fr-FR"/>
        </w:rPr>
        <w:tab/>
        <w:t>Dans ce contexte, la délégation allemande estime que les modalités de calcul des quantités brutes visées au 1.1.3.6.1 a) de l'ADN, lesquelles sont pertinentes pour l'application de l'exemption en fonction des quantités transportées à bord des bateaux (3</w:t>
      </w:r>
      <w:r>
        <w:rPr>
          <w:bCs/>
          <w:lang w:val="fr-FR"/>
        </w:rPr>
        <w:t> </w:t>
      </w:r>
      <w:r w:rsidRPr="00A30B57">
        <w:rPr>
          <w:bCs/>
          <w:lang w:val="fr-FR"/>
        </w:rPr>
        <w:t>000 kg ou 300 kg), ne sont pas claires.</w:t>
      </w:r>
    </w:p>
    <w:p w:rsidR="00D0029B" w:rsidRPr="00B03AD8" w:rsidRDefault="00D0029B" w:rsidP="00A87087">
      <w:pPr>
        <w:pStyle w:val="HChG"/>
        <w:rPr>
          <w:lang w:val="fr-FR"/>
        </w:rPr>
      </w:pPr>
      <w:r w:rsidRPr="00B03AD8">
        <w:rPr>
          <w:lang w:val="fr-FR"/>
        </w:rPr>
        <w:tab/>
      </w:r>
      <w:r w:rsidR="00DB71B7">
        <w:rPr>
          <w:lang w:val="fr-FR"/>
        </w:rPr>
        <w:tab/>
      </w:r>
      <w:r w:rsidR="00A87087" w:rsidRPr="00B03AD8">
        <w:rPr>
          <w:lang w:val="fr-FR"/>
        </w:rPr>
        <w:t>Demande</w:t>
      </w:r>
    </w:p>
    <w:p w:rsidR="00A30B57" w:rsidRPr="00A30B57" w:rsidRDefault="00A30B57" w:rsidP="00A30B57">
      <w:pPr>
        <w:pStyle w:val="SingleTxtG"/>
        <w:rPr>
          <w:rFonts w:cs="Arial"/>
          <w:lang w:val="fr-FR" w:eastAsia="fr-FR"/>
        </w:rPr>
      </w:pPr>
      <w:r w:rsidRPr="00A30B57">
        <w:rPr>
          <w:rFonts w:cs="Arial"/>
          <w:lang w:val="fr-FR" w:eastAsia="fr-FR"/>
        </w:rPr>
        <w:t>4.</w:t>
      </w:r>
      <w:r w:rsidRPr="00A30B57">
        <w:rPr>
          <w:rFonts w:cs="Arial"/>
          <w:lang w:val="fr-FR" w:eastAsia="fr-FR"/>
        </w:rPr>
        <w:tab/>
        <w:t xml:space="preserve">À la sous-section 1.1.3.6. </w:t>
      </w:r>
      <w:proofErr w:type="gramStart"/>
      <w:r w:rsidRPr="00A30B57">
        <w:rPr>
          <w:rFonts w:cs="Arial"/>
          <w:lang w:val="fr-FR" w:eastAsia="fr-FR"/>
        </w:rPr>
        <w:t>de</w:t>
      </w:r>
      <w:proofErr w:type="gramEnd"/>
      <w:r w:rsidRPr="00A30B57">
        <w:rPr>
          <w:rFonts w:cs="Arial"/>
          <w:lang w:val="fr-FR" w:eastAsia="fr-FR"/>
        </w:rPr>
        <w:t xml:space="preserve"> l'ADN est ajouté un nouvel alinéa comme suit : </w:t>
      </w:r>
    </w:p>
    <w:p w:rsidR="00A30B57" w:rsidRPr="00A30B57" w:rsidRDefault="00A30B57" w:rsidP="00A30B57">
      <w:pPr>
        <w:pStyle w:val="SingleTxtG"/>
        <w:ind w:left="1701"/>
        <w:rPr>
          <w:rFonts w:cs="Arial"/>
          <w:lang w:val="fr-FR" w:eastAsia="fr-FR"/>
        </w:rPr>
      </w:pPr>
      <w:proofErr w:type="gramStart"/>
      <w:r>
        <w:rPr>
          <w:rFonts w:cs="Arial"/>
          <w:b/>
          <w:lang w:val="fr-FR" w:eastAsia="fr-FR"/>
        </w:rPr>
        <w:t>«</w:t>
      </w:r>
      <w:r w:rsidRPr="00A30B57">
        <w:rPr>
          <w:rFonts w:cs="Arial"/>
          <w:b/>
          <w:u w:val="single"/>
          <w:lang w:val="fr-FR" w:eastAsia="fr-FR"/>
        </w:rPr>
        <w:t>1.1.3.6.3</w:t>
      </w:r>
      <w:proofErr w:type="gramEnd"/>
      <w:r w:rsidRPr="00A30B57">
        <w:rPr>
          <w:rFonts w:cs="Arial"/>
          <w:b/>
          <w:u w:val="single"/>
          <w:lang w:val="fr-FR" w:eastAsia="fr-FR"/>
        </w:rPr>
        <w:t xml:space="preserve"> </w:t>
      </w:r>
      <w:r w:rsidRPr="00A30B57">
        <w:rPr>
          <w:rFonts w:cs="Arial"/>
          <w:b/>
          <w:u w:val="single"/>
          <w:lang w:val="fr-FR" w:eastAsia="fr-FR"/>
        </w:rPr>
        <w:tab/>
      </w:r>
      <w:bookmarkStart w:id="0" w:name="_GoBack"/>
      <w:bookmarkEnd w:id="0"/>
      <w:r w:rsidRPr="00A30B57">
        <w:rPr>
          <w:rFonts w:cs="Arial"/>
          <w:u w:val="single"/>
          <w:lang w:val="fr-FR" w:eastAsia="fr-FR"/>
        </w:rPr>
        <w:t>Pour cette sous-section ne sont pas prises en compte les marchandises dangereuses exemptées conformément aux 1.1.3.1 a), b) et d) à f), 1.1.3.2 à 1.1.3.5, 1.1.3.7, 1.1.3.9 et 1.1.3.10.».</w:t>
      </w:r>
    </w:p>
    <w:p w:rsidR="00B83A66" w:rsidRPr="00B03AD8" w:rsidRDefault="00B83A66" w:rsidP="00A30B57">
      <w:pPr>
        <w:pStyle w:val="HChG"/>
        <w:rPr>
          <w:lang w:val="fr-FR" w:eastAsia="fr-FR"/>
        </w:rPr>
      </w:pPr>
      <w:r w:rsidRPr="00B03AD8">
        <w:rPr>
          <w:lang w:val="fr-FR" w:eastAsia="fr-FR"/>
        </w:rPr>
        <w:tab/>
      </w:r>
      <w:r w:rsidRPr="00B03AD8">
        <w:rPr>
          <w:lang w:val="fr-FR" w:eastAsia="fr-FR"/>
        </w:rPr>
        <w:tab/>
      </w:r>
      <w:r w:rsidR="00A30B57" w:rsidRPr="00A30B57">
        <w:rPr>
          <w:lang w:val="fr-FR" w:eastAsia="fr-FR"/>
        </w:rPr>
        <w:t>Motif</w:t>
      </w:r>
    </w:p>
    <w:p w:rsidR="00A30B57" w:rsidRPr="00A30B57" w:rsidRDefault="00A30B57" w:rsidP="00A30B57">
      <w:pPr>
        <w:pStyle w:val="SingleTxtG"/>
        <w:rPr>
          <w:rFonts w:cs="Arial"/>
          <w:lang w:val="fr-FR" w:eastAsia="fr-FR"/>
        </w:rPr>
      </w:pPr>
      <w:r w:rsidRPr="00A30B57">
        <w:rPr>
          <w:rFonts w:cs="Arial"/>
          <w:lang w:val="fr-FR" w:eastAsia="fr-FR"/>
        </w:rPr>
        <w:t>5.</w:t>
      </w:r>
      <w:r w:rsidRPr="00A30B57">
        <w:rPr>
          <w:rFonts w:cs="Arial"/>
          <w:lang w:val="fr-FR" w:eastAsia="fr-FR"/>
        </w:rPr>
        <w:tab/>
        <w:t>Les modifications sont nécessaires afin de pouvoir déterminer clairement si sont dépassés ou non les seuils quantitatifs pertinents pour l'exemption visée au 1.1.3.6 de l'ADN.</w:t>
      </w:r>
    </w:p>
    <w:p w:rsidR="00A30B57" w:rsidRPr="00A30B57" w:rsidRDefault="00A30B57" w:rsidP="00A30B57">
      <w:pPr>
        <w:pStyle w:val="SingleTxtG"/>
        <w:rPr>
          <w:rFonts w:cs="Arial"/>
          <w:lang w:val="fr-FR" w:eastAsia="fr-FR"/>
        </w:rPr>
      </w:pPr>
      <w:r w:rsidRPr="00A30B57">
        <w:rPr>
          <w:rFonts w:cs="Arial"/>
          <w:lang w:val="fr-FR" w:eastAsia="fr-FR"/>
        </w:rPr>
        <w:t>6.</w:t>
      </w:r>
      <w:r w:rsidRPr="00A30B57">
        <w:rPr>
          <w:rFonts w:cs="Arial"/>
          <w:lang w:val="fr-FR" w:eastAsia="fr-FR"/>
        </w:rPr>
        <w:tab/>
        <w:t xml:space="preserve">Les exemptions mentionnées comme étant à </w:t>
      </w:r>
      <w:proofErr w:type="gramStart"/>
      <w:r w:rsidRPr="00A30B57">
        <w:rPr>
          <w:rFonts w:cs="Arial"/>
          <w:lang w:val="fr-FR" w:eastAsia="fr-FR"/>
        </w:rPr>
        <w:t>ajouter  1.1.3.1</w:t>
      </w:r>
      <w:proofErr w:type="gramEnd"/>
      <w:r w:rsidRPr="00A30B57">
        <w:rPr>
          <w:rFonts w:cs="Arial"/>
          <w:lang w:val="fr-FR" w:eastAsia="fr-FR"/>
        </w:rPr>
        <w:t xml:space="preserve"> a), b) et d) à f), 1.1.3.2 à 1.1.3.5, 1.1.3.7, 1.1.3.9 et 1.1.3.10 sont les prescriptions plus spécifiques qu'il convient de toujours contrôler en premier lieu. Il n'est possible de recourir à la possibilité d'exemption visée à la sous-section 1.1.3.6 de l'ADN qu'à la condition que les exemptions susmentionnées ne s'appliquent pas.</w:t>
      </w:r>
    </w:p>
    <w:p w:rsidR="00A30B57" w:rsidRPr="00A30B57" w:rsidRDefault="00A30B57" w:rsidP="00A30B57">
      <w:pPr>
        <w:pStyle w:val="SingleTxtG"/>
        <w:rPr>
          <w:rFonts w:cs="Arial"/>
          <w:lang w:val="fr-FR" w:eastAsia="fr-FR"/>
        </w:rPr>
      </w:pPr>
      <w:r w:rsidRPr="00A30B57">
        <w:rPr>
          <w:rFonts w:cs="Arial"/>
          <w:lang w:val="fr-FR" w:eastAsia="fr-FR"/>
        </w:rPr>
        <w:t>7.</w:t>
      </w:r>
      <w:r w:rsidRPr="00A30B57">
        <w:rPr>
          <w:rFonts w:cs="Arial"/>
          <w:lang w:val="fr-FR" w:eastAsia="fr-FR"/>
        </w:rPr>
        <w:tab/>
        <w:t>La rédaction a été reprise du 1.1.3.6.5 de l'ADR / RID. Le 1.1.3.1 c) n'est pas pris en compte, l'exemption étant déjà limitée dans cette prescription aux quantités maximales visées au 1.1.3.6 de l'ADN.</w:t>
      </w:r>
    </w:p>
    <w:p w:rsidR="00A30B57" w:rsidRPr="00A30B57" w:rsidRDefault="00A30B57" w:rsidP="00A30B57">
      <w:pPr>
        <w:pStyle w:val="HChG"/>
        <w:rPr>
          <w:lang w:val="fr-FR" w:eastAsia="fr-FR"/>
        </w:rPr>
      </w:pPr>
      <w:r>
        <w:rPr>
          <w:lang w:val="fr-FR" w:eastAsia="fr-FR"/>
        </w:rPr>
        <w:tab/>
      </w:r>
      <w:r>
        <w:rPr>
          <w:lang w:val="fr-FR" w:eastAsia="fr-FR"/>
        </w:rPr>
        <w:tab/>
      </w:r>
      <w:r w:rsidRPr="00A30B57">
        <w:rPr>
          <w:lang w:val="fr-FR" w:eastAsia="fr-FR"/>
        </w:rPr>
        <w:t>Sécurité</w:t>
      </w:r>
    </w:p>
    <w:p w:rsidR="00A30B57" w:rsidRPr="00A30B57" w:rsidRDefault="00A30B57" w:rsidP="00A30B57">
      <w:pPr>
        <w:pStyle w:val="SingleTxtG"/>
        <w:rPr>
          <w:lang w:val="fr-FR" w:eastAsia="fr-FR"/>
        </w:rPr>
      </w:pPr>
      <w:r w:rsidRPr="00A30B57">
        <w:rPr>
          <w:lang w:val="fr-FR" w:eastAsia="fr-FR"/>
        </w:rPr>
        <w:t>8.</w:t>
      </w:r>
      <w:r w:rsidRPr="00A30B57">
        <w:rPr>
          <w:lang w:val="fr-FR" w:eastAsia="fr-FR"/>
        </w:rPr>
        <w:tab/>
        <w:t>La modification n'affecte pas la sécurité du transport. Les exemptions énoncées dans l'observation sont harmonisées dans l'ADN par rapport à l'ADR / RID. Il est incontestable que ces exemptions n'impliquent en soi aucun risque du point de vue de la sécurité, même si d'autres marchandises dangereuses devaient être transportées dans le contexte du 1.1.3.6 de l'ADN.</w:t>
      </w:r>
    </w:p>
    <w:p w:rsidR="00A30B57" w:rsidRPr="00A30B57" w:rsidRDefault="00A30B57" w:rsidP="00A30B57">
      <w:pPr>
        <w:pStyle w:val="HChG"/>
        <w:rPr>
          <w:lang w:val="fr-FR" w:eastAsia="fr-FR"/>
        </w:rPr>
      </w:pPr>
      <w:r>
        <w:rPr>
          <w:lang w:val="fr-FR" w:eastAsia="fr-FR"/>
        </w:rPr>
        <w:lastRenderedPageBreak/>
        <w:tab/>
      </w:r>
      <w:r>
        <w:rPr>
          <w:lang w:val="fr-FR" w:eastAsia="fr-FR"/>
        </w:rPr>
        <w:tab/>
      </w:r>
      <w:r w:rsidRPr="00A30B57">
        <w:rPr>
          <w:lang w:val="fr-FR" w:eastAsia="fr-FR"/>
        </w:rPr>
        <w:t>Mise en œuvre</w:t>
      </w:r>
    </w:p>
    <w:p w:rsidR="00A30B57" w:rsidRPr="00A30B57" w:rsidRDefault="00A30B57" w:rsidP="00A30B57">
      <w:pPr>
        <w:pStyle w:val="SingleTxtG"/>
        <w:rPr>
          <w:lang w:val="fr-FR" w:eastAsia="fr-FR"/>
        </w:rPr>
      </w:pPr>
      <w:r w:rsidRPr="00A30B57">
        <w:rPr>
          <w:lang w:val="fr-FR" w:eastAsia="fr-FR"/>
        </w:rPr>
        <w:t>9.</w:t>
      </w:r>
      <w:r w:rsidRPr="00A30B57">
        <w:rPr>
          <w:lang w:val="fr-FR" w:eastAsia="fr-FR"/>
        </w:rPr>
        <w:tab/>
        <w:t>Aucune modification n'est nécessaire sur le plan de la construction navale ou de la logistique qui soit susceptible de représenter une contrainte pour les entreprises impliquées. Le transport s’en trouve facilité. Une prescription imprécise est clarifiée pour éviter toute question relative à son interprétation et, le cas échéant, le champ d'application existant des exemptions, qui repose sur des interprétations divergentes, s'en trouvera étendu.</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770118">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3EF" w:rsidRDefault="00CE03EF"/>
  </w:endnote>
  <w:endnote w:type="continuationSeparator" w:id="0">
    <w:p w:rsidR="00CE03EF" w:rsidRDefault="00CE03EF"/>
  </w:endnote>
  <w:endnote w:type="continuationNotice" w:id="1">
    <w:p w:rsidR="00CE03EF" w:rsidRDefault="00CE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29776B" w:rsidRDefault="00AF52DB"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01510D">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29776B" w:rsidRDefault="00AF52DB"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01510D">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3EF" w:rsidRPr="00D27D5E" w:rsidRDefault="00CE03EF" w:rsidP="00D27D5E">
      <w:pPr>
        <w:tabs>
          <w:tab w:val="right" w:pos="2155"/>
        </w:tabs>
        <w:spacing w:after="80"/>
        <w:ind w:left="680"/>
        <w:rPr>
          <w:u w:val="single"/>
        </w:rPr>
      </w:pPr>
      <w:r>
        <w:rPr>
          <w:u w:val="single"/>
        </w:rPr>
        <w:tab/>
      </w:r>
    </w:p>
  </w:footnote>
  <w:footnote w:type="continuationSeparator" w:id="0">
    <w:p w:rsidR="00CE03EF" w:rsidRPr="00A80554" w:rsidRDefault="00CE03EF" w:rsidP="00A80554">
      <w:pPr>
        <w:tabs>
          <w:tab w:val="left" w:pos="2155"/>
        </w:tabs>
        <w:spacing w:after="80"/>
        <w:ind w:left="680"/>
        <w:rPr>
          <w:u w:val="single"/>
        </w:rPr>
      </w:pPr>
      <w:r w:rsidRPr="00A80554">
        <w:rPr>
          <w:u w:val="single"/>
        </w:rPr>
        <w:tab/>
      </w:r>
    </w:p>
  </w:footnote>
  <w:footnote w:type="continuationNotice" w:id="1">
    <w:p w:rsidR="00CE03EF" w:rsidRDefault="00CE03EF"/>
  </w:footnote>
  <w:footnote w:id="2">
    <w:p w:rsidR="00DB533B" w:rsidRPr="00905A77" w:rsidRDefault="00905A77" w:rsidP="00905A77">
      <w:pPr>
        <w:pStyle w:val="FootnoteText"/>
      </w:pPr>
      <w:r>
        <w:tab/>
      </w:r>
      <w:r w:rsidR="00DB533B" w:rsidRPr="00905A77">
        <w:rPr>
          <w:rStyle w:val="FootnoteReference"/>
          <w:sz w:val="20"/>
          <w:szCs w:val="22"/>
          <w:vertAlign w:val="baseline"/>
        </w:rPr>
        <w:footnoteRef/>
      </w:r>
      <w:r w:rsidR="00DB533B" w:rsidRPr="00905A77">
        <w:rPr>
          <w:sz w:val="20"/>
          <w:szCs w:val="22"/>
        </w:rPr>
        <w:t xml:space="preserve"> </w:t>
      </w:r>
      <w:r>
        <w:tab/>
      </w:r>
      <w:r w:rsidR="00DB533B" w:rsidRPr="00EF5998">
        <w:rPr>
          <w:lang w:val="fr-FR"/>
        </w:rPr>
        <w:t>Diffusé en langue allemande par la Commission cent</w:t>
      </w:r>
      <w:proofErr w:type="spellStart"/>
      <w:r w:rsidR="00DB533B" w:rsidRPr="00905A77">
        <w:t>rale</w:t>
      </w:r>
      <w:proofErr w:type="spellEnd"/>
      <w:r w:rsidR="00DB533B" w:rsidRPr="00905A77">
        <w:t xml:space="preserve"> pour la navigation du Rhin sous la cote CCNR/ZKR/ADN/WP.15/AC.2/2018/</w:t>
      </w:r>
      <w:r w:rsidR="00A30B57">
        <w:t>51</w:t>
      </w:r>
      <w:r w:rsidR="00DB533B" w:rsidRPr="00905A77">
        <w:t>.</w:t>
      </w:r>
    </w:p>
  </w:footnote>
  <w:footnote w:id="3">
    <w:p w:rsidR="00DB533B" w:rsidRDefault="00905A77" w:rsidP="00905A77">
      <w:pPr>
        <w:pStyle w:val="FootnoteText"/>
      </w:pPr>
      <w:r>
        <w:tab/>
      </w:r>
      <w:r w:rsidR="00DB533B" w:rsidRPr="00905A77">
        <w:rPr>
          <w:rStyle w:val="FootnoteReference"/>
          <w:sz w:val="20"/>
          <w:szCs w:val="22"/>
          <w:vertAlign w:val="baseline"/>
          <w:lang w:eastAsia="en-US"/>
        </w:rPr>
        <w:t>**</w:t>
      </w:r>
      <w:r w:rsidR="00DB533B" w:rsidRPr="00905A77">
        <w:rPr>
          <w:sz w:val="20"/>
          <w:szCs w:val="22"/>
        </w:rPr>
        <w:t xml:space="preserve"> </w:t>
      </w:r>
      <w:r>
        <w:tab/>
      </w:r>
      <w:r w:rsidR="00DB533B" w:rsidRPr="00905A77">
        <w:t>Conformément au programme de travail du Comité de</w:t>
      </w:r>
      <w:r w:rsidR="00DB533B" w:rsidRPr="00EF5998">
        <w:rPr>
          <w:lang w:val="fr-FR"/>
        </w:rPr>
        <w:t>s</w:t>
      </w:r>
      <w:r w:rsidR="00DB533B">
        <w:rPr>
          <w:lang w:val="fr-FR"/>
        </w:rPr>
        <w:t xml:space="preserve"> transports intérieurs pour 201</w:t>
      </w:r>
      <w:r w:rsidR="00770118">
        <w:rPr>
          <w:lang w:val="fr-FR"/>
        </w:rPr>
        <w:t>8</w:t>
      </w:r>
      <w:r w:rsidR="00DB533B">
        <w:rPr>
          <w:lang w:val="fr-FR"/>
        </w:rPr>
        <w:t>-201</w:t>
      </w:r>
      <w:r w:rsidR="00770118">
        <w:rPr>
          <w:lang w:val="fr-FR"/>
        </w:rPr>
        <w:t>9</w:t>
      </w:r>
      <w:r w:rsidR="00DB533B">
        <w:rPr>
          <w:lang w:val="fr-FR"/>
        </w:rPr>
        <w:t xml:space="preserve"> </w:t>
      </w:r>
      <w:r w:rsidR="00DB533B" w:rsidRPr="00EF5998">
        <w:rPr>
          <w:lang w:val="fr-FR"/>
        </w:rPr>
        <w:t>(</w:t>
      </w:r>
      <w:r w:rsidR="00770118" w:rsidRPr="00ED5F4B">
        <w:t xml:space="preserve">ECE/TRANS/2018/21/Add.1, </w:t>
      </w:r>
      <w:r w:rsidR="00521BA9">
        <w:t>(</w:t>
      </w:r>
      <w:r w:rsidR="00770118" w:rsidRPr="00ED5F4B">
        <w:t>9.3</w:t>
      </w:r>
      <w:r w:rsidR="00521BA9">
        <w:t>)</w:t>
      </w:r>
      <w:r w:rsidR="00DB533B" w:rsidRPr="00EF5998">
        <w:rPr>
          <w:lang w:val="fr-FR"/>
        </w:rPr>
        <w:t>)</w:t>
      </w:r>
      <w:r w:rsidR="00DB533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6D7AA7" w:rsidRDefault="004D5258" w:rsidP="00DD38E9">
    <w:pPr>
      <w:pStyle w:val="Header"/>
      <w:rPr>
        <w:lang w:val="en-GB"/>
      </w:rPr>
    </w:pPr>
    <w:r>
      <w:rPr>
        <w:lang w:val="en-GB"/>
      </w:rPr>
      <w:t>ECE/TRANS/WP.15/AC.2/2018/</w:t>
    </w:r>
    <w:r w:rsidR="00A30B57">
      <w:rPr>
        <w:lang w:val="en-GB"/>
      </w:rPr>
      <w:t>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D0029B" w:rsidRDefault="00AF52DB" w:rsidP="0029776B">
    <w:pPr>
      <w:pStyle w:val="Header"/>
      <w:jc w:val="right"/>
      <w:rPr>
        <w:lang w:val="en-GB"/>
      </w:rPr>
    </w:pPr>
    <w:r w:rsidRPr="00D0029B">
      <w:rPr>
        <w:lang w:val="en-GB"/>
      </w:rPr>
      <w:t>ECE/TRANS/WP.15/AC.2/2018/</w:t>
    </w:r>
    <w:r w:rsidR="00A30B57">
      <w:rPr>
        <w:lang w:val="en-GB"/>
      </w:rPr>
      <w:t>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numFmt w:val="chicago"/>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510D"/>
    <w:rsid w:val="00016AC5"/>
    <w:rsid w:val="00022BD7"/>
    <w:rsid w:val="00027DDF"/>
    <w:rsid w:val="00030ADE"/>
    <w:rsid w:val="000312C0"/>
    <w:rsid w:val="00033A63"/>
    <w:rsid w:val="0004058B"/>
    <w:rsid w:val="000472A1"/>
    <w:rsid w:val="000507A8"/>
    <w:rsid w:val="0006085A"/>
    <w:rsid w:val="0006415C"/>
    <w:rsid w:val="000643B7"/>
    <w:rsid w:val="00066716"/>
    <w:rsid w:val="00071432"/>
    <w:rsid w:val="00072E86"/>
    <w:rsid w:val="000758B9"/>
    <w:rsid w:val="000814B1"/>
    <w:rsid w:val="00081790"/>
    <w:rsid w:val="000828C8"/>
    <w:rsid w:val="00094EF2"/>
    <w:rsid w:val="000963EA"/>
    <w:rsid w:val="000964C7"/>
    <w:rsid w:val="000A3C06"/>
    <w:rsid w:val="000A49E0"/>
    <w:rsid w:val="000A7EC2"/>
    <w:rsid w:val="000B34CA"/>
    <w:rsid w:val="000C0699"/>
    <w:rsid w:val="000D7E12"/>
    <w:rsid w:val="000E4978"/>
    <w:rsid w:val="000E68FB"/>
    <w:rsid w:val="000F41F2"/>
    <w:rsid w:val="00104ADE"/>
    <w:rsid w:val="00114764"/>
    <w:rsid w:val="00114946"/>
    <w:rsid w:val="00114DAF"/>
    <w:rsid w:val="00115943"/>
    <w:rsid w:val="00127A72"/>
    <w:rsid w:val="0013180D"/>
    <w:rsid w:val="00135C0D"/>
    <w:rsid w:val="0013653F"/>
    <w:rsid w:val="00143574"/>
    <w:rsid w:val="001448DB"/>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6EE9"/>
    <w:rsid w:val="00190399"/>
    <w:rsid w:val="00192BA5"/>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1563"/>
    <w:rsid w:val="001F3CC1"/>
    <w:rsid w:val="001F412D"/>
    <w:rsid w:val="001F5816"/>
    <w:rsid w:val="002023CD"/>
    <w:rsid w:val="00203B6A"/>
    <w:rsid w:val="002041A8"/>
    <w:rsid w:val="0020607F"/>
    <w:rsid w:val="002069D5"/>
    <w:rsid w:val="00216861"/>
    <w:rsid w:val="0022098E"/>
    <w:rsid w:val="00223B89"/>
    <w:rsid w:val="00225A8C"/>
    <w:rsid w:val="00232C61"/>
    <w:rsid w:val="00234E40"/>
    <w:rsid w:val="002403AA"/>
    <w:rsid w:val="00241AAF"/>
    <w:rsid w:val="00260A9C"/>
    <w:rsid w:val="00261C6B"/>
    <w:rsid w:val="002659F1"/>
    <w:rsid w:val="00265FE8"/>
    <w:rsid w:val="0027037E"/>
    <w:rsid w:val="00271C7C"/>
    <w:rsid w:val="0028112F"/>
    <w:rsid w:val="00287E79"/>
    <w:rsid w:val="0029101B"/>
    <w:rsid w:val="002928F9"/>
    <w:rsid w:val="0029776B"/>
    <w:rsid w:val="002A1905"/>
    <w:rsid w:val="002A29C3"/>
    <w:rsid w:val="002A5D07"/>
    <w:rsid w:val="002A5F7F"/>
    <w:rsid w:val="002B2881"/>
    <w:rsid w:val="002B56D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3FA8"/>
    <w:rsid w:val="00374106"/>
    <w:rsid w:val="00374296"/>
    <w:rsid w:val="00384F4A"/>
    <w:rsid w:val="00391403"/>
    <w:rsid w:val="00397250"/>
    <w:rsid w:val="003974E1"/>
    <w:rsid w:val="003976D5"/>
    <w:rsid w:val="003A1FEF"/>
    <w:rsid w:val="003A462C"/>
    <w:rsid w:val="003A656C"/>
    <w:rsid w:val="003B5981"/>
    <w:rsid w:val="003B6B20"/>
    <w:rsid w:val="003C322F"/>
    <w:rsid w:val="003C5A95"/>
    <w:rsid w:val="003C5C5B"/>
    <w:rsid w:val="003D1DF3"/>
    <w:rsid w:val="003D46A7"/>
    <w:rsid w:val="003D6C68"/>
    <w:rsid w:val="003D76E4"/>
    <w:rsid w:val="003F118A"/>
    <w:rsid w:val="003F27CE"/>
    <w:rsid w:val="003F6E0A"/>
    <w:rsid w:val="004005D0"/>
    <w:rsid w:val="00406E74"/>
    <w:rsid w:val="00413736"/>
    <w:rsid w:val="00414425"/>
    <w:rsid w:val="004159D0"/>
    <w:rsid w:val="00421AC2"/>
    <w:rsid w:val="00423D55"/>
    <w:rsid w:val="004249E7"/>
    <w:rsid w:val="00426DA1"/>
    <w:rsid w:val="00430C92"/>
    <w:rsid w:val="0043277B"/>
    <w:rsid w:val="00434168"/>
    <w:rsid w:val="0044289E"/>
    <w:rsid w:val="00454017"/>
    <w:rsid w:val="00461870"/>
    <w:rsid w:val="00471DA9"/>
    <w:rsid w:val="00473690"/>
    <w:rsid w:val="00475DD2"/>
    <w:rsid w:val="00486E96"/>
    <w:rsid w:val="00491EC7"/>
    <w:rsid w:val="0049374F"/>
    <w:rsid w:val="00497A70"/>
    <w:rsid w:val="00497E7A"/>
    <w:rsid w:val="004A324B"/>
    <w:rsid w:val="004A331B"/>
    <w:rsid w:val="004A3778"/>
    <w:rsid w:val="004A5C90"/>
    <w:rsid w:val="004B154F"/>
    <w:rsid w:val="004C3B4F"/>
    <w:rsid w:val="004D0EB7"/>
    <w:rsid w:val="004D5258"/>
    <w:rsid w:val="004D53B7"/>
    <w:rsid w:val="004E1AC3"/>
    <w:rsid w:val="004E551E"/>
    <w:rsid w:val="00502D1A"/>
    <w:rsid w:val="00504EB2"/>
    <w:rsid w:val="00514EB1"/>
    <w:rsid w:val="0052158A"/>
    <w:rsid w:val="00521BA9"/>
    <w:rsid w:val="0052416A"/>
    <w:rsid w:val="00524D9B"/>
    <w:rsid w:val="00530057"/>
    <w:rsid w:val="00531F0F"/>
    <w:rsid w:val="005367EB"/>
    <w:rsid w:val="00543D5E"/>
    <w:rsid w:val="005446F3"/>
    <w:rsid w:val="00545F2F"/>
    <w:rsid w:val="005611FF"/>
    <w:rsid w:val="005622F9"/>
    <w:rsid w:val="00563346"/>
    <w:rsid w:val="00565A49"/>
    <w:rsid w:val="005669DD"/>
    <w:rsid w:val="00571F41"/>
    <w:rsid w:val="00572556"/>
    <w:rsid w:val="00575335"/>
    <w:rsid w:val="00576C84"/>
    <w:rsid w:val="00585A6B"/>
    <w:rsid w:val="00593132"/>
    <w:rsid w:val="0059410B"/>
    <w:rsid w:val="00595BE4"/>
    <w:rsid w:val="00595C56"/>
    <w:rsid w:val="005A041A"/>
    <w:rsid w:val="005A515D"/>
    <w:rsid w:val="005B738F"/>
    <w:rsid w:val="005B76A3"/>
    <w:rsid w:val="005C6014"/>
    <w:rsid w:val="005E5D1F"/>
    <w:rsid w:val="005E5E79"/>
    <w:rsid w:val="005E67B6"/>
    <w:rsid w:val="005F25D1"/>
    <w:rsid w:val="005F302D"/>
    <w:rsid w:val="005F59DB"/>
    <w:rsid w:val="00603391"/>
    <w:rsid w:val="006049FD"/>
    <w:rsid w:val="00605683"/>
    <w:rsid w:val="00611D43"/>
    <w:rsid w:val="00612D48"/>
    <w:rsid w:val="00616B45"/>
    <w:rsid w:val="0061708F"/>
    <w:rsid w:val="006210B6"/>
    <w:rsid w:val="0062309D"/>
    <w:rsid w:val="00625F01"/>
    <w:rsid w:val="00630D9B"/>
    <w:rsid w:val="00631953"/>
    <w:rsid w:val="0063675E"/>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D7AA7"/>
    <w:rsid w:val="006E0743"/>
    <w:rsid w:val="006E19BA"/>
    <w:rsid w:val="006E3B48"/>
    <w:rsid w:val="006E5FC7"/>
    <w:rsid w:val="006E7722"/>
    <w:rsid w:val="006F151C"/>
    <w:rsid w:val="00700CF9"/>
    <w:rsid w:val="0070347C"/>
    <w:rsid w:val="007176C1"/>
    <w:rsid w:val="0073250D"/>
    <w:rsid w:val="00737BCE"/>
    <w:rsid w:val="0074123A"/>
    <w:rsid w:val="00742FD7"/>
    <w:rsid w:val="007450F8"/>
    <w:rsid w:val="00745866"/>
    <w:rsid w:val="00745CA1"/>
    <w:rsid w:val="007514EF"/>
    <w:rsid w:val="007527B6"/>
    <w:rsid w:val="00753BDA"/>
    <w:rsid w:val="00766A94"/>
    <w:rsid w:val="007673E8"/>
    <w:rsid w:val="00770118"/>
    <w:rsid w:val="00780335"/>
    <w:rsid w:val="00780EAE"/>
    <w:rsid w:val="007811F7"/>
    <w:rsid w:val="007817A1"/>
    <w:rsid w:val="007820F2"/>
    <w:rsid w:val="00783F37"/>
    <w:rsid w:val="00786EF4"/>
    <w:rsid w:val="007904AF"/>
    <w:rsid w:val="00790F2F"/>
    <w:rsid w:val="00795138"/>
    <w:rsid w:val="007A6076"/>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93D70"/>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5A77"/>
    <w:rsid w:val="009066AE"/>
    <w:rsid w:val="00911BF7"/>
    <w:rsid w:val="00922301"/>
    <w:rsid w:val="00922FBA"/>
    <w:rsid w:val="00926E87"/>
    <w:rsid w:val="00932D7A"/>
    <w:rsid w:val="009416C9"/>
    <w:rsid w:val="00952247"/>
    <w:rsid w:val="00952FDB"/>
    <w:rsid w:val="00953DE0"/>
    <w:rsid w:val="009566B0"/>
    <w:rsid w:val="00970F62"/>
    <w:rsid w:val="00977EC8"/>
    <w:rsid w:val="009817BD"/>
    <w:rsid w:val="009837CB"/>
    <w:rsid w:val="009A21FA"/>
    <w:rsid w:val="009A6F85"/>
    <w:rsid w:val="009B060F"/>
    <w:rsid w:val="009B18A3"/>
    <w:rsid w:val="009B25CE"/>
    <w:rsid w:val="009B5EA0"/>
    <w:rsid w:val="009B6524"/>
    <w:rsid w:val="009C1239"/>
    <w:rsid w:val="009C246D"/>
    <w:rsid w:val="009C2848"/>
    <w:rsid w:val="009C38EA"/>
    <w:rsid w:val="009D3A8C"/>
    <w:rsid w:val="009E01B8"/>
    <w:rsid w:val="009E698E"/>
    <w:rsid w:val="009E7956"/>
    <w:rsid w:val="00A11C63"/>
    <w:rsid w:val="00A134EB"/>
    <w:rsid w:val="00A1547F"/>
    <w:rsid w:val="00A17EEC"/>
    <w:rsid w:val="00A2492E"/>
    <w:rsid w:val="00A30B57"/>
    <w:rsid w:val="00A31F07"/>
    <w:rsid w:val="00A41235"/>
    <w:rsid w:val="00A43E19"/>
    <w:rsid w:val="00A44CBA"/>
    <w:rsid w:val="00A45EBB"/>
    <w:rsid w:val="00A5613A"/>
    <w:rsid w:val="00A6502C"/>
    <w:rsid w:val="00A70163"/>
    <w:rsid w:val="00A71439"/>
    <w:rsid w:val="00A73DB7"/>
    <w:rsid w:val="00A778A5"/>
    <w:rsid w:val="00A80554"/>
    <w:rsid w:val="00A86837"/>
    <w:rsid w:val="00A87087"/>
    <w:rsid w:val="00A92C6B"/>
    <w:rsid w:val="00A963DD"/>
    <w:rsid w:val="00AA0176"/>
    <w:rsid w:val="00AA3C96"/>
    <w:rsid w:val="00AA5B1E"/>
    <w:rsid w:val="00AA72C3"/>
    <w:rsid w:val="00AA77E5"/>
    <w:rsid w:val="00AB6447"/>
    <w:rsid w:val="00AC67A1"/>
    <w:rsid w:val="00AC7977"/>
    <w:rsid w:val="00AD1E14"/>
    <w:rsid w:val="00AD3F23"/>
    <w:rsid w:val="00AD545E"/>
    <w:rsid w:val="00AE1716"/>
    <w:rsid w:val="00AE352C"/>
    <w:rsid w:val="00AE4F08"/>
    <w:rsid w:val="00AE5E87"/>
    <w:rsid w:val="00AE69A8"/>
    <w:rsid w:val="00AE7BCA"/>
    <w:rsid w:val="00AF1446"/>
    <w:rsid w:val="00AF2F6F"/>
    <w:rsid w:val="00AF52DB"/>
    <w:rsid w:val="00B03AD8"/>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3A6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06463"/>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E03EF"/>
    <w:rsid w:val="00CF4311"/>
    <w:rsid w:val="00CF6435"/>
    <w:rsid w:val="00D0029B"/>
    <w:rsid w:val="00D016B5"/>
    <w:rsid w:val="00D034F1"/>
    <w:rsid w:val="00D10BD3"/>
    <w:rsid w:val="00D11B17"/>
    <w:rsid w:val="00D218FC"/>
    <w:rsid w:val="00D22284"/>
    <w:rsid w:val="00D27297"/>
    <w:rsid w:val="00D27D5E"/>
    <w:rsid w:val="00D31640"/>
    <w:rsid w:val="00D319BE"/>
    <w:rsid w:val="00D34270"/>
    <w:rsid w:val="00D40906"/>
    <w:rsid w:val="00D41B47"/>
    <w:rsid w:val="00D428F9"/>
    <w:rsid w:val="00D440EE"/>
    <w:rsid w:val="00D47F24"/>
    <w:rsid w:val="00D52A86"/>
    <w:rsid w:val="00D60301"/>
    <w:rsid w:val="00D64213"/>
    <w:rsid w:val="00D6487C"/>
    <w:rsid w:val="00D70305"/>
    <w:rsid w:val="00D72874"/>
    <w:rsid w:val="00D75A23"/>
    <w:rsid w:val="00D84247"/>
    <w:rsid w:val="00D8534F"/>
    <w:rsid w:val="00D86AD1"/>
    <w:rsid w:val="00D94430"/>
    <w:rsid w:val="00D96366"/>
    <w:rsid w:val="00DA1820"/>
    <w:rsid w:val="00DA57D4"/>
    <w:rsid w:val="00DA6BC7"/>
    <w:rsid w:val="00DB4793"/>
    <w:rsid w:val="00DB533B"/>
    <w:rsid w:val="00DB5C62"/>
    <w:rsid w:val="00DB71B7"/>
    <w:rsid w:val="00DC158C"/>
    <w:rsid w:val="00DC45A6"/>
    <w:rsid w:val="00DC51E3"/>
    <w:rsid w:val="00DD051B"/>
    <w:rsid w:val="00DD38E9"/>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30A6C"/>
    <w:rsid w:val="00E418A5"/>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265E"/>
    <w:rsid w:val="00ED7BEB"/>
    <w:rsid w:val="00EE2EA3"/>
    <w:rsid w:val="00EE43A7"/>
    <w:rsid w:val="00EF041A"/>
    <w:rsid w:val="00F01516"/>
    <w:rsid w:val="00F0189E"/>
    <w:rsid w:val="00F071AD"/>
    <w:rsid w:val="00F12577"/>
    <w:rsid w:val="00F14D09"/>
    <w:rsid w:val="00F2271B"/>
    <w:rsid w:val="00F227C9"/>
    <w:rsid w:val="00F27F4C"/>
    <w:rsid w:val="00F337B3"/>
    <w:rsid w:val="00F35A1F"/>
    <w:rsid w:val="00F37523"/>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365"/>
    <w:rsid w:val="00FC0CDC"/>
    <w:rsid w:val="00FD64E0"/>
    <w:rsid w:val="00FE1D5F"/>
    <w:rsid w:val="00FE2AF4"/>
    <w:rsid w:val="00FE307F"/>
    <w:rsid w:val="00FE45F6"/>
    <w:rsid w:val="00FE642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9C04589"/>
  <w15:docId w15:val="{37FD9A99-007E-4A4F-98F5-B37C929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lock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eastAsia="x-none"/>
    </w:rPr>
  </w:style>
  <w:style w:type="character" w:styleId="EndnoteReference">
    <w:name w:val="endnote reference"/>
    <w:aliases w:val="1_G"/>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paragraph" w:styleId="ListParagraph">
    <w:name w:val="List Paragraph"/>
    <w:basedOn w:val="Normal"/>
    <w:uiPriority w:val="34"/>
    <w:qFormat/>
    <w:rsid w:val="00A87087"/>
    <w:pPr>
      <w:ind w:left="720"/>
    </w:pPr>
  </w:style>
  <w:style w:type="table" w:customStyle="1" w:styleId="Grilledutableau6">
    <w:name w:val="Grille du tableau6"/>
    <w:basedOn w:val="TableNormal"/>
    <w:uiPriority w:val="59"/>
    <w:rsid w:val="00B83A66"/>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2C1E-9F4B-45A3-99FD-C6547925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4</TotalTime>
  <Pages>3</Pages>
  <Words>580</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ECE-TRANS-WP.15-AC.2-2018-XXf.doc</vt:lpstr>
      <vt:lpstr>ECE-TRANS-WP.15-AC.2-2018-XXf.doc</vt:lpstr>
    </vt:vector>
  </TitlesOfParts>
  <Company>CSD</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ECE-TRANS-WP.15-AC.2-2018-XXf.doc</dc:title>
  <dc:creator>UNECE</dc:creator>
  <cp:lastModifiedBy>ECE-ADN-45 eng</cp:lastModifiedBy>
  <cp:revision>6</cp:revision>
  <cp:lastPrinted>2018-06-04T12:15:00Z</cp:lastPrinted>
  <dcterms:created xsi:type="dcterms:W3CDTF">2018-06-18T10:43:00Z</dcterms:created>
  <dcterms:modified xsi:type="dcterms:W3CDTF">2018-06-18T11:49:00Z</dcterms:modified>
</cp:coreProperties>
</file>