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7" w:rsidRPr="007E310E" w:rsidRDefault="009D26E7" w:rsidP="009D26E7">
      <w:pPr>
        <w:widowControl/>
        <w:overflowPunct/>
        <w:autoSpaceDE/>
        <w:autoSpaceDN/>
        <w:adjustRightInd/>
        <w:snapToGrid w:val="0"/>
        <w:ind w:left="5387" w:right="-286" w:firstLine="0"/>
        <w:jc w:val="left"/>
        <w:textAlignment w:val="auto"/>
        <w:outlineLvl w:val="0"/>
        <w:rPr>
          <w:rFonts w:ascii="Arial" w:eastAsia="Arial" w:hAnsi="Arial" w:cs="Arial"/>
          <w:bCs/>
          <w:szCs w:val="24"/>
          <w:lang w:val="nl-NL" w:eastAsia="de-DE"/>
        </w:rPr>
      </w:pPr>
      <w:bookmarkStart w:id="0" w:name="_GoBack"/>
      <w:bookmarkEnd w:id="0"/>
      <w:r w:rsidRPr="007E310E">
        <w:rPr>
          <w:rFonts w:ascii="Arial" w:eastAsia="Arial" w:hAnsi="Arial" w:cs="Arial"/>
          <w:bCs/>
          <w:noProof/>
          <w:szCs w:val="24"/>
          <w:lang w:val="fr-FR"/>
        </w:rPr>
        <w:drawing>
          <wp:anchor distT="0" distB="0" distL="114300" distR="114300" simplePos="0" relativeHeight="251659264" behindDoc="0" locked="0" layoutInCell="1" allowOverlap="1" wp14:anchorId="42D52033" wp14:editId="05412F1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E310E">
        <w:rPr>
          <w:rFonts w:ascii="Arial" w:eastAsia="Arial" w:hAnsi="Arial" w:cs="Arial"/>
          <w:bCs/>
          <w:szCs w:val="24"/>
          <w:lang w:val="nl-NL" w:eastAsia="de-DE"/>
        </w:rPr>
        <w:t>CCNR-ZKR/ADN/WP.15/AC.2/2018/</w:t>
      </w:r>
      <w:r w:rsidR="008F17F6">
        <w:rPr>
          <w:rFonts w:ascii="Arial" w:eastAsia="Arial" w:hAnsi="Arial" w:cs="Arial"/>
          <w:bCs/>
          <w:szCs w:val="24"/>
          <w:lang w:val="nl-NL" w:eastAsia="de-DE"/>
        </w:rPr>
        <w:t>4</w:t>
      </w:r>
      <w:r w:rsidR="004412EC">
        <w:rPr>
          <w:rFonts w:ascii="Arial" w:eastAsia="Arial" w:hAnsi="Arial" w:cs="Arial"/>
          <w:bCs/>
          <w:szCs w:val="24"/>
          <w:lang w:val="nl-NL" w:eastAsia="de-DE"/>
        </w:rPr>
        <w:t>8</w:t>
      </w:r>
    </w:p>
    <w:p w:rsidR="009D26E7" w:rsidRPr="007E310E"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7E310E">
        <w:rPr>
          <w:rFonts w:ascii="Arial" w:hAnsi="Arial" w:cs="Arial"/>
          <w:sz w:val="16"/>
          <w:szCs w:val="24"/>
          <w:lang w:eastAsia="de-DE"/>
        </w:rPr>
        <w:t>Allgemeine Verteilung</w:t>
      </w:r>
    </w:p>
    <w:p w:rsidR="009D26E7" w:rsidRPr="007E310E" w:rsidRDefault="003B2631"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w:t>
      </w:r>
      <w:r w:rsidR="004E74C0">
        <w:rPr>
          <w:rFonts w:ascii="Arial" w:eastAsia="Arial" w:hAnsi="Arial" w:cs="Arial"/>
          <w:szCs w:val="24"/>
          <w:lang w:eastAsia="de-DE"/>
        </w:rPr>
        <w:t>3</w:t>
      </w:r>
      <w:r w:rsidR="009D26E7" w:rsidRPr="007E310E">
        <w:rPr>
          <w:rFonts w:ascii="Arial" w:eastAsia="Arial" w:hAnsi="Arial" w:cs="Arial"/>
          <w:szCs w:val="24"/>
          <w:lang w:eastAsia="de-DE"/>
        </w:rPr>
        <w:t xml:space="preserve">. </w:t>
      </w:r>
      <w:r w:rsidR="007E310E" w:rsidRPr="007E310E">
        <w:rPr>
          <w:rFonts w:ascii="Arial" w:eastAsia="Arial" w:hAnsi="Arial" w:cs="Arial"/>
          <w:szCs w:val="24"/>
          <w:lang w:eastAsia="de-DE"/>
        </w:rPr>
        <w:t>Juni</w:t>
      </w:r>
      <w:r w:rsidR="009D26E7" w:rsidRPr="007E310E">
        <w:rPr>
          <w:rFonts w:ascii="Arial" w:eastAsia="Arial" w:hAnsi="Arial" w:cs="Arial"/>
          <w:szCs w:val="24"/>
          <w:lang w:eastAsia="de-DE"/>
        </w:rPr>
        <w:t xml:space="preserve"> 2018</w:t>
      </w:r>
    </w:p>
    <w:p w:rsidR="009D26E7" w:rsidRPr="007E310E"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7E310E">
        <w:rPr>
          <w:rFonts w:ascii="Arial" w:eastAsia="Arial" w:hAnsi="Arial" w:cs="Arial"/>
          <w:sz w:val="16"/>
          <w:szCs w:val="24"/>
          <w:lang w:eastAsia="de-DE"/>
        </w:rPr>
        <w:t xml:space="preserve">Or. </w:t>
      </w:r>
      <w:r w:rsidR="004A6242">
        <w:rPr>
          <w:rFonts w:ascii="Arial" w:eastAsia="Arial" w:hAnsi="Arial" w:cs="Arial"/>
          <w:sz w:val="16"/>
          <w:szCs w:val="24"/>
          <w:lang w:eastAsia="de-DE"/>
        </w:rPr>
        <w:t>ENGLISCH</w:t>
      </w: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GEMEINSAME EXPERTENTAGUNG FÜR DIE DEM</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ÜBEREINKOMMEN ÜBER DIE INTERNATIONALE BEFÖRDERUNG</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VON GEFÄHRLICHEN GÜTERN AUF BINNENWASSERSTRASSEN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BEIGEFÜGTE VERORDNUNG (ADN)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(SICHERHEITSAUSSCHUSS)</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sz w:val="16"/>
          <w:szCs w:val="24"/>
        </w:rPr>
      </w:pPr>
      <w:r w:rsidRPr="007E310E">
        <w:rPr>
          <w:rFonts w:ascii="Arial" w:hAnsi="Arial"/>
          <w:sz w:val="16"/>
          <w:szCs w:val="24"/>
        </w:rPr>
        <w:t>(33. Tagung, Genf, 27.-</w:t>
      </w:r>
      <w:r w:rsidR="004E74C0">
        <w:rPr>
          <w:rFonts w:ascii="Arial" w:hAnsi="Arial"/>
          <w:sz w:val="16"/>
          <w:szCs w:val="24"/>
        </w:rPr>
        <w:t xml:space="preserve"> </w:t>
      </w:r>
      <w:r w:rsidRPr="007E310E">
        <w:rPr>
          <w:rFonts w:ascii="Arial" w:hAnsi="Arial"/>
          <w:sz w:val="16"/>
          <w:szCs w:val="24"/>
        </w:rPr>
        <w:t>31. August 2018)</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7E310E">
        <w:rPr>
          <w:rFonts w:ascii="Arial" w:hAnsi="Arial" w:cs="Arial"/>
          <w:sz w:val="16"/>
          <w:szCs w:val="16"/>
          <w:lang w:eastAsia="en-US"/>
        </w:rPr>
        <w:t xml:space="preserve">Punkt </w:t>
      </w:r>
      <w:r w:rsidR="00231A2D">
        <w:rPr>
          <w:rFonts w:ascii="Arial" w:hAnsi="Arial" w:cs="Arial"/>
          <w:sz w:val="16"/>
          <w:szCs w:val="16"/>
          <w:lang w:eastAsia="en-US"/>
        </w:rPr>
        <w:t>4 b)</w:t>
      </w:r>
      <w:r w:rsidRPr="007E310E">
        <w:rPr>
          <w:rFonts w:ascii="Arial" w:hAnsi="Arial" w:cs="Arial"/>
          <w:sz w:val="16"/>
          <w:szCs w:val="16"/>
          <w:lang w:eastAsia="en-US"/>
        </w:rPr>
        <w:t xml:space="preserve"> zur vorläufigen Tagesordnung</w:t>
      </w:r>
    </w:p>
    <w:p w:rsidR="009D26E7" w:rsidRPr="007E310E" w:rsidRDefault="009D26E7" w:rsidP="004E74C0">
      <w:pPr>
        <w:ind w:left="3960" w:firstLine="9"/>
        <w:rPr>
          <w:rFonts w:ascii="Arial" w:hAnsi="Arial" w:cs="Arial"/>
          <w:b/>
          <w:sz w:val="16"/>
          <w:szCs w:val="16"/>
          <w:lang w:eastAsia="en-US"/>
        </w:rPr>
      </w:pPr>
      <w:r w:rsidRPr="007E310E">
        <w:rPr>
          <w:rFonts w:ascii="Arial" w:hAnsi="Arial" w:cs="Arial"/>
          <w:b/>
          <w:sz w:val="16"/>
          <w:szCs w:val="16"/>
          <w:lang w:eastAsia="en-US"/>
        </w:rPr>
        <w:t>Vorschläge für Änderungen der dem ADN beigefügten Verordnung</w:t>
      </w:r>
      <w:r w:rsidR="00231A2D">
        <w:rPr>
          <w:rFonts w:ascii="Arial" w:hAnsi="Arial" w:cs="Arial"/>
          <w:b/>
          <w:sz w:val="16"/>
          <w:szCs w:val="16"/>
          <w:lang w:eastAsia="en-US"/>
        </w:rPr>
        <w:t xml:space="preserve">: </w:t>
      </w:r>
      <w:r w:rsidR="00231A2D" w:rsidRPr="004B1815">
        <w:rPr>
          <w:rFonts w:ascii="Arial" w:hAnsi="Arial" w:cs="Arial"/>
          <w:b/>
          <w:sz w:val="16"/>
          <w:szCs w:val="16"/>
          <w:lang w:eastAsia="en-US"/>
        </w:rPr>
        <w:t>Weitere Vorschläge</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4412EC" w:rsidRPr="004412EC" w:rsidRDefault="007B712A" w:rsidP="004412EC">
      <w:pPr>
        <w:pStyle w:val="HChG"/>
        <w:rPr>
          <w:lang w:val="en-GB" w:eastAsia="en-US"/>
        </w:rPr>
      </w:pPr>
      <w:r w:rsidRPr="007B712A">
        <w:rPr>
          <w:lang w:val="en-GB" w:eastAsia="en-US"/>
        </w:rPr>
        <w:tab/>
      </w:r>
      <w:r w:rsidR="004412EC">
        <w:rPr>
          <w:lang w:val="en-GB" w:eastAsia="en-US"/>
        </w:rPr>
        <w:tab/>
      </w:r>
      <w:r w:rsidR="004412EC" w:rsidRPr="004412EC">
        <w:rPr>
          <w:bCs/>
          <w:iCs/>
          <w:lang w:val="de-DE" w:eastAsia="en-US"/>
        </w:rPr>
        <w:t>Vorschlag zur redaktionellen Verbesserung der Lesbarkeit und Benutzerfreundlichkeit des ADN: Tankcontainer versus Container</w:t>
      </w:r>
    </w:p>
    <w:p w:rsidR="004412EC" w:rsidRPr="004412EC" w:rsidRDefault="004412EC" w:rsidP="004412EC">
      <w:pPr>
        <w:keepNext/>
        <w:keepLines/>
        <w:widowControl/>
        <w:tabs>
          <w:tab w:val="right" w:pos="851"/>
        </w:tabs>
        <w:suppressAutoHyphens/>
        <w:overflowPunct/>
        <w:autoSpaceDE/>
        <w:autoSpaceDN/>
        <w:adjustRightInd/>
        <w:spacing w:before="360" w:after="240" w:line="270" w:lineRule="exact"/>
        <w:ind w:right="1134"/>
        <w:jc w:val="left"/>
        <w:textAlignment w:val="auto"/>
        <w:rPr>
          <w:b/>
          <w:bCs/>
          <w:vertAlign w:val="superscript"/>
          <w:lang w:val="en-US" w:eastAsia="en-US"/>
        </w:rPr>
      </w:pPr>
      <w:r w:rsidRPr="004412EC">
        <w:rPr>
          <w:b/>
          <w:sz w:val="24"/>
          <w:lang w:val="en-GB" w:eastAsia="en-US"/>
        </w:rPr>
        <w:tab/>
      </w:r>
      <w:r w:rsidRPr="004412EC">
        <w:rPr>
          <w:b/>
          <w:sz w:val="24"/>
          <w:lang w:val="en-GB" w:eastAsia="en-US"/>
        </w:rPr>
        <w:tab/>
      </w:r>
      <w:r w:rsidRPr="004412EC">
        <w:rPr>
          <w:b/>
          <w:spacing w:val="-4"/>
          <w:sz w:val="24"/>
          <w:lang w:eastAsia="en-US"/>
        </w:rPr>
        <w:t>Eingereicht von der Europäischen Binnenschifffahrts-Union (EBU) und der Europäischen Schifferorganisation (ESO)</w:t>
      </w:r>
      <w:r w:rsidRPr="004412EC">
        <w:rPr>
          <w:bCs/>
          <w:vertAlign w:val="superscript"/>
          <w:lang w:eastAsia="en-US"/>
        </w:rPr>
        <w:t xml:space="preserve"> </w:t>
      </w:r>
      <w:r w:rsidRPr="004412EC">
        <w:rPr>
          <w:bCs/>
          <w:vertAlign w:val="superscript"/>
          <w:lang w:eastAsia="en-US"/>
        </w:rPr>
        <w:footnoteReference w:customMarkFollows="1" w:id="1"/>
        <w:t>*,</w:t>
      </w:r>
      <w:r w:rsidRPr="004412EC">
        <w:rPr>
          <w:bCs/>
          <w:vertAlign w:val="superscript"/>
          <w:lang w:eastAsia="en-US"/>
        </w:rPr>
        <w:footnoteReference w:customMarkFollows="1" w:id="2"/>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4412EC" w:rsidRPr="004412EC" w:rsidTr="007B274D">
        <w:trPr>
          <w:jc w:val="center"/>
        </w:trPr>
        <w:tc>
          <w:tcPr>
            <w:tcW w:w="2552" w:type="dxa"/>
            <w:tcBorders>
              <w:bottom w:val="single" w:sz="4" w:space="0" w:color="auto"/>
            </w:tcBorders>
          </w:tcPr>
          <w:p w:rsidR="004412EC" w:rsidRPr="004412EC" w:rsidRDefault="004412EC" w:rsidP="004412EC">
            <w:pPr>
              <w:widowControl/>
              <w:tabs>
                <w:tab w:val="left" w:pos="284"/>
              </w:tabs>
              <w:suppressAutoHyphens/>
              <w:overflowPunct/>
              <w:autoSpaceDE/>
              <w:autoSpaceDN/>
              <w:adjustRightInd/>
              <w:spacing w:before="120" w:after="120" w:line="240" w:lineRule="atLeast"/>
              <w:ind w:left="0" w:firstLine="0"/>
              <w:jc w:val="left"/>
              <w:textAlignment w:val="auto"/>
              <w:rPr>
                <w:b/>
                <w:lang w:val="en-GB" w:eastAsia="en-US"/>
              </w:rPr>
            </w:pPr>
            <w:r w:rsidRPr="004412EC">
              <w:rPr>
                <w:b/>
                <w:lang w:eastAsia="en-US"/>
              </w:rPr>
              <w:t>Verbundene Dokumente:</w:t>
            </w:r>
          </w:p>
        </w:tc>
        <w:tc>
          <w:tcPr>
            <w:tcW w:w="5953" w:type="dxa"/>
            <w:tcBorders>
              <w:bottom w:val="single" w:sz="4" w:space="0" w:color="auto"/>
            </w:tcBorders>
          </w:tcPr>
          <w:p w:rsidR="004412EC" w:rsidRPr="004412EC" w:rsidRDefault="004412EC" w:rsidP="004412EC">
            <w:pPr>
              <w:widowControl/>
              <w:suppressAutoHyphens/>
              <w:overflowPunct/>
              <w:autoSpaceDE/>
              <w:autoSpaceDN/>
              <w:adjustRightInd/>
              <w:spacing w:line="240" w:lineRule="atLeast"/>
              <w:ind w:left="0" w:firstLine="0"/>
              <w:jc w:val="left"/>
              <w:textAlignment w:val="auto"/>
              <w:rPr>
                <w:lang w:val="en-US" w:eastAsia="en-US"/>
              </w:rPr>
            </w:pPr>
            <w:r w:rsidRPr="004412EC">
              <w:rPr>
                <w:lang w:eastAsia="en-US"/>
              </w:rPr>
              <w:t>ECE/TRANS/WP.15/AC.2/66</w:t>
            </w:r>
          </w:p>
          <w:p w:rsidR="004412EC" w:rsidRPr="004412EC" w:rsidRDefault="004412EC" w:rsidP="004412EC">
            <w:pPr>
              <w:widowControl/>
              <w:suppressAutoHyphens/>
              <w:overflowPunct/>
              <w:autoSpaceDE/>
              <w:autoSpaceDN/>
              <w:adjustRightInd/>
              <w:spacing w:after="120" w:line="240" w:lineRule="atLeast"/>
              <w:ind w:left="0" w:firstLine="0"/>
              <w:jc w:val="left"/>
              <w:textAlignment w:val="auto"/>
              <w:rPr>
                <w:lang w:val="en-US" w:eastAsia="en-US"/>
              </w:rPr>
            </w:pPr>
            <w:r w:rsidRPr="004412EC">
              <w:rPr>
                <w:lang w:eastAsia="en-US"/>
              </w:rPr>
              <w:t>Informelles Dokument INF.20 der zweiunddreißigsten Sitzung (Unterabschnitt C)</w:t>
            </w:r>
          </w:p>
        </w:tc>
      </w:tr>
    </w:tbl>
    <w:p w:rsidR="004412EC" w:rsidRPr="004412EC" w:rsidRDefault="004412EC" w:rsidP="004412E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4412EC">
        <w:rPr>
          <w:b/>
          <w:sz w:val="28"/>
          <w:lang w:val="en-GB" w:eastAsia="en-US"/>
        </w:rPr>
        <w:tab/>
      </w:r>
      <w:r w:rsidRPr="004412EC">
        <w:rPr>
          <w:b/>
          <w:sz w:val="28"/>
          <w:lang w:val="en-GB" w:eastAsia="en-US"/>
        </w:rPr>
        <w:tab/>
      </w:r>
      <w:r w:rsidRPr="004412EC">
        <w:rPr>
          <w:b/>
          <w:sz w:val="28"/>
          <w:lang w:eastAsia="en-US"/>
        </w:rPr>
        <w:t>Einleitung</w:t>
      </w:r>
    </w:p>
    <w:p w:rsidR="004412EC" w:rsidRPr="004412EC" w:rsidRDefault="004412EC" w:rsidP="004412EC">
      <w:pPr>
        <w:widowControl/>
        <w:tabs>
          <w:tab w:val="left" w:pos="1701"/>
        </w:tabs>
        <w:suppressAutoHyphens/>
        <w:overflowPunct/>
        <w:autoSpaceDE/>
        <w:autoSpaceDN/>
        <w:adjustRightInd/>
        <w:spacing w:after="120" w:line="240" w:lineRule="atLeast"/>
        <w:ind w:right="1134" w:firstLine="0"/>
        <w:textAlignment w:val="auto"/>
        <w:rPr>
          <w:lang w:val="en-US" w:eastAsia="en-US"/>
        </w:rPr>
      </w:pPr>
      <w:r w:rsidRPr="004412EC">
        <w:rPr>
          <w:lang w:val="en-US" w:eastAsia="en-US"/>
        </w:rPr>
        <w:t>1.</w:t>
      </w:r>
      <w:r w:rsidRPr="004412EC">
        <w:rPr>
          <w:lang w:val="en-US" w:eastAsia="en-US"/>
        </w:rPr>
        <w:tab/>
      </w:r>
      <w:r w:rsidRPr="004412EC">
        <w:rPr>
          <w:lang w:eastAsia="en-US"/>
        </w:rPr>
        <w:t>Während der Gefahrgutsitzungen der EBU/ESO-Mitglieder und der teilnehmenden ADN-Ausbilder, die der informellen Arbeitsgruppe „Sachkundigenausbildung“ beigetreten sind, haben EBU/ESO einige Verbesserungsvorschläge, vor allem redaktioneller Art, im Hinblick auf die Lesbarkeit und Benutzerfreundlichkeit des ADN zur allgemeinen Klarstellung und für die Schiffsbesatzungsmitglieder als spezifische praktische Nutzer des ADN erhalten; die ADN-Sachkundigen an Bord von Binnenschiffen.</w:t>
      </w:r>
    </w:p>
    <w:p w:rsidR="00141B2B" w:rsidRDefault="00141B2B">
      <w:pPr>
        <w:widowControl/>
        <w:overflowPunct/>
        <w:autoSpaceDE/>
        <w:autoSpaceDN/>
        <w:adjustRightInd/>
        <w:ind w:left="0" w:firstLine="0"/>
        <w:jc w:val="left"/>
        <w:textAlignment w:val="auto"/>
        <w:rPr>
          <w:lang w:val="en-US" w:eastAsia="en-US"/>
        </w:rPr>
      </w:pPr>
      <w:r>
        <w:rPr>
          <w:lang w:val="en-US" w:eastAsia="en-US"/>
        </w:rPr>
        <w:br w:type="page"/>
      </w:r>
    </w:p>
    <w:p w:rsidR="004412EC" w:rsidRPr="004412EC" w:rsidRDefault="004412EC" w:rsidP="004412EC">
      <w:pPr>
        <w:widowControl/>
        <w:tabs>
          <w:tab w:val="left" w:pos="1701"/>
        </w:tabs>
        <w:suppressAutoHyphens/>
        <w:overflowPunct/>
        <w:autoSpaceDE/>
        <w:autoSpaceDN/>
        <w:adjustRightInd/>
        <w:spacing w:after="120" w:line="240" w:lineRule="atLeast"/>
        <w:ind w:right="1134" w:firstLine="0"/>
        <w:textAlignment w:val="auto"/>
        <w:rPr>
          <w:lang w:val="en-US" w:eastAsia="en-US"/>
        </w:rPr>
      </w:pPr>
      <w:r w:rsidRPr="004412EC">
        <w:rPr>
          <w:lang w:val="en-US" w:eastAsia="en-US"/>
        </w:rPr>
        <w:lastRenderedPageBreak/>
        <w:t>2.</w:t>
      </w:r>
      <w:r w:rsidRPr="004412EC">
        <w:rPr>
          <w:lang w:val="en-US" w:eastAsia="en-US"/>
        </w:rPr>
        <w:tab/>
      </w:r>
      <w:r w:rsidRPr="004412EC">
        <w:rPr>
          <w:lang w:eastAsia="en-US"/>
        </w:rPr>
        <w:t>Während der zweiunddreißigsten Sitzung des ADN-Sicherheitsausschusses wurde dieser Vorschlag im Namen von EBU und ESO vorgelegt.</w:t>
      </w:r>
      <w:r w:rsidRPr="004412EC">
        <w:rPr>
          <w:lang w:val="en-US" w:eastAsia="en-US"/>
        </w:rPr>
        <w:t xml:space="preserve"> </w:t>
      </w:r>
      <w:r w:rsidRPr="004412EC">
        <w:rPr>
          <w:lang w:eastAsia="en-US"/>
        </w:rPr>
        <w:t>Der Sicherheitsausschuss bat die Vertreter von EBU und ESO, die geäußerten Bemerkungen zu berücksichtigen und für die dreiunddreißigste Sitzung einen überarbeiteten Vorschlag in einem offiziellen Dokument vorzulegen.</w:t>
      </w:r>
      <w:r w:rsidRPr="004412EC">
        <w:rPr>
          <w:lang w:val="en-US" w:eastAsia="en-US"/>
        </w:rPr>
        <w:t xml:space="preserve"> </w:t>
      </w:r>
      <w:r w:rsidRPr="004412EC">
        <w:rPr>
          <w:lang w:eastAsia="en-US"/>
        </w:rPr>
        <w:t>Der Vorschlag in diesem Dokument trägt dieser Bitte Rechnung.</w:t>
      </w:r>
    </w:p>
    <w:p w:rsidR="004412EC" w:rsidRPr="004412EC" w:rsidRDefault="004412EC" w:rsidP="004412EC">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4412EC">
        <w:rPr>
          <w:lang w:val="en-US" w:eastAsia="en-US"/>
        </w:rPr>
        <w:t>3.</w:t>
      </w:r>
      <w:r w:rsidRPr="004412EC">
        <w:rPr>
          <w:lang w:val="en-US" w:eastAsia="en-US"/>
        </w:rPr>
        <w:tab/>
      </w:r>
      <w:r w:rsidRPr="004412EC">
        <w:rPr>
          <w:lang w:eastAsia="en-US"/>
        </w:rPr>
        <w:t>EBU/ESO ersuchen den Sicherheitsausschuss, eine Änderung des ADN zu prüfen, um einer Verwechslung der Funktion eines Tankcontainers mit einem Container vorzubeugen.</w:t>
      </w:r>
    </w:p>
    <w:p w:rsidR="004412EC" w:rsidRPr="004412EC" w:rsidRDefault="004412EC" w:rsidP="004412E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4412EC">
        <w:rPr>
          <w:b/>
          <w:sz w:val="28"/>
          <w:lang w:val="en-GB" w:eastAsia="en-US"/>
        </w:rPr>
        <w:tab/>
      </w:r>
      <w:r w:rsidRPr="004412EC">
        <w:rPr>
          <w:b/>
          <w:sz w:val="28"/>
          <w:lang w:val="en-GB" w:eastAsia="en-US"/>
        </w:rPr>
        <w:tab/>
      </w:r>
      <w:r w:rsidRPr="004412EC">
        <w:rPr>
          <w:b/>
          <w:sz w:val="28"/>
          <w:lang w:eastAsia="en-US"/>
        </w:rPr>
        <w:t>Vorschlag: Änderung des Absatzes 7.1.0.5.0.2 und des Unterabschnitts 7.1.6.12 ADN</w:t>
      </w:r>
    </w:p>
    <w:p w:rsidR="004412EC" w:rsidRPr="004412EC" w:rsidRDefault="004412EC" w:rsidP="004412EC">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4412EC">
        <w:rPr>
          <w:lang w:val="en-GB" w:eastAsia="en-US"/>
        </w:rPr>
        <w:t>4.</w:t>
      </w:r>
      <w:r w:rsidRPr="004412EC">
        <w:rPr>
          <w:lang w:val="en-GB" w:eastAsia="en-US"/>
        </w:rPr>
        <w:tab/>
      </w:r>
      <w:r w:rsidRPr="004412EC">
        <w:rPr>
          <w:lang w:eastAsia="en-US"/>
        </w:rPr>
        <w:t>Problem:</w:t>
      </w:r>
      <w:r w:rsidRPr="004412EC">
        <w:rPr>
          <w:lang w:val="en-GB" w:eastAsia="en-US"/>
        </w:rPr>
        <w:t xml:space="preserve"> </w:t>
      </w:r>
      <w:r w:rsidRPr="004412EC">
        <w:rPr>
          <w:lang w:eastAsia="en-US"/>
        </w:rPr>
        <w:t>Es wurde darauf hingewiesen, dass bei der Ausbildung von Sachkundigen ein Problem im Zusammenhang mit Tankcontainern im Rahmen des Absatzes 7.1.5.0.2 „Bezeichnung“ und des Unterabschnitts 7.1.6.12 „Lüftung“ aufgetreten ist.</w:t>
      </w:r>
      <w:r w:rsidRPr="004412EC">
        <w:rPr>
          <w:lang w:val="en-GB" w:eastAsia="en-US"/>
        </w:rPr>
        <w:t xml:space="preserve"> </w:t>
      </w:r>
      <w:r w:rsidRPr="004412EC">
        <w:rPr>
          <w:lang w:eastAsia="en-US"/>
        </w:rPr>
        <w:t>Die Abfassung der Wortlaute könnte suggerieren, dass ein Tankcontainer eine Art Container ist, was nicht der Fall ist.</w:t>
      </w:r>
    </w:p>
    <w:p w:rsidR="004412EC" w:rsidRPr="004412EC" w:rsidRDefault="004412EC" w:rsidP="00141B2B">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4412EC">
        <w:rPr>
          <w:lang w:val="en-GB" w:eastAsia="en-US"/>
        </w:rPr>
        <w:t>5.</w:t>
      </w:r>
      <w:r w:rsidRPr="004412EC">
        <w:rPr>
          <w:lang w:val="en-GB" w:eastAsia="en-US"/>
        </w:rPr>
        <w:tab/>
      </w:r>
      <w:r w:rsidRPr="004412EC">
        <w:rPr>
          <w:lang w:eastAsia="en-US"/>
        </w:rPr>
        <w:t>Der Absatz über die Befreiung von der Blaukegelbezeichnungs- und Lüftungspflicht in „VE02“ ist daher nicht ganz klar und wird von der Schiffsbesatzung und sogar von den Behörden falsch verstanden.</w:t>
      </w:r>
      <w:r w:rsidRPr="004412EC">
        <w:rPr>
          <w:lang w:val="en-GB" w:eastAsia="en-US"/>
        </w:rPr>
        <w:t xml:space="preserve"> </w:t>
      </w:r>
    </w:p>
    <w:p w:rsidR="004412EC" w:rsidRPr="004412EC" w:rsidRDefault="004412EC" w:rsidP="00141B2B">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4412EC">
        <w:rPr>
          <w:lang w:val="en-GB" w:eastAsia="en-US"/>
        </w:rPr>
        <w:t>6.</w:t>
      </w:r>
      <w:r w:rsidRPr="004412EC">
        <w:rPr>
          <w:lang w:val="en-GB" w:eastAsia="en-US"/>
        </w:rPr>
        <w:tab/>
      </w:r>
      <w:r w:rsidRPr="004412EC">
        <w:rPr>
          <w:lang w:eastAsia="en-US"/>
        </w:rPr>
        <w:t>In der Begriffsbestimmung für „Container“ in Kapitel 1.2 findet sich lediglich eine Bemerkung, die besagt, dass Tankcontainer vom Anwendungsbereich der Begriffsbestimmung für „Container“ ausgenommen sind.</w:t>
      </w:r>
      <w:r w:rsidRPr="004412EC">
        <w:rPr>
          <w:lang w:val="en-GB" w:eastAsia="en-US"/>
        </w:rPr>
        <w:t xml:space="preserve"> </w:t>
      </w:r>
    </w:p>
    <w:p w:rsidR="004412EC" w:rsidRPr="004412EC" w:rsidRDefault="004412EC" w:rsidP="00141B2B">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4412EC">
        <w:rPr>
          <w:lang w:val="en-GB" w:eastAsia="en-US"/>
        </w:rPr>
        <w:t>7.</w:t>
      </w:r>
      <w:r w:rsidRPr="004412EC">
        <w:rPr>
          <w:lang w:val="en-GB" w:eastAsia="en-US"/>
        </w:rPr>
        <w:tab/>
      </w:r>
      <w:r w:rsidRPr="004412EC">
        <w:rPr>
          <w:lang w:eastAsia="en-US"/>
        </w:rPr>
        <w:t>Es wäre hilfreich, in Absatz 7.1.0.5.0.2 und Unterabschnitt 7.1.6.12 eine Bemerkung einzufügen, um die Absätze zu klarifizieren und unnötigen Missverständnissen vorzubeugen.</w:t>
      </w:r>
    </w:p>
    <w:p w:rsidR="004412EC" w:rsidRPr="004412EC" w:rsidRDefault="004412EC" w:rsidP="00141B2B">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4412EC">
        <w:rPr>
          <w:lang w:val="en-GB" w:eastAsia="en-US"/>
        </w:rPr>
        <w:t>8.</w:t>
      </w:r>
      <w:r w:rsidRPr="004412EC">
        <w:rPr>
          <w:lang w:val="en-GB" w:eastAsia="en-US"/>
        </w:rPr>
        <w:tab/>
      </w:r>
      <w:r w:rsidRPr="004412EC">
        <w:rPr>
          <w:lang w:eastAsia="en-US"/>
        </w:rPr>
        <w:t>In einigen Fällen werden keine blauen Kegel verwendet, obwohl sie z. B. bei der Beförderung eines einzelnen Tankcontainers mit 20 Tonnen eines Stoffes der Klasse 3, VG II, zwingend vorgeschrieben sind.</w:t>
      </w:r>
      <w:r w:rsidRPr="004412EC">
        <w:rPr>
          <w:lang w:val="en-GB" w:eastAsia="en-US"/>
        </w:rPr>
        <w:t xml:space="preserve"> </w:t>
      </w:r>
      <w:r w:rsidRPr="004412EC">
        <w:rPr>
          <w:lang w:eastAsia="en-US"/>
        </w:rPr>
        <w:t>In diesem Fall liegen die in Absatz 7.1.5.0.2 genannten Bedingungen nicht vor, was nicht immer klar ist.</w:t>
      </w:r>
    </w:p>
    <w:p w:rsidR="004412EC" w:rsidRPr="004412EC" w:rsidRDefault="004412EC" w:rsidP="00141B2B">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4412EC">
        <w:rPr>
          <w:lang w:val="en-GB" w:eastAsia="en-US"/>
        </w:rPr>
        <w:t>9.</w:t>
      </w:r>
      <w:r w:rsidRPr="004412EC">
        <w:rPr>
          <w:lang w:val="en-GB" w:eastAsia="en-US"/>
        </w:rPr>
        <w:tab/>
      </w:r>
      <w:r w:rsidRPr="004412EC">
        <w:rPr>
          <w:lang w:eastAsia="en-US"/>
        </w:rPr>
        <w:t>Was Unterabschnitt 7.1.6.12 betrifft, so ist ein Tankcontainer auch in diesem Zusammenhang, d. h. der Lüftung, kein Container.</w:t>
      </w:r>
      <w:r w:rsidRPr="004412EC">
        <w:rPr>
          <w:lang w:val="en-GB" w:eastAsia="en-US"/>
        </w:rPr>
        <w:t xml:space="preserve"> </w:t>
      </w:r>
      <w:r w:rsidRPr="004412EC">
        <w:rPr>
          <w:lang w:eastAsia="en-US"/>
        </w:rPr>
        <w:t>Bei der Beförderung von Tankcontainern müssen die Laderäume, wenn der Verdacht besteht, dass sie nicht frei von Gasen sind, jedoch gelüftet werden (nicht nur bei der Beförderung von Containern, sondern auch von Tankcontainern).</w:t>
      </w:r>
    </w:p>
    <w:p w:rsidR="004412EC" w:rsidRPr="004412EC" w:rsidRDefault="004412EC" w:rsidP="00141B2B">
      <w:pPr>
        <w:widowControl/>
        <w:tabs>
          <w:tab w:val="left" w:pos="1701"/>
        </w:tabs>
        <w:suppressAutoHyphens/>
        <w:overflowPunct/>
        <w:autoSpaceDE/>
        <w:autoSpaceDN/>
        <w:adjustRightInd/>
        <w:spacing w:after="120" w:line="240" w:lineRule="atLeast"/>
        <w:ind w:right="1134" w:firstLine="0"/>
        <w:textAlignment w:val="auto"/>
        <w:rPr>
          <w:b/>
          <w:i/>
          <w:lang w:val="en-GB" w:eastAsia="en-US"/>
        </w:rPr>
      </w:pPr>
      <w:r w:rsidRPr="004412EC">
        <w:rPr>
          <w:lang w:val="en-GB" w:eastAsia="en-US"/>
        </w:rPr>
        <w:t>10.</w:t>
      </w:r>
      <w:r w:rsidRPr="004412EC">
        <w:rPr>
          <w:lang w:val="en-GB" w:eastAsia="en-US"/>
        </w:rPr>
        <w:tab/>
      </w:r>
      <w:r w:rsidRPr="004412EC">
        <w:rPr>
          <w:lang w:eastAsia="en-US"/>
        </w:rPr>
        <w:t>Klarstellungsvorschlag: Am Ende des Absatzes 7.1.5.0.2 einen neuen Satz hinzufügen (neuer Text ist fett gedruckt):</w:t>
      </w:r>
    </w:p>
    <w:p w:rsidR="004412EC" w:rsidRPr="004412EC" w:rsidRDefault="004412EC" w:rsidP="004412EC">
      <w:pPr>
        <w:widowControl/>
        <w:suppressAutoHyphens/>
        <w:overflowPunct/>
        <w:autoSpaceDE/>
        <w:autoSpaceDN/>
        <w:adjustRightInd/>
        <w:spacing w:after="120" w:line="240" w:lineRule="atLeast"/>
        <w:ind w:right="1134" w:firstLine="0"/>
        <w:textAlignment w:val="auto"/>
        <w:rPr>
          <w:lang w:val="en-US" w:eastAsia="en-US"/>
        </w:rPr>
      </w:pPr>
      <w:r w:rsidRPr="004412EC">
        <w:rPr>
          <w:rFonts w:ascii="Arial" w:hAnsi="Arial" w:cs="Arial"/>
          <w:lang w:val="en-GB" w:eastAsia="en-US"/>
        </w:rPr>
        <w:t>„</w:t>
      </w:r>
      <w:r w:rsidRPr="004412EC">
        <w:rPr>
          <w:b/>
          <w:lang w:val="en-US" w:eastAsia="en-US"/>
        </w:rPr>
        <w:t>7.1.5.0.2</w:t>
      </w:r>
      <w:r w:rsidRPr="004412EC">
        <w:rPr>
          <w:lang w:val="en-US" w:eastAsia="en-US"/>
        </w:rPr>
        <w:t xml:space="preserve"> </w:t>
      </w:r>
      <w:r w:rsidRPr="004412EC">
        <w:rPr>
          <w:lang w:val="en-US" w:eastAsia="en-US"/>
        </w:rPr>
        <w:tab/>
      </w:r>
      <w:r w:rsidRPr="004412EC">
        <w:rPr>
          <w:lang w:eastAsia="en-US"/>
        </w:rPr>
        <w:t>Schiffe, welche die in Kapitel 3.2 Tabelle A aufgeführten gefährlichen verpackten Güter ausschließlich in Containern befördern, müssen die blauen Kegel oder Lichter gemäß Spalte (12) dieser Tabelle führen, sofern:</w:t>
      </w:r>
    </w:p>
    <w:p w:rsidR="004412EC" w:rsidRPr="004412EC" w:rsidRDefault="004412EC" w:rsidP="004412EC">
      <w:pPr>
        <w:widowControl/>
        <w:numPr>
          <w:ilvl w:val="0"/>
          <w:numId w:val="3"/>
        </w:numPr>
        <w:suppressAutoHyphens/>
        <w:overflowPunct/>
        <w:autoSpaceDE/>
        <w:autoSpaceDN/>
        <w:adjustRightInd/>
        <w:spacing w:after="120" w:line="240" w:lineRule="atLeast"/>
        <w:ind w:right="1134"/>
        <w:jc w:val="left"/>
        <w:textAlignment w:val="auto"/>
        <w:rPr>
          <w:lang w:val="en-US" w:eastAsia="en-US"/>
        </w:rPr>
      </w:pPr>
      <w:r w:rsidRPr="004412EC">
        <w:rPr>
          <w:lang w:eastAsia="en-US"/>
        </w:rPr>
        <w:t>drei blaue Kegel oder drei blaue Lichter gefordert sind oder</w:t>
      </w:r>
    </w:p>
    <w:p w:rsidR="004412EC" w:rsidRPr="004412EC" w:rsidRDefault="004412EC" w:rsidP="004412EC">
      <w:pPr>
        <w:widowControl/>
        <w:numPr>
          <w:ilvl w:val="0"/>
          <w:numId w:val="3"/>
        </w:numPr>
        <w:suppressAutoHyphens/>
        <w:overflowPunct/>
        <w:autoSpaceDE/>
        <w:autoSpaceDN/>
        <w:adjustRightInd/>
        <w:spacing w:after="120" w:line="240" w:lineRule="atLeast"/>
        <w:ind w:right="1134"/>
        <w:jc w:val="left"/>
        <w:textAlignment w:val="auto"/>
        <w:rPr>
          <w:lang w:val="en-US" w:eastAsia="en-US"/>
        </w:rPr>
      </w:pPr>
      <w:r w:rsidRPr="004412EC">
        <w:rPr>
          <w:lang w:eastAsia="en-US"/>
        </w:rPr>
        <w:t>zwei blaue Kegel oder zwei blaue Lichter gefordert sind, es sich um Stoffe der Klasse 2 handelt oder in Spalte (4) dieser Tabelle die Verpackungsgruppe I angegeben ist und die Bruttomassen dieser Güter zusammen mehr als 30 000 kg betragen, oder</w:t>
      </w:r>
    </w:p>
    <w:p w:rsidR="004412EC" w:rsidRPr="004412EC" w:rsidRDefault="004412EC" w:rsidP="004412EC">
      <w:pPr>
        <w:widowControl/>
        <w:numPr>
          <w:ilvl w:val="0"/>
          <w:numId w:val="3"/>
        </w:numPr>
        <w:suppressAutoHyphens/>
        <w:overflowPunct/>
        <w:autoSpaceDE/>
        <w:autoSpaceDN/>
        <w:adjustRightInd/>
        <w:spacing w:after="120" w:line="240" w:lineRule="atLeast"/>
        <w:ind w:right="1134"/>
        <w:jc w:val="left"/>
        <w:textAlignment w:val="auto"/>
        <w:rPr>
          <w:lang w:val="en-US" w:eastAsia="en-US"/>
        </w:rPr>
      </w:pPr>
      <w:r w:rsidRPr="004412EC">
        <w:rPr>
          <w:lang w:eastAsia="en-US"/>
        </w:rPr>
        <w:t>ein blauer Kegel oder ein blaues Licht gefordert ist, es sich um Stoffe der Klasse 2 handelt oder in Spalte (4) dieser Tabelle die Verpackungsgruppe I angegeben ist und die Bruttomassen dieser Güter zusammen mehr als 130 000 kg betragen.</w:t>
      </w:r>
      <w:r w:rsidRPr="004412EC" w:rsidDel="0095521C">
        <w:rPr>
          <w:lang w:val="en-US" w:eastAsia="en-US"/>
        </w:rPr>
        <w:t xml:space="preserve"> </w:t>
      </w:r>
    </w:p>
    <w:p w:rsidR="004412EC" w:rsidRPr="004412EC" w:rsidRDefault="004412EC" w:rsidP="004412EC">
      <w:pPr>
        <w:widowControl/>
        <w:suppressAutoHyphens/>
        <w:overflowPunct/>
        <w:autoSpaceDE/>
        <w:autoSpaceDN/>
        <w:adjustRightInd/>
        <w:spacing w:after="120" w:line="240" w:lineRule="atLeast"/>
        <w:ind w:right="1134" w:firstLine="0"/>
        <w:textAlignment w:val="auto"/>
        <w:rPr>
          <w:b/>
          <w:iCs/>
          <w:lang w:val="en-US" w:eastAsia="en-US"/>
        </w:rPr>
      </w:pPr>
      <w:r w:rsidRPr="004412EC">
        <w:rPr>
          <w:b/>
          <w:iCs/>
          <w:lang w:eastAsia="en-US"/>
        </w:rPr>
        <w:t>Die Vorschriften dieses Absatzes gelten nicht für die Beförderung von Tankcontainern.</w:t>
      </w:r>
      <w:r w:rsidRPr="004412EC">
        <w:rPr>
          <w:iCs/>
          <w:lang w:eastAsia="en-US"/>
        </w:rPr>
        <w:t>“</w:t>
      </w:r>
    </w:p>
    <w:p w:rsidR="004412EC" w:rsidRPr="004412EC" w:rsidRDefault="004412EC" w:rsidP="004412EC">
      <w:pPr>
        <w:keepNext/>
        <w:keepLines/>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4412EC">
        <w:rPr>
          <w:lang w:eastAsia="en-US"/>
        </w:rPr>
        <w:lastRenderedPageBreak/>
        <w:t>In Unterabschnitt 7.1.6.12 die Worte „oder Tankcontainern“ einfügen (neuer Text ist fett gedruckt).</w:t>
      </w:r>
      <w:r w:rsidR="00AC52D6">
        <w:rPr>
          <w:rStyle w:val="FootnoteReference"/>
          <w:lang w:eastAsia="en-US"/>
        </w:rPr>
        <w:footnoteReference w:id="3"/>
      </w:r>
    </w:p>
    <w:p w:rsidR="004412EC" w:rsidRPr="004412EC" w:rsidRDefault="004412EC" w:rsidP="004412EC">
      <w:pPr>
        <w:keepNext/>
        <w:keepLines/>
        <w:widowControl/>
        <w:suppressAutoHyphens/>
        <w:overflowPunct/>
        <w:autoSpaceDE/>
        <w:autoSpaceDN/>
        <w:adjustRightInd/>
        <w:spacing w:after="120" w:line="240" w:lineRule="atLeast"/>
        <w:ind w:right="1134" w:firstLine="0"/>
        <w:textAlignment w:val="auto"/>
        <w:rPr>
          <w:b/>
          <w:bCs/>
          <w:iCs/>
          <w:lang w:val="en-GB" w:eastAsia="en-US"/>
        </w:rPr>
      </w:pPr>
      <w:r w:rsidRPr="004412EC">
        <w:rPr>
          <w:rFonts w:ascii="Arial" w:hAnsi="Arial" w:cs="Arial"/>
          <w:lang w:val="en-GB" w:eastAsia="en-US"/>
        </w:rPr>
        <w:t>„</w:t>
      </w:r>
      <w:r w:rsidRPr="004412EC">
        <w:rPr>
          <w:b/>
          <w:bCs/>
          <w:lang w:val="en-GB" w:eastAsia="en-US"/>
        </w:rPr>
        <w:t xml:space="preserve">7.1.6.12 </w:t>
      </w:r>
      <w:r w:rsidRPr="004412EC">
        <w:rPr>
          <w:b/>
          <w:bCs/>
          <w:lang w:val="en-GB" w:eastAsia="en-US"/>
        </w:rPr>
        <w:tab/>
      </w:r>
      <w:r w:rsidRPr="004412EC">
        <w:rPr>
          <w:b/>
          <w:bCs/>
          <w:iCs/>
          <w:lang w:eastAsia="en-US"/>
        </w:rPr>
        <w:t>Lüftung</w:t>
      </w:r>
    </w:p>
    <w:p w:rsidR="004412EC" w:rsidRPr="004412EC" w:rsidRDefault="004412EC" w:rsidP="004412EC">
      <w:pPr>
        <w:keepNext/>
        <w:keepLines/>
        <w:widowControl/>
        <w:suppressAutoHyphens/>
        <w:overflowPunct/>
        <w:autoSpaceDE/>
        <w:autoSpaceDN/>
        <w:adjustRightInd/>
        <w:spacing w:after="120" w:line="240" w:lineRule="atLeast"/>
        <w:ind w:right="1134" w:firstLine="0"/>
        <w:textAlignment w:val="auto"/>
        <w:rPr>
          <w:lang w:val="en-GB" w:eastAsia="en-US"/>
        </w:rPr>
      </w:pPr>
      <w:r w:rsidRPr="004412EC">
        <w:rPr>
          <w:lang w:eastAsia="en-US"/>
        </w:rPr>
        <w:t>Die folgenden zusätzlichen Anforderungen müssen erfüllt werden, wenn sie in Kapitel 3.2 Tabelle A Spalte (10) erwähnt werden:</w:t>
      </w:r>
    </w:p>
    <w:p w:rsidR="004412EC" w:rsidRPr="004412EC" w:rsidRDefault="004412EC" w:rsidP="004412EC">
      <w:pPr>
        <w:widowControl/>
        <w:suppressAutoHyphens/>
        <w:overflowPunct/>
        <w:autoSpaceDE/>
        <w:autoSpaceDN/>
        <w:adjustRightInd/>
        <w:spacing w:after="120" w:line="240" w:lineRule="atLeast"/>
        <w:ind w:right="1134" w:firstLine="0"/>
        <w:textAlignment w:val="auto"/>
        <w:rPr>
          <w:lang w:val="en-GB" w:eastAsia="en-US"/>
        </w:rPr>
      </w:pPr>
      <w:r w:rsidRPr="004412EC">
        <w:rPr>
          <w:lang w:val="en-GB" w:eastAsia="en-US"/>
        </w:rPr>
        <w:t>….</w:t>
      </w:r>
    </w:p>
    <w:p w:rsidR="004412EC" w:rsidRPr="004412EC" w:rsidRDefault="004412EC" w:rsidP="004412EC">
      <w:pPr>
        <w:widowControl/>
        <w:suppressAutoHyphens/>
        <w:overflowPunct/>
        <w:autoSpaceDE/>
        <w:autoSpaceDN/>
        <w:adjustRightInd/>
        <w:spacing w:after="120" w:line="240" w:lineRule="atLeast"/>
        <w:ind w:right="1134" w:firstLine="0"/>
        <w:textAlignment w:val="auto"/>
        <w:rPr>
          <w:lang w:val="en-GB" w:eastAsia="en-US"/>
        </w:rPr>
      </w:pPr>
      <w:r w:rsidRPr="004412EC">
        <w:rPr>
          <w:lang w:eastAsia="en-US"/>
        </w:rPr>
        <w:t>VE02: Laderäume, die diese Stoffe enthalten, müssen mit der vollen Leistung der Ventilatoren gelüftet werden, wenn nach Messung festgestellt wird, dass die Laderäume nicht frei von aus der Ladung herrührenden Gasen sind.</w:t>
      </w:r>
      <w:r w:rsidRPr="004412EC">
        <w:rPr>
          <w:iCs/>
          <w:lang w:val="en-GB" w:eastAsia="en-US"/>
        </w:rPr>
        <w:t xml:space="preserve"> </w:t>
      </w:r>
      <w:r w:rsidRPr="004412EC">
        <w:rPr>
          <w:lang w:eastAsia="en-US"/>
        </w:rPr>
        <w:t>Diese Messung ist sofort nach dem Beladen durchzuführen.</w:t>
      </w:r>
      <w:r w:rsidRPr="004412EC">
        <w:rPr>
          <w:iCs/>
          <w:lang w:val="en-GB" w:eastAsia="en-US"/>
        </w:rPr>
        <w:t xml:space="preserve"> </w:t>
      </w:r>
      <w:r w:rsidRPr="004412EC">
        <w:rPr>
          <w:lang w:eastAsia="en-US"/>
        </w:rPr>
        <w:t>Zur Überwachung muss die Messung nach einer Stunde wiederholt werden.</w:t>
      </w:r>
      <w:r w:rsidRPr="004412EC">
        <w:rPr>
          <w:iCs/>
          <w:lang w:val="en-GB" w:eastAsia="en-US"/>
        </w:rPr>
        <w:t xml:space="preserve"> </w:t>
      </w:r>
      <w:r w:rsidRPr="004412EC">
        <w:rPr>
          <w:lang w:eastAsia="en-US"/>
        </w:rPr>
        <w:t>Diese Messergebnisse müssen schriftlich festgehalten werden.</w:t>
      </w:r>
    </w:p>
    <w:p w:rsidR="004412EC" w:rsidRPr="004412EC" w:rsidRDefault="004412EC" w:rsidP="004412EC">
      <w:pPr>
        <w:widowControl/>
        <w:suppressAutoHyphens/>
        <w:overflowPunct/>
        <w:autoSpaceDE/>
        <w:autoSpaceDN/>
        <w:adjustRightInd/>
        <w:spacing w:after="120" w:line="240" w:lineRule="atLeast"/>
        <w:ind w:right="1134" w:firstLine="0"/>
        <w:textAlignment w:val="auto"/>
        <w:rPr>
          <w:lang w:val="en-GB" w:eastAsia="en-US"/>
        </w:rPr>
      </w:pPr>
      <w:r w:rsidRPr="004412EC">
        <w:rPr>
          <w:lang w:eastAsia="en-US"/>
        </w:rPr>
        <w:t xml:space="preserve">Abweichend davon müssen auf Schiffen, welche gefährliche Güter nur in Containern </w:t>
      </w:r>
      <w:r w:rsidRPr="004412EC">
        <w:rPr>
          <w:b/>
          <w:i/>
          <w:lang w:eastAsia="en-US"/>
        </w:rPr>
        <w:t>oder Tankcontainern</w:t>
      </w:r>
      <w:r w:rsidRPr="004412EC">
        <w:rPr>
          <w:lang w:eastAsia="en-US"/>
        </w:rPr>
        <w:t xml:space="preserve"> in offenen Laderäumen befördern, diese Laderäume nur dann mit der vollen Leistung der Ventilatoren gelüftet werden, wenn ein Verdacht besteht, dass sie nicht frei von aus der Ladung herrührenden Gasen sind.</w:t>
      </w:r>
      <w:r w:rsidRPr="004412EC">
        <w:rPr>
          <w:lang w:val="en-GB" w:eastAsia="en-US"/>
        </w:rPr>
        <w:t xml:space="preserve"> </w:t>
      </w:r>
    </w:p>
    <w:p w:rsidR="004412EC" w:rsidRPr="004412EC" w:rsidRDefault="004412EC" w:rsidP="004412EC">
      <w:pPr>
        <w:widowControl/>
        <w:suppressAutoHyphens/>
        <w:overflowPunct/>
        <w:autoSpaceDE/>
        <w:autoSpaceDN/>
        <w:adjustRightInd/>
        <w:spacing w:after="120" w:line="240" w:lineRule="atLeast"/>
        <w:ind w:right="1134" w:firstLine="0"/>
        <w:textAlignment w:val="auto"/>
        <w:rPr>
          <w:lang w:val="en-GB" w:eastAsia="en-US"/>
        </w:rPr>
      </w:pPr>
      <w:r w:rsidRPr="004412EC">
        <w:rPr>
          <w:lang w:eastAsia="en-US"/>
        </w:rPr>
        <w:t>Vor dem Löschen muss der Entlader über den Verdacht informiert werden.“</w:t>
      </w:r>
    </w:p>
    <w:p w:rsidR="004412EC" w:rsidRPr="004412EC" w:rsidRDefault="004412EC" w:rsidP="004412EC">
      <w:pPr>
        <w:keepNext/>
        <w:keepLines/>
        <w:widowControl/>
        <w:tabs>
          <w:tab w:val="right" w:pos="851"/>
        </w:tabs>
        <w:suppressAutoHyphens/>
        <w:overflowPunct/>
        <w:autoSpaceDE/>
        <w:autoSpaceDN/>
        <w:adjustRightInd/>
        <w:spacing w:before="360" w:after="240" w:line="300" w:lineRule="exact"/>
        <w:ind w:left="567" w:right="1134" w:firstLine="0"/>
        <w:jc w:val="left"/>
        <w:textAlignment w:val="auto"/>
        <w:rPr>
          <w:b/>
          <w:sz w:val="28"/>
          <w:lang w:val="en-GB" w:eastAsia="en-US"/>
        </w:rPr>
      </w:pPr>
      <w:r w:rsidRPr="004412EC">
        <w:rPr>
          <w:b/>
          <w:sz w:val="28"/>
          <w:lang w:val="en-GB" w:eastAsia="en-US"/>
        </w:rPr>
        <w:tab/>
      </w:r>
      <w:r w:rsidRPr="004412EC">
        <w:rPr>
          <w:b/>
          <w:sz w:val="28"/>
          <w:lang w:val="en-GB" w:eastAsia="en-US"/>
        </w:rPr>
        <w:tab/>
      </w:r>
      <w:r w:rsidRPr="004412EC">
        <w:rPr>
          <w:b/>
          <w:sz w:val="28"/>
          <w:lang w:eastAsia="en-US"/>
        </w:rPr>
        <w:t>Auswirkung auf die Sicherheit</w:t>
      </w:r>
    </w:p>
    <w:p w:rsidR="004412EC" w:rsidRPr="004412EC" w:rsidRDefault="004412EC" w:rsidP="004412EC">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0A4916">
        <w:rPr>
          <w:lang w:val="en-US" w:eastAsia="en-US"/>
        </w:rPr>
        <w:t>11.</w:t>
      </w:r>
      <w:r w:rsidRPr="000A4916">
        <w:rPr>
          <w:lang w:val="en-US" w:eastAsia="en-US"/>
        </w:rPr>
        <w:tab/>
      </w:r>
      <w:r w:rsidRPr="000A4916">
        <w:rPr>
          <w:lang w:eastAsia="en-US"/>
        </w:rPr>
        <w:t>Der Zweck dieser Absätze wird durch diesen Vorschlag grundsätzlich nicht berührt.</w:t>
      </w:r>
      <w:r w:rsidRPr="000A4916">
        <w:rPr>
          <w:lang w:val="en-US" w:eastAsia="en-US"/>
        </w:rPr>
        <w:t xml:space="preserve"> </w:t>
      </w:r>
      <w:r w:rsidRPr="000A4916">
        <w:rPr>
          <w:lang w:eastAsia="en-US"/>
        </w:rPr>
        <w:t>Als positiver Effekt wird erwartet, dass diese Absätze von den Personen an Bord besser verstanden werden, was zu einer positiven Auswirkung auf die Sicherheit in Bezug auf die Blaukegelbezeichnung und Lüftung an Bord von Trockengüterschiffen bei der Beförderung von Tankcontainern führen wird.</w:t>
      </w:r>
    </w:p>
    <w:p w:rsidR="003B2631" w:rsidRPr="003B2631" w:rsidRDefault="003B2631" w:rsidP="003B2631">
      <w:pPr>
        <w:widowControl/>
        <w:suppressAutoHyphens/>
        <w:overflowPunct/>
        <w:autoSpaceDE/>
        <w:autoSpaceDN/>
        <w:adjustRightInd/>
        <w:spacing w:before="120" w:line="240" w:lineRule="atLeast"/>
        <w:ind w:left="0" w:firstLine="0"/>
        <w:jc w:val="center"/>
        <w:textAlignment w:val="auto"/>
        <w:rPr>
          <w:u w:val="single"/>
          <w:lang w:val="en-GB" w:eastAsia="en-US"/>
        </w:rPr>
      </w:pPr>
    </w:p>
    <w:p w:rsidR="00CE73AD" w:rsidRPr="0045374D" w:rsidRDefault="0045374D" w:rsidP="0045374D">
      <w:pPr>
        <w:tabs>
          <w:tab w:val="left" w:pos="567"/>
        </w:tabs>
        <w:spacing w:line="276" w:lineRule="auto"/>
        <w:ind w:left="0" w:firstLine="0"/>
        <w:jc w:val="center"/>
        <w:rPr>
          <w:rFonts w:cs="Arial"/>
          <w:sz w:val="24"/>
          <w:szCs w:val="18"/>
        </w:rPr>
      </w:pPr>
      <w:r w:rsidRPr="007E310E">
        <w:rPr>
          <w:rFonts w:cs="Arial"/>
          <w:sz w:val="24"/>
          <w:szCs w:val="18"/>
        </w:rPr>
        <w:t>***</w:t>
      </w:r>
    </w:p>
    <w:sectPr w:rsidR="00CE73AD" w:rsidRPr="0045374D" w:rsidSect="009D26E7">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F00" w:rsidRDefault="00A84F00" w:rsidP="006038DC">
      <w:r>
        <w:separator/>
      </w:r>
    </w:p>
  </w:endnote>
  <w:endnote w:type="continuationSeparator" w:id="0">
    <w:p w:rsidR="00A84F00" w:rsidRDefault="00A84F00"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9D26E7" w:rsidRDefault="003B2631" w:rsidP="009D26E7">
    <w:pPr>
      <w:widowControl/>
      <w:suppressAutoHyphens/>
      <w:overflowPunct/>
      <w:autoSpaceDE/>
      <w:autoSpaceDN/>
      <w:adjustRightInd/>
      <w:ind w:left="0" w:firstLine="0"/>
      <w:jc w:val="right"/>
      <w:textAlignment w:val="auto"/>
      <w:rPr>
        <w:lang w:val="en-US"/>
      </w:rPr>
    </w:pPr>
    <w:r>
      <w:rPr>
        <w:rFonts w:ascii="Arial" w:hAnsi="Arial"/>
        <w:noProof/>
        <w:snapToGrid w:val="0"/>
        <w:sz w:val="12"/>
        <w:szCs w:val="24"/>
        <w:lang w:val="en-US"/>
      </w:rPr>
      <w:t>m</w:t>
    </w:r>
    <w:r w:rsidR="009D26E7" w:rsidRPr="00B6212C">
      <w:rPr>
        <w:rFonts w:ascii="Arial" w:hAnsi="Arial"/>
        <w:noProof/>
        <w:snapToGrid w:val="0"/>
        <w:sz w:val="12"/>
        <w:szCs w:val="24"/>
        <w:lang w:val="en-US"/>
      </w:rPr>
      <w:t>m</w:t>
    </w:r>
    <w:r>
      <w:rPr>
        <w:rFonts w:ascii="Arial" w:hAnsi="Arial"/>
        <w:noProof/>
        <w:snapToGrid w:val="0"/>
        <w:sz w:val="12"/>
        <w:szCs w:val="24"/>
        <w:lang w:val="en-US"/>
      </w:rPr>
      <w:t>_ba</w:t>
    </w:r>
    <w:r w:rsidR="009D26E7" w:rsidRPr="00B6212C">
      <w:rPr>
        <w:rFonts w:ascii="Arial" w:hAnsi="Arial"/>
        <w:noProof/>
        <w:snapToGrid w:val="0"/>
        <w:sz w:val="12"/>
        <w:szCs w:val="24"/>
        <w:lang w:val="en-US"/>
      </w:rPr>
      <w:t>/adn_wp15_ac2_2018_</w:t>
    </w:r>
    <w:r w:rsidR="008F17F6">
      <w:rPr>
        <w:rFonts w:ascii="Arial" w:hAnsi="Arial"/>
        <w:noProof/>
        <w:snapToGrid w:val="0"/>
        <w:sz w:val="12"/>
        <w:szCs w:val="24"/>
        <w:lang w:val="en-US"/>
      </w:rPr>
      <w:t>4</w:t>
    </w:r>
    <w:r w:rsidR="004412EC">
      <w:rPr>
        <w:rFonts w:ascii="Arial" w:hAnsi="Arial"/>
        <w:noProof/>
        <w:snapToGrid w:val="0"/>
        <w:sz w:val="12"/>
        <w:szCs w:val="24"/>
        <w:lang w:val="en-US"/>
      </w:rPr>
      <w:t>8</w:t>
    </w:r>
    <w:r w:rsidR="009D26E7">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F00" w:rsidRDefault="00A84F00" w:rsidP="006038DC">
      <w:r>
        <w:separator/>
      </w:r>
    </w:p>
  </w:footnote>
  <w:footnote w:type="continuationSeparator" w:id="0">
    <w:p w:rsidR="00A84F00" w:rsidRDefault="00A84F00" w:rsidP="006038DC">
      <w:r>
        <w:continuationSeparator/>
      </w:r>
    </w:p>
  </w:footnote>
  <w:footnote w:id="1">
    <w:p w:rsidR="004412EC" w:rsidRPr="003A7D20" w:rsidRDefault="004412EC" w:rsidP="004412EC">
      <w:pPr>
        <w:pStyle w:val="FootnoteText"/>
        <w:rPr>
          <w:lang w:val="en-US"/>
        </w:rPr>
      </w:pPr>
      <w:r>
        <w:rPr>
          <w:lang w:val="en-US"/>
        </w:rPr>
        <w:tab/>
      </w:r>
      <w:r w:rsidRPr="005D4EB0">
        <w:rPr>
          <w:rStyle w:val="FootnoteReference"/>
          <w:sz w:val="20"/>
          <w:lang w:val="en-US"/>
        </w:rPr>
        <w:t>*</w:t>
      </w:r>
      <w:r>
        <w:rPr>
          <w:sz w:val="16"/>
          <w:szCs w:val="16"/>
          <w:lang w:val="en-US"/>
        </w:rPr>
        <w:tab/>
      </w:r>
      <w:r w:rsidRPr="00947F64">
        <w:rPr>
          <w:lang w:val="de-DE"/>
        </w:rPr>
        <w:t>Von der UN-ECE in Englisch, Französisch und Russisch unter dem Aktenzeichen CCNR-ZKR/ADN/WP.15/AC.2/2018/48 verteilt.</w:t>
      </w:r>
    </w:p>
  </w:footnote>
  <w:footnote w:id="2">
    <w:p w:rsidR="004412EC" w:rsidRPr="003A7D20" w:rsidRDefault="004412EC" w:rsidP="004412EC">
      <w:pPr>
        <w:pStyle w:val="FootnoteText"/>
        <w:rPr>
          <w:lang w:val="en-US"/>
        </w:rPr>
      </w:pPr>
      <w:r>
        <w:rPr>
          <w:lang w:val="en-US"/>
        </w:rPr>
        <w:tab/>
      </w:r>
      <w:r w:rsidRPr="005D4EB0">
        <w:rPr>
          <w:rStyle w:val="FootnoteReference"/>
          <w:sz w:val="20"/>
          <w:lang w:val="en-US"/>
        </w:rPr>
        <w:t>**</w:t>
      </w:r>
      <w:r w:rsidRPr="003A7D20">
        <w:rPr>
          <w:lang w:val="en-US"/>
        </w:rPr>
        <w:tab/>
      </w:r>
      <w:r w:rsidRPr="00947F64">
        <w:rPr>
          <w:lang w:val="de-DE"/>
        </w:rPr>
        <w:t>Gemäß dem Arbeitsprogramm des Binnenverkehrsausschusses für 2018-2019 (ECE/TRANS/2018/21/Add.1 (9.3.)).</w:t>
      </w:r>
    </w:p>
  </w:footnote>
  <w:footnote w:id="3">
    <w:p w:rsidR="00AC52D6" w:rsidRPr="00AC52D6" w:rsidRDefault="00AC52D6" w:rsidP="00AC52D6">
      <w:pPr>
        <w:pStyle w:val="FootnoteText"/>
        <w:tabs>
          <w:tab w:val="clear" w:pos="1021"/>
        </w:tabs>
        <w:ind w:left="284" w:hanging="284"/>
        <w:rPr>
          <w:lang w:val="fr-FR"/>
        </w:rPr>
      </w:pPr>
      <w:r>
        <w:rPr>
          <w:rStyle w:val="FootnoteReference"/>
        </w:rPr>
        <w:footnoteRef/>
      </w:r>
      <w:r>
        <w:t xml:space="preserve"> </w:t>
      </w:r>
      <w:r>
        <w:tab/>
      </w:r>
      <w:r>
        <w:rPr>
          <w:lang w:val="fr-FR"/>
        </w:rPr>
        <w:t>Anmerkung des ZKR Sekretariats: Der ADN Sicherheitsausschuss könnte den für das ADN 2019 angenommen Text berücksichtigen.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CCNR-ZKR/ADN/WP.15/AC.2/2018/</w:t>
    </w:r>
    <w:r w:rsidR="008F17F6">
      <w:rPr>
        <w:rFonts w:ascii="Arial" w:hAnsi="Arial"/>
        <w:snapToGrid w:val="0"/>
        <w:sz w:val="16"/>
        <w:szCs w:val="16"/>
      </w:rPr>
      <w:t>4</w:t>
    </w:r>
    <w:r w:rsidR="004412EC">
      <w:rPr>
        <w:rFonts w:ascii="Arial" w:hAnsi="Arial"/>
        <w:snapToGrid w:val="0"/>
        <w:sz w:val="16"/>
        <w:szCs w:val="16"/>
      </w:rPr>
      <w:t>8</w:t>
    </w:r>
  </w:p>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sidR="008C0AF9">
      <w:rPr>
        <w:rFonts w:ascii="Arial" w:hAnsi="Arial"/>
        <w:noProof/>
        <w:snapToGrid w:val="0"/>
        <w:sz w:val="16"/>
        <w:szCs w:val="16"/>
      </w:rPr>
      <w:t>3</w:t>
    </w:r>
    <w:r w:rsidRPr="008B0EB0">
      <w:rPr>
        <w:rFonts w:ascii="Arial" w:hAnsi="Arial"/>
        <w:snapToGrid w:val="0"/>
        <w:sz w:val="16"/>
        <w:szCs w:val="16"/>
      </w:rPr>
      <w:fldChar w:fldCharType="end"/>
    </w:r>
  </w:p>
  <w:p w:rsidR="0045374D" w:rsidRDefault="0045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C18"/>
    <w:multiLevelType w:val="hybridMultilevel"/>
    <w:tmpl w:val="902ED494"/>
    <w:lvl w:ilvl="0" w:tplc="A178EEB8">
      <w:start w:val="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B"/>
    <w:rsid w:val="0001208F"/>
    <w:rsid w:val="0001303F"/>
    <w:rsid w:val="00016A8D"/>
    <w:rsid w:val="0009215A"/>
    <w:rsid w:val="000A4916"/>
    <w:rsid w:val="000C6E63"/>
    <w:rsid w:val="000D4763"/>
    <w:rsid w:val="001114F6"/>
    <w:rsid w:val="00141B2B"/>
    <w:rsid w:val="001D3451"/>
    <w:rsid w:val="001F2E91"/>
    <w:rsid w:val="00231A2D"/>
    <w:rsid w:val="00277B5F"/>
    <w:rsid w:val="002C1A2D"/>
    <w:rsid w:val="0036481D"/>
    <w:rsid w:val="00365EA4"/>
    <w:rsid w:val="00367CDF"/>
    <w:rsid w:val="003A00B6"/>
    <w:rsid w:val="003B19D5"/>
    <w:rsid w:val="003B2631"/>
    <w:rsid w:val="003C0B9A"/>
    <w:rsid w:val="00432F4D"/>
    <w:rsid w:val="004336F6"/>
    <w:rsid w:val="00437C39"/>
    <w:rsid w:val="004412EC"/>
    <w:rsid w:val="00441383"/>
    <w:rsid w:val="0045374D"/>
    <w:rsid w:val="00460567"/>
    <w:rsid w:val="004A6242"/>
    <w:rsid w:val="004E30A0"/>
    <w:rsid w:val="004E74C0"/>
    <w:rsid w:val="004F0992"/>
    <w:rsid w:val="00505C06"/>
    <w:rsid w:val="005455B7"/>
    <w:rsid w:val="00591A7D"/>
    <w:rsid w:val="006038DC"/>
    <w:rsid w:val="00616CA8"/>
    <w:rsid w:val="006263D8"/>
    <w:rsid w:val="00633F2B"/>
    <w:rsid w:val="006350C8"/>
    <w:rsid w:val="00643AEA"/>
    <w:rsid w:val="00653254"/>
    <w:rsid w:val="00751575"/>
    <w:rsid w:val="007B2275"/>
    <w:rsid w:val="007B712A"/>
    <w:rsid w:val="007E310E"/>
    <w:rsid w:val="008975D9"/>
    <w:rsid w:val="008C0213"/>
    <w:rsid w:val="008C0AF9"/>
    <w:rsid w:val="008F17F6"/>
    <w:rsid w:val="008F4811"/>
    <w:rsid w:val="0091229B"/>
    <w:rsid w:val="009D26E7"/>
    <w:rsid w:val="009F3523"/>
    <w:rsid w:val="00A05BD9"/>
    <w:rsid w:val="00A11868"/>
    <w:rsid w:val="00A15119"/>
    <w:rsid w:val="00A2238A"/>
    <w:rsid w:val="00A84F00"/>
    <w:rsid w:val="00AC2BD5"/>
    <w:rsid w:val="00AC52D6"/>
    <w:rsid w:val="00AD7465"/>
    <w:rsid w:val="00AF7617"/>
    <w:rsid w:val="00B4533C"/>
    <w:rsid w:val="00BA5717"/>
    <w:rsid w:val="00BC637B"/>
    <w:rsid w:val="00C12225"/>
    <w:rsid w:val="00C25D17"/>
    <w:rsid w:val="00CA7961"/>
    <w:rsid w:val="00CC0ED1"/>
    <w:rsid w:val="00CE73AD"/>
    <w:rsid w:val="00CF2E32"/>
    <w:rsid w:val="00D15368"/>
    <w:rsid w:val="00D203D4"/>
    <w:rsid w:val="00D464FB"/>
    <w:rsid w:val="00DB57E7"/>
    <w:rsid w:val="00DD187B"/>
    <w:rsid w:val="00DD7871"/>
    <w:rsid w:val="00DF190F"/>
    <w:rsid w:val="00E302A2"/>
    <w:rsid w:val="00EA330D"/>
    <w:rsid w:val="00ED557F"/>
    <w:rsid w:val="00ED5817"/>
    <w:rsid w:val="00FD1E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82696983-24EB-4E30-9804-DE019F26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rsid w:val="006038DC"/>
    <w:rPr>
      <w:rFonts w:ascii="Times New Roman" w:hAnsi="Times New Roman"/>
      <w:sz w:val="18"/>
      <w:vertAlign w:val="superscript"/>
    </w:rPr>
  </w:style>
  <w:style w:type="paragraph" w:styleId="FootnoteText">
    <w:name w:val="footnote text"/>
    <w:aliases w:val="5_G"/>
    <w:basedOn w:val="Normal"/>
    <w:link w:val="FootnoteTextChar"/>
    <w:uiPriority w:val="99"/>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uiPriority w:val="99"/>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 w:type="character" w:styleId="CommentReference">
    <w:name w:val="annotation reference"/>
    <w:rsid w:val="005455B7"/>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8C6D-1E7A-46C8-99A5-717C3D0F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5113</Characters>
  <Application>Microsoft Office Word</Application>
  <DocSecurity>4</DocSecurity>
  <Lines>42</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2018-07-13T08:51:00Z</cp:lastPrinted>
  <dcterms:created xsi:type="dcterms:W3CDTF">2018-07-24T15:16:00Z</dcterms:created>
  <dcterms:modified xsi:type="dcterms:W3CDTF">2018-07-24T15:16:00Z</dcterms:modified>
</cp:coreProperties>
</file>