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7544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75449" w:rsidP="00175449">
            <w:pPr>
              <w:jc w:val="right"/>
            </w:pPr>
            <w:r w:rsidRPr="00175449">
              <w:rPr>
                <w:sz w:val="40"/>
              </w:rPr>
              <w:t>ECE</w:t>
            </w:r>
            <w:r>
              <w:t>/TRANS/WP.15/AC.2/2018/48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75449" w:rsidP="00C97039">
            <w:pPr>
              <w:spacing w:before="240"/>
            </w:pPr>
            <w:proofErr w:type="spellStart"/>
            <w:r>
              <w:t>Distr</w:t>
            </w:r>
            <w:proofErr w:type="spellEnd"/>
            <w:r>
              <w:t xml:space="preserve">. </w:t>
            </w:r>
            <w:proofErr w:type="gramStart"/>
            <w:r>
              <w:t>générale</w:t>
            </w:r>
            <w:proofErr w:type="gramEnd"/>
          </w:p>
          <w:p w:rsidR="00175449" w:rsidRDefault="00175449" w:rsidP="00175449">
            <w:pPr>
              <w:spacing w:line="240" w:lineRule="exact"/>
            </w:pPr>
            <w:r>
              <w:t>13 juin 2018</w:t>
            </w:r>
          </w:p>
          <w:p w:rsidR="00175449" w:rsidRDefault="00175449" w:rsidP="00175449">
            <w:pPr>
              <w:spacing w:line="240" w:lineRule="exact"/>
            </w:pPr>
            <w:r>
              <w:t>Français</w:t>
            </w:r>
          </w:p>
          <w:p w:rsidR="00175449" w:rsidRPr="00DB58B5" w:rsidRDefault="00175449" w:rsidP="00175449">
            <w:pPr>
              <w:spacing w:line="240" w:lineRule="exact"/>
            </w:pPr>
            <w:r>
              <w:t>Original</w:t>
            </w:r>
            <w:r w:rsidR="00204818">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w:t>
      </w:r>
      <w:r w:rsidR="00CB29B7">
        <w:rPr>
          <w:b/>
          <w:sz w:val="28"/>
          <w:szCs w:val="28"/>
        </w:rPr>
        <w:t>’</w:t>
      </w:r>
      <w:r w:rsidRPr="000312C0">
        <w:rPr>
          <w:b/>
          <w:sz w:val="28"/>
          <w:szCs w:val="28"/>
        </w:rPr>
        <w:t>Europe</w:t>
      </w:r>
    </w:p>
    <w:p w:rsidR="007F20FA" w:rsidRDefault="007F20FA" w:rsidP="008E33CD">
      <w:pPr>
        <w:spacing w:before="120" w:after="120"/>
        <w:rPr>
          <w:sz w:val="28"/>
          <w:szCs w:val="28"/>
        </w:rPr>
      </w:pPr>
      <w:r w:rsidRPr="00685843">
        <w:rPr>
          <w:sz w:val="28"/>
          <w:szCs w:val="28"/>
        </w:rPr>
        <w:t>Comité des transports intérieurs</w:t>
      </w:r>
    </w:p>
    <w:p w:rsidR="008E33CD" w:rsidRPr="008E33CD" w:rsidRDefault="008E33CD" w:rsidP="008E33CD">
      <w:pPr>
        <w:spacing w:after="120"/>
        <w:rPr>
          <w:b/>
          <w:sz w:val="24"/>
          <w:szCs w:val="24"/>
        </w:rPr>
      </w:pPr>
      <w:r w:rsidRPr="008E33CD">
        <w:rPr>
          <w:b/>
          <w:sz w:val="24"/>
          <w:szCs w:val="24"/>
          <w:lang w:val="fr-FR"/>
        </w:rPr>
        <w:t>Groupe de travail des transports de marchandises dangereuses</w:t>
      </w:r>
    </w:p>
    <w:p w:rsidR="008E33CD" w:rsidRPr="008E33CD" w:rsidRDefault="008E33CD" w:rsidP="008E33CD">
      <w:pPr>
        <w:spacing w:after="120"/>
        <w:rPr>
          <w:b/>
        </w:rPr>
      </w:pPr>
      <w:r w:rsidRPr="008E33CD">
        <w:rPr>
          <w:b/>
          <w:lang w:val="fr-FR"/>
        </w:rPr>
        <w:t>Réunion commune d</w:t>
      </w:r>
      <w:r w:rsidR="00CB29B7">
        <w:rPr>
          <w:b/>
          <w:lang w:val="fr-FR"/>
        </w:rPr>
        <w:t>’</w:t>
      </w:r>
      <w:r w:rsidRPr="008E33CD">
        <w:rPr>
          <w:b/>
          <w:lang w:val="fr-FR"/>
        </w:rPr>
        <w:t>experts sur le Règlement annexé</w:t>
      </w:r>
      <w:r>
        <w:rPr>
          <w:b/>
          <w:lang w:val="fr-FR"/>
        </w:rPr>
        <w:t xml:space="preserve"> à l</w:t>
      </w:r>
      <w:r w:rsidR="00CB29B7">
        <w:rPr>
          <w:b/>
          <w:lang w:val="fr-FR"/>
        </w:rPr>
        <w:t>’</w:t>
      </w:r>
      <w:r>
        <w:rPr>
          <w:b/>
          <w:lang w:val="fr-FR"/>
        </w:rPr>
        <w:t>Accord européen</w:t>
      </w:r>
      <w:r>
        <w:rPr>
          <w:b/>
          <w:lang w:val="fr-FR"/>
        </w:rPr>
        <w:br/>
      </w:r>
      <w:r w:rsidRPr="008E33CD">
        <w:rPr>
          <w:b/>
          <w:lang w:val="fr-FR"/>
        </w:rPr>
        <w:t>relatif au transport internation</w:t>
      </w:r>
      <w:r>
        <w:rPr>
          <w:b/>
          <w:lang w:val="fr-FR"/>
        </w:rPr>
        <w:t>al des marchandises dangereuses</w:t>
      </w:r>
      <w:r>
        <w:rPr>
          <w:b/>
          <w:lang w:val="fr-FR"/>
        </w:rPr>
        <w:br/>
      </w:r>
      <w:r w:rsidRPr="008E33CD">
        <w:rPr>
          <w:b/>
          <w:lang w:val="fr-FR"/>
        </w:rPr>
        <w:t xml:space="preserve">par voies </w:t>
      </w:r>
      <w:r>
        <w:rPr>
          <w:b/>
          <w:lang w:val="fr-FR"/>
        </w:rPr>
        <w:t>de navigation intérieures (ADN)</w:t>
      </w:r>
      <w:r>
        <w:rPr>
          <w:b/>
          <w:lang w:val="fr-FR"/>
        </w:rPr>
        <w:br/>
      </w:r>
      <w:r w:rsidRPr="008E33CD">
        <w:rPr>
          <w:b/>
          <w:lang w:val="fr-FR"/>
        </w:rPr>
        <w:t>(Comité de sécurité de l</w:t>
      </w:r>
      <w:r w:rsidR="00CB29B7">
        <w:rPr>
          <w:b/>
          <w:lang w:val="fr-FR"/>
        </w:rPr>
        <w:t>’</w:t>
      </w:r>
      <w:r w:rsidRPr="008E33CD">
        <w:rPr>
          <w:b/>
          <w:lang w:val="fr-FR"/>
        </w:rPr>
        <w:t>ADN)</w:t>
      </w:r>
    </w:p>
    <w:p w:rsidR="008E33CD" w:rsidRPr="008E33CD" w:rsidRDefault="008E33CD" w:rsidP="008E33CD">
      <w:pPr>
        <w:rPr>
          <w:b/>
        </w:rPr>
      </w:pPr>
      <w:r w:rsidRPr="008E33CD">
        <w:rPr>
          <w:b/>
          <w:lang w:val="fr-FR"/>
        </w:rPr>
        <w:t>Trente-troisième session</w:t>
      </w:r>
    </w:p>
    <w:p w:rsidR="008E33CD" w:rsidRDefault="008E33CD" w:rsidP="008E33CD">
      <w:pPr>
        <w:rPr>
          <w:lang w:val="fr-FR"/>
        </w:rPr>
      </w:pPr>
      <w:r>
        <w:rPr>
          <w:lang w:val="fr-FR"/>
        </w:rPr>
        <w:t xml:space="preserve">Genève, 27-31 août 2018 </w:t>
      </w:r>
    </w:p>
    <w:p w:rsidR="008E33CD" w:rsidRPr="00210D5E" w:rsidRDefault="008E33CD" w:rsidP="008E33CD">
      <w:r>
        <w:rPr>
          <w:lang w:val="fr-FR"/>
        </w:rPr>
        <w:t>Point 4 b) de l</w:t>
      </w:r>
      <w:r w:rsidR="00CB29B7">
        <w:rPr>
          <w:lang w:val="fr-FR"/>
        </w:rPr>
        <w:t>’</w:t>
      </w:r>
      <w:r>
        <w:rPr>
          <w:lang w:val="fr-FR"/>
        </w:rPr>
        <w:t>ordre du jour provisoire</w:t>
      </w:r>
    </w:p>
    <w:p w:rsidR="008E33CD" w:rsidRPr="008E33CD" w:rsidRDefault="008E33CD" w:rsidP="008E33CD">
      <w:pPr>
        <w:rPr>
          <w:b/>
        </w:rPr>
      </w:pPr>
      <w:r w:rsidRPr="008E33CD">
        <w:rPr>
          <w:b/>
          <w:lang w:val="fr-FR"/>
        </w:rPr>
        <w:t>Propositions d</w:t>
      </w:r>
      <w:r w:rsidR="00CB29B7">
        <w:rPr>
          <w:b/>
          <w:lang w:val="fr-FR"/>
        </w:rPr>
        <w:t>’</w:t>
      </w:r>
      <w:r w:rsidRPr="008E33CD">
        <w:rPr>
          <w:b/>
          <w:lang w:val="fr-FR"/>
        </w:rPr>
        <w:t xml:space="preserve">amendements au Règlement annexé à </w:t>
      </w:r>
      <w:r>
        <w:rPr>
          <w:b/>
          <w:lang w:val="fr-FR"/>
        </w:rPr>
        <w:t>l</w:t>
      </w:r>
      <w:r w:rsidR="00CB29B7">
        <w:rPr>
          <w:b/>
          <w:lang w:val="fr-FR"/>
        </w:rPr>
        <w:t>’</w:t>
      </w:r>
      <w:r>
        <w:rPr>
          <w:b/>
          <w:lang w:val="fr-FR"/>
        </w:rPr>
        <w:t>ADN</w:t>
      </w:r>
      <w:r w:rsidR="00204818">
        <w:rPr>
          <w:b/>
          <w:lang w:val="fr-FR"/>
        </w:rPr>
        <w:t> :</w:t>
      </w:r>
    </w:p>
    <w:p w:rsidR="008E33CD" w:rsidRPr="008E33CD" w:rsidRDefault="00906352" w:rsidP="008E33CD">
      <w:pPr>
        <w:rPr>
          <w:b/>
        </w:rPr>
      </w:pPr>
      <w:proofErr w:type="gramStart"/>
      <w:r w:rsidRPr="008E33CD">
        <w:rPr>
          <w:b/>
          <w:lang w:val="fr-FR"/>
        </w:rPr>
        <w:t>a</w:t>
      </w:r>
      <w:r w:rsidR="008E33CD" w:rsidRPr="008E33CD">
        <w:rPr>
          <w:b/>
          <w:lang w:val="fr-FR"/>
        </w:rPr>
        <w:t>utres</w:t>
      </w:r>
      <w:proofErr w:type="gramEnd"/>
      <w:r w:rsidR="008E33CD" w:rsidRPr="008E33CD">
        <w:rPr>
          <w:b/>
          <w:lang w:val="fr-FR"/>
        </w:rPr>
        <w:t xml:space="preserve"> propositions</w:t>
      </w:r>
    </w:p>
    <w:p w:rsidR="008E33CD" w:rsidRPr="00210D5E" w:rsidRDefault="008E33CD" w:rsidP="008E33CD">
      <w:pPr>
        <w:pStyle w:val="HChG"/>
      </w:pPr>
      <w:r>
        <w:rPr>
          <w:lang w:val="fr-FR"/>
        </w:rPr>
        <w:tab/>
      </w:r>
      <w:r>
        <w:rPr>
          <w:lang w:val="fr-FR"/>
        </w:rPr>
        <w:tab/>
        <w:t>Proposition d</w:t>
      </w:r>
      <w:r w:rsidR="00CB29B7">
        <w:rPr>
          <w:lang w:val="fr-FR"/>
        </w:rPr>
        <w:t>’</w:t>
      </w:r>
      <w:r>
        <w:rPr>
          <w:lang w:val="fr-FR"/>
        </w:rPr>
        <w:t>améliorations d</w:t>
      </w:r>
      <w:r w:rsidR="00CB29B7">
        <w:rPr>
          <w:lang w:val="fr-FR"/>
        </w:rPr>
        <w:t>’</w:t>
      </w:r>
      <w:r>
        <w:rPr>
          <w:lang w:val="fr-FR"/>
        </w:rPr>
        <w:t>ordre</w:t>
      </w:r>
      <w:r w:rsidRPr="00C23A2C">
        <w:rPr>
          <w:lang w:val="fr-FR"/>
        </w:rPr>
        <w:t xml:space="preserve"> </w:t>
      </w:r>
      <w:r w:rsidRPr="00962400">
        <w:rPr>
          <w:lang w:val="fr-FR"/>
        </w:rPr>
        <w:t>rédactionnel</w:t>
      </w:r>
      <w:r w:rsidRPr="00C23A2C">
        <w:rPr>
          <w:lang w:val="fr-FR"/>
        </w:rPr>
        <w:t xml:space="preserve"> p</w:t>
      </w:r>
      <w:r>
        <w:rPr>
          <w:lang w:val="fr-FR"/>
        </w:rPr>
        <w:t>our une plus grande lisibilité et utilité de l</w:t>
      </w:r>
      <w:r w:rsidR="00CB29B7">
        <w:rPr>
          <w:lang w:val="fr-FR"/>
        </w:rPr>
        <w:t>’</w:t>
      </w:r>
      <w:r>
        <w:rPr>
          <w:lang w:val="fr-FR"/>
        </w:rPr>
        <w:t>ADN</w:t>
      </w:r>
      <w:r w:rsidR="00204818">
        <w:rPr>
          <w:lang w:val="fr-FR"/>
        </w:rPr>
        <w:t> :</w:t>
      </w:r>
      <w:r>
        <w:rPr>
          <w:lang w:val="fr-FR"/>
        </w:rPr>
        <w:t xml:space="preserve"> conteneurs-citernes et conteneurs</w:t>
      </w:r>
    </w:p>
    <w:p w:rsidR="008E33CD" w:rsidRPr="00210D5E" w:rsidRDefault="008E33CD" w:rsidP="008E33CD">
      <w:pPr>
        <w:pStyle w:val="H1G"/>
        <w:rPr>
          <w:sz w:val="20"/>
          <w:vertAlign w:val="superscript"/>
        </w:rPr>
      </w:pPr>
      <w:r>
        <w:rPr>
          <w:lang w:val="fr-FR"/>
        </w:rPr>
        <w:tab/>
      </w:r>
      <w:r>
        <w:rPr>
          <w:lang w:val="fr-FR"/>
        </w:rPr>
        <w:tab/>
        <w:t>Transmise par l</w:t>
      </w:r>
      <w:r w:rsidR="00CB29B7">
        <w:rPr>
          <w:lang w:val="fr-FR"/>
        </w:rPr>
        <w:t>’</w:t>
      </w:r>
      <w:r>
        <w:rPr>
          <w:lang w:val="fr-FR"/>
        </w:rPr>
        <w:t>Union européenne de la navigation fluviale (UENF)</w:t>
      </w:r>
      <w:r>
        <w:rPr>
          <w:lang w:val="fr-FR"/>
        </w:rPr>
        <w:br/>
        <w:t>et l</w:t>
      </w:r>
      <w:r w:rsidR="00CB29B7">
        <w:rPr>
          <w:lang w:val="fr-FR"/>
        </w:rPr>
        <w:t>’</w:t>
      </w:r>
      <w:r>
        <w:rPr>
          <w:lang w:val="fr-FR"/>
        </w:rPr>
        <w:t>Organisation européenne des bateliers (OEB)</w:t>
      </w:r>
      <w:r w:rsidRPr="007C3B49">
        <w:rPr>
          <w:b w:val="0"/>
          <w:sz w:val="20"/>
          <w:lang w:val="fr-FR"/>
        </w:rPr>
        <w:footnoteReference w:customMarkFollows="1" w:id="2"/>
        <w:t>*</w:t>
      </w:r>
      <w:r w:rsidRPr="008F18FF">
        <w:rPr>
          <w:b w:val="0"/>
          <w:sz w:val="20"/>
          <w:vertAlign w:val="superscript"/>
          <w:lang w:val="fr-FR"/>
        </w:rPr>
        <w:t>,</w:t>
      </w:r>
      <w:r w:rsidR="007C3B49" w:rsidRPr="008F18FF">
        <w:rPr>
          <w:b w:val="0"/>
          <w:sz w:val="20"/>
          <w:vertAlign w:val="superscript"/>
          <w:lang w:val="fr-FR"/>
        </w:rPr>
        <w:t xml:space="preserve"> </w:t>
      </w:r>
      <w:r w:rsidRPr="007C3B49">
        <w:rPr>
          <w:b w:val="0"/>
          <w:sz w:val="20"/>
          <w:lang w:val="fr-FR"/>
        </w:rPr>
        <w:footnoteReference w:customMarkFollows="1" w:id="3"/>
        <w:t>**</w:t>
      </w:r>
    </w:p>
    <w:tbl>
      <w:tblPr>
        <w:tblW w:w="7371" w:type="dxa"/>
        <w:tblInd w:w="113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21"/>
        <w:gridCol w:w="5150"/>
      </w:tblGrid>
      <w:tr w:rsidR="008E33CD" w:rsidRPr="00210D5E" w:rsidTr="001870D4">
        <w:tc>
          <w:tcPr>
            <w:tcW w:w="2552" w:type="dxa"/>
            <w:tcBorders>
              <w:bottom w:val="single" w:sz="4" w:space="0" w:color="auto"/>
            </w:tcBorders>
          </w:tcPr>
          <w:p w:rsidR="008E33CD" w:rsidRPr="003134DF" w:rsidRDefault="008E33CD" w:rsidP="007B4B56">
            <w:pPr>
              <w:spacing w:before="60" w:after="60"/>
            </w:pPr>
            <w:r>
              <w:rPr>
                <w:lang w:val="fr-FR"/>
              </w:rPr>
              <w:t xml:space="preserve">Documents </w:t>
            </w:r>
            <w:r w:rsidR="001870D4">
              <w:rPr>
                <w:lang w:val="fr-FR"/>
              </w:rPr>
              <w:t>connexes</w:t>
            </w:r>
            <w:r w:rsidR="00204818">
              <w:rPr>
                <w:lang w:val="fr-FR"/>
              </w:rPr>
              <w:t> :</w:t>
            </w:r>
          </w:p>
        </w:tc>
        <w:tc>
          <w:tcPr>
            <w:tcW w:w="5953" w:type="dxa"/>
            <w:tcBorders>
              <w:bottom w:val="single" w:sz="4" w:space="0" w:color="auto"/>
            </w:tcBorders>
          </w:tcPr>
          <w:p w:rsidR="008E33CD" w:rsidRPr="00210D5E" w:rsidRDefault="008E33CD" w:rsidP="007B4B56">
            <w:pPr>
              <w:spacing w:before="60" w:after="60"/>
            </w:pPr>
            <w:r>
              <w:rPr>
                <w:lang w:val="fr-FR"/>
              </w:rPr>
              <w:t>ECE/TRANS/WP.15/AC.2/66</w:t>
            </w:r>
          </w:p>
          <w:p w:rsidR="008E33CD" w:rsidRPr="00210D5E" w:rsidRDefault="008E33CD" w:rsidP="007B4B56">
            <w:pPr>
              <w:spacing w:before="60" w:after="60"/>
            </w:pPr>
            <w:r>
              <w:rPr>
                <w:lang w:val="fr-FR"/>
              </w:rPr>
              <w:t>Document informel INF.20 de la trente-deuxième session (sous-section C)</w:t>
            </w:r>
          </w:p>
        </w:tc>
      </w:tr>
    </w:tbl>
    <w:p w:rsidR="008E33CD" w:rsidRPr="00210D5E" w:rsidRDefault="008E33CD" w:rsidP="001870D4">
      <w:pPr>
        <w:pStyle w:val="HChG"/>
      </w:pPr>
      <w:r>
        <w:rPr>
          <w:lang w:val="fr-FR"/>
        </w:rPr>
        <w:tab/>
      </w:r>
      <w:r>
        <w:rPr>
          <w:lang w:val="fr-FR"/>
        </w:rPr>
        <w:tab/>
        <w:t>Introduction</w:t>
      </w:r>
    </w:p>
    <w:p w:rsidR="008E33CD" w:rsidRPr="0014183C" w:rsidRDefault="008E33CD" w:rsidP="001870D4">
      <w:pPr>
        <w:pStyle w:val="SingleTxtG"/>
      </w:pPr>
      <w:r>
        <w:rPr>
          <w:lang w:val="fr-FR"/>
        </w:rPr>
        <w:t>1.</w:t>
      </w:r>
      <w:r>
        <w:rPr>
          <w:lang w:val="fr-FR"/>
        </w:rPr>
        <w:tab/>
        <w:t>L</w:t>
      </w:r>
      <w:r w:rsidR="00CB29B7">
        <w:t>’</w:t>
      </w:r>
      <w:r w:rsidRPr="0039255E">
        <w:rPr>
          <w:lang w:val="fr-FR"/>
        </w:rPr>
        <w:t>UENF</w:t>
      </w:r>
      <w:r>
        <w:rPr>
          <w:lang w:val="fr-FR"/>
        </w:rPr>
        <w:t xml:space="preserve"> et l</w:t>
      </w:r>
      <w:r w:rsidR="00CB29B7">
        <w:rPr>
          <w:lang w:val="fr-FR"/>
        </w:rPr>
        <w:t>’</w:t>
      </w:r>
      <w:r w:rsidRPr="0039255E">
        <w:rPr>
          <w:lang w:val="fr-FR"/>
        </w:rPr>
        <w:t xml:space="preserve">OEB </w:t>
      </w:r>
      <w:r>
        <w:rPr>
          <w:lang w:val="fr-FR"/>
        </w:rPr>
        <w:t xml:space="preserve">ont reçu de leurs membres participant à leurs réunions sur les </w:t>
      </w:r>
      <w:r w:rsidRPr="00573758">
        <w:rPr>
          <w:lang w:val="fr-FR"/>
        </w:rPr>
        <w:t>marchandises dangereuses</w:t>
      </w:r>
      <w:r>
        <w:rPr>
          <w:lang w:val="fr-FR"/>
        </w:rPr>
        <w:t xml:space="preserve">, ainsi que des formateurs ADN ayant rejoint le </w:t>
      </w:r>
      <w:r w:rsidRPr="00573758">
        <w:rPr>
          <w:lang w:val="fr-FR"/>
        </w:rPr>
        <w:t xml:space="preserve">groupe de travail informel de la formation des experts </w:t>
      </w:r>
      <w:r>
        <w:rPr>
          <w:lang w:val="fr-FR"/>
        </w:rPr>
        <w:t xml:space="preserve">(AIG </w:t>
      </w:r>
      <w:proofErr w:type="spellStart"/>
      <w:r>
        <w:rPr>
          <w:lang w:val="fr-FR"/>
        </w:rPr>
        <w:t>Sachkundigenausbildung</w:t>
      </w:r>
      <w:proofErr w:type="spellEnd"/>
      <w:r>
        <w:rPr>
          <w:lang w:val="fr-FR"/>
        </w:rPr>
        <w:t>), plusieurs propositions d</w:t>
      </w:r>
      <w:r w:rsidR="00CB29B7">
        <w:rPr>
          <w:lang w:val="fr-FR"/>
        </w:rPr>
        <w:t>’</w:t>
      </w:r>
      <w:r>
        <w:rPr>
          <w:lang w:val="fr-FR"/>
        </w:rPr>
        <w:t>amélioration, principalement d</w:t>
      </w:r>
      <w:r w:rsidR="00CB29B7">
        <w:rPr>
          <w:lang w:val="fr-FR"/>
        </w:rPr>
        <w:t>’</w:t>
      </w:r>
      <w:r>
        <w:rPr>
          <w:lang w:val="fr-FR"/>
        </w:rPr>
        <w:t xml:space="preserve">ordre rédactionnel, </w:t>
      </w:r>
      <w:r w:rsidRPr="00573758">
        <w:rPr>
          <w:lang w:val="fr-FR"/>
        </w:rPr>
        <w:t>en vue du renforcement de la lisibilité et de l</w:t>
      </w:r>
      <w:r w:rsidR="00CB29B7">
        <w:rPr>
          <w:lang w:val="fr-FR"/>
        </w:rPr>
        <w:t>’</w:t>
      </w:r>
      <w:r w:rsidRPr="00573758">
        <w:rPr>
          <w:lang w:val="fr-FR"/>
        </w:rPr>
        <w:t>utilité de l</w:t>
      </w:r>
      <w:r w:rsidR="00CB29B7">
        <w:rPr>
          <w:lang w:val="fr-FR"/>
        </w:rPr>
        <w:t>’</w:t>
      </w:r>
      <w:r w:rsidRPr="00573758">
        <w:rPr>
          <w:lang w:val="fr-FR"/>
        </w:rPr>
        <w:t>ADN</w:t>
      </w:r>
      <w:r>
        <w:rPr>
          <w:lang w:val="fr-FR"/>
        </w:rPr>
        <w:t>, qui témoignaient d</w:t>
      </w:r>
      <w:r w:rsidR="00CB29B7">
        <w:rPr>
          <w:lang w:val="fr-FR"/>
        </w:rPr>
        <w:t>’</w:t>
      </w:r>
      <w:r>
        <w:rPr>
          <w:lang w:val="fr-FR"/>
        </w:rPr>
        <w:t>une volonté de clarification en général et visaient en particulier les équipages des barges, en tant qu</w:t>
      </w:r>
      <w:r w:rsidR="00CB29B7">
        <w:rPr>
          <w:lang w:val="fr-FR"/>
        </w:rPr>
        <w:t>’</w:t>
      </w:r>
      <w:r>
        <w:rPr>
          <w:lang w:val="fr-FR"/>
        </w:rPr>
        <w:t>utilisateurs pratiques et experts de l</w:t>
      </w:r>
      <w:r w:rsidR="00CB29B7">
        <w:rPr>
          <w:lang w:val="fr-FR"/>
        </w:rPr>
        <w:t>’</w:t>
      </w:r>
      <w:r>
        <w:rPr>
          <w:lang w:val="fr-FR"/>
        </w:rPr>
        <w:t xml:space="preserve">ADN à bord des barges. </w:t>
      </w:r>
    </w:p>
    <w:p w:rsidR="008E33CD" w:rsidRPr="00210D5E" w:rsidRDefault="008E33CD" w:rsidP="00CB29B7">
      <w:pPr>
        <w:pStyle w:val="SingleTxtG"/>
        <w:keepLines/>
      </w:pPr>
      <w:r>
        <w:rPr>
          <w:lang w:val="fr-FR"/>
        </w:rPr>
        <w:lastRenderedPageBreak/>
        <w:t>2.</w:t>
      </w:r>
      <w:r>
        <w:rPr>
          <w:lang w:val="fr-FR"/>
        </w:rPr>
        <w:tab/>
        <w:t>À la trente-deuxième session du Comité de sécurité de l</w:t>
      </w:r>
      <w:r w:rsidR="00CB29B7">
        <w:rPr>
          <w:lang w:val="fr-FR"/>
        </w:rPr>
        <w:t>’</w:t>
      </w:r>
      <w:r>
        <w:rPr>
          <w:lang w:val="fr-FR"/>
        </w:rPr>
        <w:t>ADN, la présente proposition a été présentée au nom de l</w:t>
      </w:r>
      <w:r w:rsidR="00CB29B7">
        <w:rPr>
          <w:lang w:val="fr-FR"/>
        </w:rPr>
        <w:t>’</w:t>
      </w:r>
      <w:r>
        <w:rPr>
          <w:lang w:val="fr-FR"/>
        </w:rPr>
        <w:t>UENF et de l</w:t>
      </w:r>
      <w:r w:rsidR="00CB29B7">
        <w:rPr>
          <w:lang w:val="fr-FR"/>
        </w:rPr>
        <w:t>’</w:t>
      </w:r>
      <w:r>
        <w:rPr>
          <w:lang w:val="fr-FR"/>
        </w:rPr>
        <w:t xml:space="preserve">OEB. Le </w:t>
      </w:r>
      <w:r w:rsidRPr="00992D0C">
        <w:rPr>
          <w:lang w:val="fr-FR"/>
        </w:rPr>
        <w:t>Comité</w:t>
      </w:r>
      <w:r>
        <w:rPr>
          <w:lang w:val="fr-FR"/>
        </w:rPr>
        <w:t xml:space="preserve"> a invité les représentants de ces deux organisations à tenir compte des observations formulées et à soumettre une proposition révisée, sous une cote officielle, à </w:t>
      </w:r>
      <w:r w:rsidR="00CB29B7">
        <w:rPr>
          <w:lang w:val="fr-FR"/>
        </w:rPr>
        <w:t>la trente-troisième session. La </w:t>
      </w:r>
      <w:r>
        <w:rPr>
          <w:lang w:val="fr-FR"/>
        </w:rPr>
        <w:t>proposition figurant dans le présent document répond à cette demande.</w:t>
      </w:r>
    </w:p>
    <w:p w:rsidR="008E33CD" w:rsidRPr="00210D5E" w:rsidRDefault="008E33CD" w:rsidP="00CB29B7">
      <w:pPr>
        <w:pStyle w:val="SingleTxtG"/>
      </w:pPr>
      <w:r>
        <w:rPr>
          <w:lang w:val="fr-FR"/>
        </w:rPr>
        <w:t>3.</w:t>
      </w:r>
      <w:r>
        <w:rPr>
          <w:lang w:val="fr-FR"/>
        </w:rPr>
        <w:tab/>
        <w:t>L</w:t>
      </w:r>
      <w:r w:rsidR="00CB29B7">
        <w:rPr>
          <w:lang w:val="fr-FR"/>
        </w:rPr>
        <w:t>’</w:t>
      </w:r>
      <w:r>
        <w:rPr>
          <w:lang w:val="fr-FR"/>
        </w:rPr>
        <w:t>UENF et l</w:t>
      </w:r>
      <w:r w:rsidR="00CB29B7">
        <w:rPr>
          <w:lang w:val="fr-FR"/>
        </w:rPr>
        <w:t>’</w:t>
      </w:r>
      <w:r>
        <w:rPr>
          <w:lang w:val="fr-FR"/>
        </w:rPr>
        <w:t>OEB invitent le Comité de sécurité à envisager de modifier l</w:t>
      </w:r>
      <w:r w:rsidR="00CB29B7">
        <w:rPr>
          <w:lang w:val="fr-FR"/>
        </w:rPr>
        <w:t>’</w:t>
      </w:r>
      <w:r>
        <w:rPr>
          <w:lang w:val="fr-FR"/>
        </w:rPr>
        <w:t>ADN afin d</w:t>
      </w:r>
      <w:r w:rsidR="00CB29B7">
        <w:rPr>
          <w:lang w:val="fr-FR"/>
        </w:rPr>
        <w:t>’</w:t>
      </w:r>
      <w:r>
        <w:rPr>
          <w:lang w:val="fr-FR"/>
        </w:rPr>
        <w:t>éviter toute confusion entre les fonctions respectives du conteneur-citerne et du conteneur.</w:t>
      </w:r>
    </w:p>
    <w:p w:rsidR="008E33CD" w:rsidRPr="00210D5E" w:rsidRDefault="008E33CD" w:rsidP="00CB29B7">
      <w:pPr>
        <w:pStyle w:val="HChG"/>
      </w:pPr>
      <w:r>
        <w:rPr>
          <w:lang w:val="fr-FR"/>
        </w:rPr>
        <w:tab/>
      </w:r>
      <w:r>
        <w:rPr>
          <w:lang w:val="fr-FR"/>
        </w:rPr>
        <w:tab/>
      </w:r>
      <w:r w:rsidR="00CB29B7">
        <w:rPr>
          <w:lang w:val="fr-FR"/>
        </w:rPr>
        <w:t>Proposition</w:t>
      </w:r>
      <w:r w:rsidR="00204818">
        <w:rPr>
          <w:lang w:val="fr-FR"/>
        </w:rPr>
        <w:t> :</w:t>
      </w:r>
      <w:r>
        <w:rPr>
          <w:lang w:val="fr-FR"/>
        </w:rPr>
        <w:t xml:space="preserve"> modifier les paragraphes 7.1.0.5.0.2 et 7.1.6.12 de l</w:t>
      </w:r>
      <w:r w:rsidR="00CB29B7">
        <w:rPr>
          <w:lang w:val="fr-FR"/>
        </w:rPr>
        <w:t>’</w:t>
      </w:r>
      <w:r>
        <w:rPr>
          <w:lang w:val="fr-FR"/>
        </w:rPr>
        <w:t>ADN</w:t>
      </w:r>
    </w:p>
    <w:p w:rsidR="008E33CD" w:rsidRPr="00210D5E" w:rsidRDefault="008E33CD" w:rsidP="00CB29B7">
      <w:pPr>
        <w:pStyle w:val="SingleTxtG"/>
      </w:pPr>
      <w:r>
        <w:rPr>
          <w:lang w:val="fr-FR"/>
        </w:rPr>
        <w:t>4.</w:t>
      </w:r>
      <w:r>
        <w:rPr>
          <w:lang w:val="fr-FR"/>
        </w:rPr>
        <w:tab/>
        <w:t>Exposé du problème</w:t>
      </w:r>
      <w:r w:rsidR="0046513F">
        <w:rPr>
          <w:lang w:val="fr-FR"/>
        </w:rPr>
        <w:t> </w:t>
      </w:r>
      <w:r>
        <w:rPr>
          <w:lang w:val="fr-FR"/>
        </w:rPr>
        <w:t xml:space="preserve">: </w:t>
      </w:r>
      <w:r w:rsidR="00EE6AAB">
        <w:rPr>
          <w:lang w:val="fr-FR"/>
        </w:rPr>
        <w:t>I</w:t>
      </w:r>
      <w:r>
        <w:rPr>
          <w:lang w:val="fr-FR"/>
        </w:rPr>
        <w:t>l a été fait part d</w:t>
      </w:r>
      <w:r w:rsidR="00CB29B7">
        <w:rPr>
          <w:lang w:val="fr-FR"/>
        </w:rPr>
        <w:t>’</w:t>
      </w:r>
      <w:r>
        <w:rPr>
          <w:lang w:val="fr-FR"/>
        </w:rPr>
        <w:t xml:space="preserve">un </w:t>
      </w:r>
      <w:r w:rsidRPr="005E2A87">
        <w:rPr>
          <w:lang w:val="fr-FR"/>
        </w:rPr>
        <w:t>problème rencontré</w:t>
      </w:r>
      <w:r>
        <w:rPr>
          <w:lang w:val="fr-FR"/>
        </w:rPr>
        <w:t xml:space="preserve"> lors de la formation des experts à propos des conteneurs-citernes, s</w:t>
      </w:r>
      <w:r w:rsidR="00CB29B7">
        <w:rPr>
          <w:lang w:val="fr-FR"/>
        </w:rPr>
        <w:t>’</w:t>
      </w:r>
      <w:r>
        <w:rPr>
          <w:lang w:val="fr-FR"/>
        </w:rPr>
        <w:t>agissant des paragraphes</w:t>
      </w:r>
      <w:r w:rsidR="00204818">
        <w:rPr>
          <w:lang w:val="fr-FR"/>
        </w:rPr>
        <w:t> </w:t>
      </w:r>
      <w:r>
        <w:rPr>
          <w:lang w:val="fr-FR"/>
        </w:rPr>
        <w:t>7.1.5.0.2 (Signalisation) et 7.1.6.12 (Ventilation). La façon dont les textes sont rédigés peut donner à penser qu</w:t>
      </w:r>
      <w:r w:rsidR="00CB29B7">
        <w:rPr>
          <w:lang w:val="fr-FR"/>
        </w:rPr>
        <w:t>’</w:t>
      </w:r>
      <w:r>
        <w:rPr>
          <w:lang w:val="fr-FR"/>
        </w:rPr>
        <w:t>un conteneur-citerne est un type de conteneur, ce qui n</w:t>
      </w:r>
      <w:r w:rsidR="00CB29B7">
        <w:rPr>
          <w:lang w:val="fr-FR"/>
        </w:rPr>
        <w:t>’</w:t>
      </w:r>
      <w:r>
        <w:rPr>
          <w:lang w:val="fr-FR"/>
        </w:rPr>
        <w:t>est pas le cas.</w:t>
      </w:r>
    </w:p>
    <w:p w:rsidR="008E33CD" w:rsidRPr="00210D5E" w:rsidRDefault="008E33CD" w:rsidP="00CB29B7">
      <w:pPr>
        <w:pStyle w:val="SingleTxtG"/>
      </w:pPr>
      <w:r>
        <w:rPr>
          <w:lang w:val="fr-FR"/>
        </w:rPr>
        <w:t>5.</w:t>
      </w:r>
      <w:r>
        <w:rPr>
          <w:lang w:val="fr-FR"/>
        </w:rPr>
        <w:tab/>
        <w:t xml:space="preserve">Le paragraphe du </w:t>
      </w:r>
      <w:r w:rsidR="00204818">
        <w:rPr>
          <w:lang w:val="fr-FR"/>
        </w:rPr>
        <w:t>« </w:t>
      </w:r>
      <w:r w:rsidRPr="00C23A2C">
        <w:rPr>
          <w:lang w:val="fr-FR"/>
        </w:rPr>
        <w:t>VE02</w:t>
      </w:r>
      <w:r w:rsidR="00204818">
        <w:rPr>
          <w:lang w:val="fr-FR"/>
        </w:rPr>
        <w:t> »</w:t>
      </w:r>
      <w:r>
        <w:rPr>
          <w:lang w:val="fr-FR"/>
        </w:rPr>
        <w:t xml:space="preserve"> concernant l</w:t>
      </w:r>
      <w:r w:rsidR="00CB29B7">
        <w:rPr>
          <w:lang w:val="fr-FR"/>
        </w:rPr>
        <w:t>’</w:t>
      </w:r>
      <w:r>
        <w:rPr>
          <w:lang w:val="fr-FR"/>
        </w:rPr>
        <w:t>exemption de la signalisation au moyen de cônes bleus et de l</w:t>
      </w:r>
      <w:r w:rsidR="00CB29B7">
        <w:rPr>
          <w:lang w:val="fr-FR"/>
        </w:rPr>
        <w:t>’</w:t>
      </w:r>
      <w:r>
        <w:rPr>
          <w:lang w:val="fr-FR"/>
        </w:rPr>
        <w:t>obligation de ventilation n</w:t>
      </w:r>
      <w:r w:rsidR="00CB29B7">
        <w:rPr>
          <w:lang w:val="fr-FR"/>
        </w:rPr>
        <w:t>’</w:t>
      </w:r>
      <w:r>
        <w:rPr>
          <w:lang w:val="fr-FR"/>
        </w:rPr>
        <w:t xml:space="preserve">est donc pas tout à fait clair, et il est mal interprété par les équipages des barges voire par les autorités. </w:t>
      </w:r>
    </w:p>
    <w:p w:rsidR="008E33CD" w:rsidRPr="00210D5E" w:rsidRDefault="008E33CD" w:rsidP="00CB29B7">
      <w:pPr>
        <w:pStyle w:val="SingleTxtG"/>
      </w:pPr>
      <w:r>
        <w:rPr>
          <w:lang w:val="fr-FR"/>
        </w:rPr>
        <w:t>6.</w:t>
      </w:r>
      <w:r>
        <w:rPr>
          <w:lang w:val="fr-FR"/>
        </w:rPr>
        <w:tab/>
        <w:t>Dans la définition du term</w:t>
      </w:r>
      <w:r w:rsidR="007C3B49">
        <w:rPr>
          <w:lang w:val="fr-FR"/>
        </w:rPr>
        <w:t>e « </w:t>
      </w:r>
      <w:r>
        <w:rPr>
          <w:lang w:val="fr-FR"/>
        </w:rPr>
        <w:t>conteneur</w:t>
      </w:r>
      <w:r w:rsidR="007C3B49">
        <w:rPr>
          <w:lang w:val="fr-FR"/>
        </w:rPr>
        <w:t> »</w:t>
      </w:r>
      <w:r>
        <w:rPr>
          <w:lang w:val="fr-FR"/>
        </w:rPr>
        <w:t xml:space="preserve"> donnée au chapitre</w:t>
      </w:r>
      <w:r w:rsidR="00204818">
        <w:rPr>
          <w:lang w:val="fr-FR"/>
        </w:rPr>
        <w:t> </w:t>
      </w:r>
      <w:r>
        <w:rPr>
          <w:lang w:val="fr-FR"/>
        </w:rPr>
        <w:t xml:space="preserve">1.2, seul </w:t>
      </w:r>
      <w:proofErr w:type="gramStart"/>
      <w:r>
        <w:rPr>
          <w:lang w:val="fr-FR"/>
        </w:rPr>
        <w:t>un nota précise</w:t>
      </w:r>
      <w:proofErr w:type="gramEnd"/>
      <w:r>
        <w:rPr>
          <w:lang w:val="fr-FR"/>
        </w:rPr>
        <w:t xml:space="preserve"> que les conteneurs-citernes sont exclus du champ d</w:t>
      </w:r>
      <w:r w:rsidR="00CB29B7">
        <w:rPr>
          <w:lang w:val="fr-FR"/>
        </w:rPr>
        <w:t>’</w:t>
      </w:r>
      <w:r>
        <w:rPr>
          <w:lang w:val="fr-FR"/>
        </w:rPr>
        <w:t>application de la définition du terme</w:t>
      </w:r>
      <w:r w:rsidR="00204818">
        <w:rPr>
          <w:lang w:val="fr-FR"/>
        </w:rPr>
        <w:t xml:space="preserve"> « conteneur »</w:t>
      </w:r>
      <w:r>
        <w:rPr>
          <w:lang w:val="fr-FR"/>
        </w:rPr>
        <w:t xml:space="preserve">. </w:t>
      </w:r>
    </w:p>
    <w:p w:rsidR="008E33CD" w:rsidRPr="00210D5E" w:rsidRDefault="008E33CD" w:rsidP="00CB29B7">
      <w:pPr>
        <w:pStyle w:val="SingleTxtG"/>
      </w:pPr>
      <w:r>
        <w:rPr>
          <w:lang w:val="fr-FR"/>
        </w:rPr>
        <w:t>7.</w:t>
      </w:r>
      <w:r>
        <w:rPr>
          <w:lang w:val="fr-FR"/>
        </w:rPr>
        <w:tab/>
        <w:t>Il serait utile d</w:t>
      </w:r>
      <w:r w:rsidR="00CB29B7">
        <w:rPr>
          <w:lang w:val="fr-FR"/>
        </w:rPr>
        <w:t>’</w:t>
      </w:r>
      <w:r w:rsidR="0046513F">
        <w:rPr>
          <w:lang w:val="fr-FR"/>
        </w:rPr>
        <w:t>ajouter un</w:t>
      </w:r>
      <w:r>
        <w:rPr>
          <w:lang w:val="fr-FR"/>
        </w:rPr>
        <w:t xml:space="preserve"> nota au 7.1.0.5.0.2 et au 7.1.6.12 afin de clarifier ces paragraphes et d</w:t>
      </w:r>
      <w:r w:rsidR="00CB29B7">
        <w:rPr>
          <w:lang w:val="fr-FR"/>
        </w:rPr>
        <w:t>’</w:t>
      </w:r>
      <w:r>
        <w:rPr>
          <w:lang w:val="fr-FR"/>
        </w:rPr>
        <w:t>éviter les malentendus inutiles.</w:t>
      </w:r>
    </w:p>
    <w:p w:rsidR="008E33CD" w:rsidRPr="00210D5E" w:rsidRDefault="008E33CD" w:rsidP="00CB29B7">
      <w:pPr>
        <w:pStyle w:val="SingleTxtG"/>
      </w:pPr>
      <w:r>
        <w:rPr>
          <w:lang w:val="fr-FR"/>
        </w:rPr>
        <w:t>8.</w:t>
      </w:r>
      <w:r>
        <w:rPr>
          <w:lang w:val="fr-FR"/>
        </w:rPr>
        <w:tab/>
        <w:t>Parfois, les cônes bleus ne sont pas utilisés alors qu</w:t>
      </w:r>
      <w:r w:rsidR="00CB29B7">
        <w:rPr>
          <w:lang w:val="fr-FR"/>
        </w:rPr>
        <w:t>’</w:t>
      </w:r>
      <w:r w:rsidRPr="0088653A">
        <w:rPr>
          <w:lang w:val="fr-FR"/>
        </w:rPr>
        <w:t>ils sont obligatoires</w:t>
      </w:r>
      <w:r>
        <w:rPr>
          <w:lang w:val="fr-FR"/>
        </w:rPr>
        <w:t xml:space="preserve">, par exemple </w:t>
      </w:r>
      <w:r w:rsidRPr="0088653A">
        <w:rPr>
          <w:lang w:val="fr-FR"/>
        </w:rPr>
        <w:t>pendant le transport</w:t>
      </w:r>
      <w:r>
        <w:rPr>
          <w:lang w:val="fr-FR"/>
        </w:rPr>
        <w:t xml:space="preserve"> d</w:t>
      </w:r>
      <w:r w:rsidR="00CB29B7">
        <w:rPr>
          <w:lang w:val="fr-FR"/>
        </w:rPr>
        <w:t>’</w:t>
      </w:r>
      <w:r>
        <w:rPr>
          <w:lang w:val="fr-FR"/>
        </w:rPr>
        <w:t xml:space="preserve">un conteneur-citerne unique contenant </w:t>
      </w:r>
      <w:r w:rsidR="00204818">
        <w:rPr>
          <w:lang w:val="fr-FR"/>
        </w:rPr>
        <w:t>20 tonnes de matières de la classe </w:t>
      </w:r>
      <w:r>
        <w:rPr>
          <w:lang w:val="fr-FR"/>
        </w:rPr>
        <w:t>3, groupe d</w:t>
      </w:r>
      <w:r w:rsidR="00CB29B7">
        <w:rPr>
          <w:lang w:val="fr-FR"/>
        </w:rPr>
        <w:t>’</w:t>
      </w:r>
      <w:r>
        <w:rPr>
          <w:lang w:val="fr-FR"/>
        </w:rPr>
        <w:t>emballage II. Dans ce cas, les circonstances décrites au 7.1.5.0.2 ne sont pas applicables, ce qui n</w:t>
      </w:r>
      <w:r w:rsidR="00CB29B7">
        <w:rPr>
          <w:lang w:val="fr-FR"/>
        </w:rPr>
        <w:t>’</w:t>
      </w:r>
      <w:r>
        <w:rPr>
          <w:lang w:val="fr-FR"/>
        </w:rPr>
        <w:t xml:space="preserve">est pas toujours clair. </w:t>
      </w:r>
    </w:p>
    <w:p w:rsidR="008E33CD" w:rsidRPr="00210D5E" w:rsidRDefault="008E33CD" w:rsidP="00CB29B7">
      <w:pPr>
        <w:pStyle w:val="SingleTxtG"/>
      </w:pPr>
      <w:r>
        <w:rPr>
          <w:lang w:val="fr-FR"/>
        </w:rPr>
        <w:t>9.</w:t>
      </w:r>
      <w:r>
        <w:rPr>
          <w:lang w:val="fr-FR"/>
        </w:rPr>
        <w:tab/>
        <w:t>Concernant le 7.1.6.12</w:t>
      </w:r>
      <w:r w:rsidR="00204818">
        <w:rPr>
          <w:lang w:val="fr-FR"/>
        </w:rPr>
        <w:t> :</w:t>
      </w:r>
      <w:r>
        <w:rPr>
          <w:lang w:val="fr-FR"/>
        </w:rPr>
        <w:t xml:space="preserve"> dans ce contexte de ventilation</w:t>
      </w:r>
      <w:r w:rsidRPr="002E30C1">
        <w:t xml:space="preserve"> </w:t>
      </w:r>
      <w:r w:rsidRPr="002E30C1">
        <w:rPr>
          <w:lang w:val="fr-FR"/>
        </w:rPr>
        <w:t>également</w:t>
      </w:r>
      <w:r w:rsidR="00204818">
        <w:rPr>
          <w:lang w:val="fr-FR"/>
        </w:rPr>
        <w:t>, un conteneur</w:t>
      </w:r>
      <w:r w:rsidR="00204818">
        <w:rPr>
          <w:lang w:val="fr-FR"/>
        </w:rPr>
        <w:noBreakHyphen/>
      </w:r>
      <w:r>
        <w:rPr>
          <w:lang w:val="fr-FR"/>
        </w:rPr>
        <w:t>citerne n</w:t>
      </w:r>
      <w:r w:rsidR="00CB29B7">
        <w:rPr>
          <w:lang w:val="fr-FR"/>
        </w:rPr>
        <w:t>’</w:t>
      </w:r>
      <w:r>
        <w:rPr>
          <w:lang w:val="fr-FR"/>
        </w:rPr>
        <w:t>est pas un conteneur. Mais pendant le transport des conteneurs-citernes, si l</w:t>
      </w:r>
      <w:r w:rsidR="00CB29B7">
        <w:rPr>
          <w:lang w:val="fr-FR"/>
        </w:rPr>
        <w:t>’</w:t>
      </w:r>
      <w:r>
        <w:rPr>
          <w:lang w:val="fr-FR"/>
        </w:rPr>
        <w:t>on soupçonne que les cales ne sont pas exemptes de gaz, elles doivent être ventilées (non seulement lors du transport de conteneurs, mais aussi pour celui d</w:t>
      </w:r>
      <w:r w:rsidR="00204818">
        <w:rPr>
          <w:lang w:val="fr-FR"/>
        </w:rPr>
        <w:t>e conteneurs</w:t>
      </w:r>
      <w:r w:rsidR="00204818">
        <w:rPr>
          <w:lang w:val="fr-FR"/>
        </w:rPr>
        <w:noBreakHyphen/>
      </w:r>
      <w:r>
        <w:rPr>
          <w:lang w:val="fr-FR"/>
        </w:rPr>
        <w:t>citernes).</w:t>
      </w:r>
    </w:p>
    <w:p w:rsidR="008E33CD" w:rsidRPr="00210D5E" w:rsidRDefault="008E33CD" w:rsidP="00CB29B7">
      <w:pPr>
        <w:pStyle w:val="SingleTxtG"/>
        <w:rPr>
          <w:i/>
        </w:rPr>
      </w:pPr>
      <w:r>
        <w:rPr>
          <w:lang w:val="fr-FR"/>
        </w:rPr>
        <w:t>10.</w:t>
      </w:r>
      <w:r>
        <w:rPr>
          <w:lang w:val="fr-FR"/>
        </w:rPr>
        <w:tab/>
        <w:t>Proposition de clarification</w:t>
      </w:r>
      <w:r w:rsidR="00204818">
        <w:rPr>
          <w:lang w:val="fr-FR"/>
        </w:rPr>
        <w:t> :</w:t>
      </w:r>
      <w:r>
        <w:rPr>
          <w:lang w:val="fr-FR"/>
        </w:rPr>
        <w:t xml:space="preserve"> ajouter une nouvelle phrase à la fin du 7.1.5.0.2 (</w:t>
      </w:r>
      <w:r w:rsidR="00204818">
        <w:rPr>
          <w:lang w:val="fr-FR"/>
        </w:rPr>
        <w:t>le </w:t>
      </w:r>
      <w:r>
        <w:rPr>
          <w:lang w:val="fr-FR"/>
        </w:rPr>
        <w:t xml:space="preserve">texte </w:t>
      </w:r>
      <w:r w:rsidRPr="002E30C1">
        <w:rPr>
          <w:lang w:val="fr-FR"/>
        </w:rPr>
        <w:t xml:space="preserve">nouveau </w:t>
      </w:r>
      <w:r>
        <w:rPr>
          <w:lang w:val="fr-FR"/>
        </w:rPr>
        <w:t>est en caractères gras)</w:t>
      </w:r>
      <w:r w:rsidR="00204818">
        <w:rPr>
          <w:lang w:val="fr-FR"/>
        </w:rPr>
        <w:t> :</w:t>
      </w:r>
    </w:p>
    <w:p w:rsidR="008E33CD" w:rsidRPr="00210D5E" w:rsidRDefault="00CB29B7" w:rsidP="00CB29B7">
      <w:pPr>
        <w:pStyle w:val="SingleTxtG"/>
      </w:pPr>
      <w:r>
        <w:rPr>
          <w:lang w:val="fr-FR"/>
        </w:rPr>
        <w:t>« </w:t>
      </w:r>
      <w:r w:rsidR="008E33CD" w:rsidRPr="00CB29B7">
        <w:rPr>
          <w:b/>
          <w:lang w:val="fr-FR"/>
        </w:rPr>
        <w:t>7.1.5.0.2</w:t>
      </w:r>
      <w:r w:rsidR="008E33CD">
        <w:rPr>
          <w:lang w:val="fr-FR"/>
        </w:rPr>
        <w:t xml:space="preserve"> </w:t>
      </w:r>
      <w:r w:rsidR="008E33CD">
        <w:rPr>
          <w:lang w:val="fr-FR"/>
        </w:rPr>
        <w:tab/>
        <w:t>Les bateaux transportant des marchandises d</w:t>
      </w:r>
      <w:r w:rsidR="00204818">
        <w:rPr>
          <w:lang w:val="fr-FR"/>
        </w:rPr>
        <w:t>angereuses énumérées au tableau </w:t>
      </w:r>
      <w:r w:rsidR="008E33CD">
        <w:rPr>
          <w:lang w:val="fr-FR"/>
        </w:rPr>
        <w:t>A du chapitre 3.2 en colis placés exclusivement dans des conteneurs doivent montrer les cônes bleus ou feux bleus en nombre indiqué dans la colonn</w:t>
      </w:r>
      <w:r>
        <w:rPr>
          <w:lang w:val="fr-FR"/>
        </w:rPr>
        <w:t>e (12) du tableau</w:t>
      </w:r>
      <w:r w:rsidR="007C3B49">
        <w:rPr>
          <w:lang w:val="fr-FR"/>
        </w:rPr>
        <w:t> </w:t>
      </w:r>
      <w:r>
        <w:rPr>
          <w:lang w:val="fr-FR"/>
        </w:rPr>
        <w:t>A du chapitre </w:t>
      </w:r>
      <w:r w:rsidR="008E33CD">
        <w:rPr>
          <w:lang w:val="fr-FR"/>
        </w:rPr>
        <w:t xml:space="preserve">3.2 pour autant </w:t>
      </w:r>
      <w:r>
        <w:rPr>
          <w:lang w:val="fr-FR"/>
        </w:rPr>
        <w:t>que</w:t>
      </w:r>
      <w:r w:rsidR="00204818">
        <w:rPr>
          <w:lang w:val="fr-FR"/>
        </w:rPr>
        <w:t> :</w:t>
      </w:r>
    </w:p>
    <w:p w:rsidR="00CB29B7" w:rsidRPr="00CB29B7" w:rsidRDefault="008E33CD" w:rsidP="006C50A6">
      <w:pPr>
        <w:pStyle w:val="SingleTxtG"/>
        <w:numPr>
          <w:ilvl w:val="0"/>
          <w:numId w:val="17"/>
        </w:numPr>
      </w:pPr>
      <w:proofErr w:type="gramStart"/>
      <w:r w:rsidRPr="00CB29B7">
        <w:rPr>
          <w:lang w:val="fr-FR"/>
        </w:rPr>
        <w:t>trois</w:t>
      </w:r>
      <w:proofErr w:type="gramEnd"/>
      <w:r w:rsidRPr="00CB29B7">
        <w:rPr>
          <w:lang w:val="fr-FR"/>
        </w:rPr>
        <w:t xml:space="preserve"> cônes bleus ou trois feux bleus sont </w:t>
      </w:r>
      <w:r w:rsidR="0046513F">
        <w:rPr>
          <w:lang w:val="fr-FR"/>
        </w:rPr>
        <w:t>exigés </w:t>
      </w:r>
      <w:r w:rsidRPr="00CB29B7">
        <w:rPr>
          <w:lang w:val="fr-FR"/>
        </w:rPr>
        <w:t>; ou</w:t>
      </w:r>
    </w:p>
    <w:p w:rsidR="00CB29B7" w:rsidRPr="00CB29B7" w:rsidRDefault="008E33CD" w:rsidP="00652E15">
      <w:pPr>
        <w:pStyle w:val="SingleTxtG"/>
        <w:numPr>
          <w:ilvl w:val="0"/>
          <w:numId w:val="17"/>
        </w:numPr>
      </w:pPr>
      <w:proofErr w:type="gramStart"/>
      <w:r w:rsidRPr="00CB29B7">
        <w:rPr>
          <w:lang w:val="fr-FR"/>
        </w:rPr>
        <w:t>deux</w:t>
      </w:r>
      <w:proofErr w:type="gramEnd"/>
      <w:r w:rsidRPr="00CB29B7">
        <w:rPr>
          <w:lang w:val="fr-FR"/>
        </w:rPr>
        <w:t xml:space="preserve"> cônes bleus ou deux feux bleus sont exigés, il s</w:t>
      </w:r>
      <w:r w:rsidR="00CB29B7">
        <w:rPr>
          <w:lang w:val="fr-FR"/>
        </w:rPr>
        <w:t>’</w:t>
      </w:r>
      <w:r w:rsidRPr="00CB29B7">
        <w:rPr>
          <w:lang w:val="fr-FR"/>
        </w:rPr>
        <w:t>agit d</w:t>
      </w:r>
      <w:r w:rsidR="00CB29B7">
        <w:rPr>
          <w:lang w:val="fr-FR"/>
        </w:rPr>
        <w:t>’</w:t>
      </w:r>
      <w:r w:rsidRPr="00CB29B7">
        <w:rPr>
          <w:lang w:val="fr-FR"/>
        </w:rPr>
        <w:t>une matière de la classe 2 ou le groupe d</w:t>
      </w:r>
      <w:r w:rsidR="00CB29B7">
        <w:rPr>
          <w:lang w:val="fr-FR"/>
        </w:rPr>
        <w:t>’</w:t>
      </w:r>
      <w:r w:rsidRPr="00CB29B7">
        <w:rPr>
          <w:lang w:val="fr-FR"/>
        </w:rPr>
        <w:t>emballage I est indiqué</w:t>
      </w:r>
      <w:r w:rsidR="007C3B49">
        <w:rPr>
          <w:lang w:val="fr-FR"/>
        </w:rPr>
        <w:t xml:space="preserve"> dans la colonne (4) du tableau </w:t>
      </w:r>
      <w:r w:rsidRPr="00CB29B7">
        <w:rPr>
          <w:lang w:val="fr-FR"/>
        </w:rPr>
        <w:t>A du chapitre 3.2 et la masse brute totale de ces marchandises dangereuses est</w:t>
      </w:r>
      <w:r w:rsidR="00CB29B7">
        <w:rPr>
          <w:lang w:val="fr-FR"/>
        </w:rPr>
        <w:t xml:space="preserve"> supérieure à 30 </w:t>
      </w:r>
      <w:r w:rsidRPr="00CB29B7">
        <w:rPr>
          <w:lang w:val="fr-FR"/>
        </w:rPr>
        <w:t xml:space="preserve">000 </w:t>
      </w:r>
      <w:r w:rsidR="00CB29B7">
        <w:rPr>
          <w:lang w:val="fr-FR"/>
        </w:rPr>
        <w:t>kg </w:t>
      </w:r>
      <w:r w:rsidRPr="00CB29B7">
        <w:rPr>
          <w:lang w:val="fr-FR"/>
        </w:rPr>
        <w:t>; ou</w:t>
      </w:r>
    </w:p>
    <w:p w:rsidR="008E33CD" w:rsidRPr="00210D5E" w:rsidRDefault="008E33CD" w:rsidP="00652E15">
      <w:pPr>
        <w:pStyle w:val="SingleTxtG"/>
        <w:numPr>
          <w:ilvl w:val="0"/>
          <w:numId w:val="17"/>
        </w:numPr>
      </w:pPr>
      <w:proofErr w:type="gramStart"/>
      <w:r w:rsidRPr="00CB29B7">
        <w:rPr>
          <w:lang w:val="fr-FR"/>
        </w:rPr>
        <w:t>un</w:t>
      </w:r>
      <w:proofErr w:type="gramEnd"/>
      <w:r w:rsidRPr="00CB29B7">
        <w:rPr>
          <w:lang w:val="fr-FR"/>
        </w:rPr>
        <w:t xml:space="preserve"> cône bleu ou un feu bleu est exigé, il s</w:t>
      </w:r>
      <w:r w:rsidR="00CB29B7">
        <w:rPr>
          <w:lang w:val="fr-FR"/>
        </w:rPr>
        <w:t>’</w:t>
      </w:r>
      <w:r w:rsidRPr="00CB29B7">
        <w:rPr>
          <w:lang w:val="fr-FR"/>
        </w:rPr>
        <w:t>agit d</w:t>
      </w:r>
      <w:r w:rsidR="00CB29B7">
        <w:rPr>
          <w:lang w:val="fr-FR"/>
        </w:rPr>
        <w:t>’</w:t>
      </w:r>
      <w:r w:rsidR="007C3B49">
        <w:rPr>
          <w:lang w:val="fr-FR"/>
        </w:rPr>
        <w:t>une matière de la classe </w:t>
      </w:r>
      <w:r w:rsidRPr="00CB29B7">
        <w:rPr>
          <w:lang w:val="fr-FR"/>
        </w:rPr>
        <w:t>2 ou le groupe d</w:t>
      </w:r>
      <w:r w:rsidR="00CB29B7">
        <w:rPr>
          <w:lang w:val="fr-FR"/>
        </w:rPr>
        <w:t>’</w:t>
      </w:r>
      <w:r w:rsidRPr="00CB29B7">
        <w:rPr>
          <w:lang w:val="fr-FR"/>
        </w:rPr>
        <w:t>emballage I est indiqué dans la colonne (4) du tableau A du chapitre</w:t>
      </w:r>
      <w:r w:rsidR="007C3B49">
        <w:rPr>
          <w:lang w:val="fr-FR"/>
        </w:rPr>
        <w:t> </w:t>
      </w:r>
      <w:r w:rsidRPr="00CB29B7">
        <w:rPr>
          <w:lang w:val="fr-FR"/>
        </w:rPr>
        <w:t>3.2 et la masse brute totale de ces marchandises dangereuses est supérieure à 130</w:t>
      </w:r>
      <w:r w:rsidR="00CB29B7">
        <w:rPr>
          <w:lang w:val="fr-FR"/>
        </w:rPr>
        <w:t> 000 </w:t>
      </w:r>
      <w:r w:rsidRPr="00CB29B7">
        <w:rPr>
          <w:lang w:val="fr-FR"/>
        </w:rPr>
        <w:t xml:space="preserve">kg. </w:t>
      </w:r>
    </w:p>
    <w:p w:rsidR="008E33CD" w:rsidRPr="00210D5E" w:rsidRDefault="008E33CD" w:rsidP="00CB29B7">
      <w:pPr>
        <w:pStyle w:val="SingleTxtG"/>
        <w:rPr>
          <w:iCs/>
        </w:rPr>
      </w:pPr>
      <w:r w:rsidRPr="00306A29">
        <w:rPr>
          <w:b/>
          <w:lang w:val="fr-FR"/>
        </w:rPr>
        <w:t>Les dispositions du présent paragraphe ne s</w:t>
      </w:r>
      <w:r w:rsidR="00CB29B7" w:rsidRPr="00306A29">
        <w:rPr>
          <w:b/>
          <w:lang w:val="fr-FR"/>
        </w:rPr>
        <w:t>’</w:t>
      </w:r>
      <w:r w:rsidRPr="00306A29">
        <w:rPr>
          <w:b/>
          <w:lang w:val="fr-FR"/>
        </w:rPr>
        <w:t>appliquent pas au transport des</w:t>
      </w:r>
      <w:r w:rsidR="00CB29B7" w:rsidRPr="00306A29">
        <w:rPr>
          <w:b/>
          <w:lang w:val="fr-FR"/>
        </w:rPr>
        <w:t xml:space="preserve"> </w:t>
      </w:r>
      <w:r w:rsidR="0046513F" w:rsidRPr="00306A29">
        <w:rPr>
          <w:b/>
          <w:lang w:val="fr-FR"/>
        </w:rPr>
        <w:t>conteneurs</w:t>
      </w:r>
      <w:r w:rsidR="0046513F" w:rsidRPr="00306A29">
        <w:rPr>
          <w:b/>
          <w:lang w:val="fr-FR"/>
        </w:rPr>
        <w:noBreakHyphen/>
      </w:r>
      <w:r w:rsidR="00CB29B7" w:rsidRPr="00306A29">
        <w:rPr>
          <w:b/>
          <w:lang w:val="fr-FR"/>
        </w:rPr>
        <w:t>citernes.</w:t>
      </w:r>
      <w:r w:rsidR="00CB29B7">
        <w:rPr>
          <w:lang w:val="fr-FR"/>
        </w:rPr>
        <w:t> ».</w:t>
      </w:r>
    </w:p>
    <w:p w:rsidR="008E33CD" w:rsidRPr="00210D5E" w:rsidRDefault="00CB29B7" w:rsidP="00CB29B7">
      <w:pPr>
        <w:pStyle w:val="SingleTxtG"/>
      </w:pPr>
      <w:r>
        <w:rPr>
          <w:lang w:val="fr-FR"/>
        </w:rPr>
        <w:lastRenderedPageBreak/>
        <w:t>Ajouter « ou dans des conteneurs-citernes »</w:t>
      </w:r>
      <w:r w:rsidR="008E33CD">
        <w:rPr>
          <w:lang w:val="fr-FR"/>
        </w:rPr>
        <w:t xml:space="preserve"> au parag</w:t>
      </w:r>
      <w:r w:rsidR="007C3B49">
        <w:rPr>
          <w:lang w:val="fr-FR"/>
        </w:rPr>
        <w:t>raphe </w:t>
      </w:r>
      <w:r>
        <w:rPr>
          <w:lang w:val="fr-FR"/>
        </w:rPr>
        <w:t>7.1.6.12 comme indiqué ci</w:t>
      </w:r>
      <w:r>
        <w:rPr>
          <w:lang w:val="fr-FR"/>
        </w:rPr>
        <w:noBreakHyphen/>
      </w:r>
      <w:r w:rsidR="008E33CD">
        <w:rPr>
          <w:lang w:val="fr-FR"/>
        </w:rPr>
        <w:t>dessous (le texte nouveau est en caractère gras).</w:t>
      </w:r>
    </w:p>
    <w:p w:rsidR="008E33CD" w:rsidRPr="00210D5E" w:rsidRDefault="00CB29B7" w:rsidP="00CB29B7">
      <w:pPr>
        <w:pStyle w:val="SingleTxtG"/>
        <w:rPr>
          <w:iCs/>
        </w:rPr>
      </w:pPr>
      <w:r>
        <w:rPr>
          <w:lang w:val="fr-FR"/>
        </w:rPr>
        <w:t>« </w:t>
      </w:r>
      <w:r w:rsidR="008E33CD" w:rsidRPr="00CB29B7">
        <w:rPr>
          <w:b/>
          <w:lang w:val="fr-FR"/>
        </w:rPr>
        <w:t>7.1.6.12</w:t>
      </w:r>
      <w:r w:rsidR="008E33CD" w:rsidRPr="00CB29B7">
        <w:rPr>
          <w:b/>
          <w:lang w:val="fr-FR"/>
        </w:rPr>
        <w:tab/>
        <w:t>Ventilation</w:t>
      </w:r>
    </w:p>
    <w:p w:rsidR="008E33CD" w:rsidRPr="00210D5E" w:rsidRDefault="008E33CD" w:rsidP="00CB29B7">
      <w:pPr>
        <w:pStyle w:val="SingleTxtG"/>
      </w:pPr>
      <w:r>
        <w:rPr>
          <w:lang w:val="fr-FR"/>
        </w:rPr>
        <w:t>Les prescriptions supplémentaires suivantes doivent être remplies lorsqu</w:t>
      </w:r>
      <w:r w:rsidR="00CB29B7">
        <w:rPr>
          <w:lang w:val="fr-FR"/>
        </w:rPr>
        <w:t>’</w:t>
      </w:r>
      <w:r>
        <w:rPr>
          <w:lang w:val="fr-FR"/>
        </w:rPr>
        <w:t>elles sont indiquées à la colonne (1</w:t>
      </w:r>
      <w:r w:rsidR="007C3B49">
        <w:rPr>
          <w:lang w:val="fr-FR"/>
        </w:rPr>
        <w:t>0) du tableau </w:t>
      </w:r>
      <w:r w:rsidR="00CB29B7">
        <w:rPr>
          <w:lang w:val="fr-FR"/>
        </w:rPr>
        <w:t>A du chapitre 3.2</w:t>
      </w:r>
      <w:r w:rsidR="00204818">
        <w:rPr>
          <w:lang w:val="fr-FR"/>
        </w:rPr>
        <w:t> :</w:t>
      </w:r>
    </w:p>
    <w:p w:rsidR="008E33CD" w:rsidRPr="00210D5E" w:rsidRDefault="008E33CD" w:rsidP="00CB29B7">
      <w:pPr>
        <w:pStyle w:val="SingleTxtG"/>
      </w:pPr>
      <w:r>
        <w:rPr>
          <w:lang w:val="fr-FR"/>
        </w:rPr>
        <w:t>…</w:t>
      </w:r>
    </w:p>
    <w:p w:rsidR="00CB29B7" w:rsidRDefault="008E33CD" w:rsidP="00CB29B7">
      <w:pPr>
        <w:pStyle w:val="SingleTxtG"/>
        <w:rPr>
          <w:lang w:val="fr-FR"/>
        </w:rPr>
      </w:pPr>
      <w:r>
        <w:rPr>
          <w:lang w:val="fr-FR"/>
        </w:rPr>
        <w:t>VE02</w:t>
      </w:r>
      <w:r w:rsidR="00204818">
        <w:rPr>
          <w:lang w:val="fr-FR"/>
        </w:rPr>
        <w:t> :</w:t>
      </w:r>
      <w:r>
        <w:rPr>
          <w:lang w:val="fr-FR"/>
        </w:rPr>
        <w:t xml:space="preserve"> Les cales contenant ces matières doivent être ventilées, l</w:t>
      </w:r>
      <w:r w:rsidR="00CB29B7">
        <w:rPr>
          <w:lang w:val="fr-FR"/>
        </w:rPr>
        <w:t>’</w:t>
      </w:r>
      <w:r>
        <w:rPr>
          <w:lang w:val="fr-FR"/>
        </w:rPr>
        <w:t>équipement de ventilation fonctionnant à plein rendement, lorsque l</w:t>
      </w:r>
      <w:r w:rsidR="00CB29B7">
        <w:rPr>
          <w:lang w:val="fr-FR"/>
        </w:rPr>
        <w:t>’</w:t>
      </w:r>
      <w:r>
        <w:rPr>
          <w:lang w:val="fr-FR"/>
        </w:rPr>
        <w:t xml:space="preserve">on constate après une mesure que les cales ne sont pas exemptes de gaz provenant de la cargaison. Ces mesures doivent être effectuées immédiatement après le chargement. Une mesure de contrôle doit être répétée une heure plus tard. Les résultats des mesures doivent être consignés par écrit. </w:t>
      </w:r>
    </w:p>
    <w:p w:rsidR="00CB29B7" w:rsidRDefault="008E33CD" w:rsidP="00CB29B7">
      <w:pPr>
        <w:pStyle w:val="SingleTxtG"/>
        <w:rPr>
          <w:lang w:val="fr-FR"/>
        </w:rPr>
      </w:pPr>
      <w:r>
        <w:rPr>
          <w:lang w:val="fr-FR"/>
        </w:rPr>
        <w:t xml:space="preserve">Alternativement, à bord des bateaux qui ne transportent ces marchandises que dans des conteneurs </w:t>
      </w:r>
      <w:r w:rsidRPr="00CB29B7">
        <w:rPr>
          <w:b/>
          <w:i/>
          <w:lang w:val="fr-FR"/>
        </w:rPr>
        <w:t>ou des conteneurs-citernes</w:t>
      </w:r>
      <w:r>
        <w:rPr>
          <w:lang w:val="fr-FR"/>
        </w:rPr>
        <w:t xml:space="preserve"> dans des cales ouvertes, les cales contenant ces conteneurs peuvent n</w:t>
      </w:r>
      <w:r w:rsidR="00CB29B7">
        <w:rPr>
          <w:lang w:val="fr-FR"/>
        </w:rPr>
        <w:t>’</w:t>
      </w:r>
      <w:r>
        <w:rPr>
          <w:lang w:val="fr-FR"/>
        </w:rPr>
        <w:t>être ventilées, l</w:t>
      </w:r>
      <w:r w:rsidR="00CB29B7">
        <w:rPr>
          <w:lang w:val="fr-FR"/>
        </w:rPr>
        <w:t>’</w:t>
      </w:r>
      <w:r>
        <w:rPr>
          <w:lang w:val="fr-FR"/>
        </w:rPr>
        <w:t>équipement de ventilations fonctionnant à plein rendement, que si l</w:t>
      </w:r>
      <w:r w:rsidR="00CB29B7">
        <w:rPr>
          <w:lang w:val="fr-FR"/>
        </w:rPr>
        <w:t>’</w:t>
      </w:r>
      <w:r>
        <w:rPr>
          <w:lang w:val="fr-FR"/>
        </w:rPr>
        <w:t xml:space="preserve">on soupçonne que les cales ne sont pas exemptes de gaz provenant de la cargaison. </w:t>
      </w:r>
    </w:p>
    <w:p w:rsidR="008E33CD" w:rsidRPr="00210D5E" w:rsidRDefault="008E33CD" w:rsidP="00CB29B7">
      <w:pPr>
        <w:pStyle w:val="SingleTxtG"/>
      </w:pPr>
      <w:r>
        <w:rPr>
          <w:lang w:val="fr-FR"/>
        </w:rPr>
        <w:t>Avant le déchargement, le déchargeur do</w:t>
      </w:r>
      <w:r w:rsidR="00CB29B7">
        <w:rPr>
          <w:lang w:val="fr-FR"/>
        </w:rPr>
        <w:t>it être informé de ces soupçons. »</w:t>
      </w:r>
      <w:r>
        <w:rPr>
          <w:lang w:val="fr-FR"/>
        </w:rPr>
        <w:t>.</w:t>
      </w:r>
    </w:p>
    <w:p w:rsidR="008E33CD" w:rsidRPr="00210D5E" w:rsidRDefault="008E33CD" w:rsidP="00CB29B7">
      <w:pPr>
        <w:pStyle w:val="HChG"/>
      </w:pPr>
      <w:r>
        <w:rPr>
          <w:lang w:val="fr-FR"/>
        </w:rPr>
        <w:tab/>
      </w:r>
      <w:r>
        <w:rPr>
          <w:lang w:val="fr-FR"/>
        </w:rPr>
        <w:tab/>
        <w:t>Incidences sur la sécurité</w:t>
      </w:r>
    </w:p>
    <w:p w:rsidR="00F9573C" w:rsidRDefault="008E33CD" w:rsidP="00CB29B7">
      <w:pPr>
        <w:pStyle w:val="SingleTxtG"/>
        <w:rPr>
          <w:lang w:val="fr-FR"/>
        </w:rPr>
      </w:pPr>
      <w:r>
        <w:rPr>
          <w:lang w:val="fr-FR"/>
        </w:rPr>
        <w:t>11.</w:t>
      </w:r>
      <w:r>
        <w:rPr>
          <w:lang w:val="fr-FR"/>
        </w:rPr>
        <w:tab/>
        <w:t>Pour l</w:t>
      </w:r>
      <w:r w:rsidR="00CB29B7">
        <w:rPr>
          <w:lang w:val="fr-FR"/>
        </w:rPr>
        <w:t>’</w:t>
      </w:r>
      <w:r>
        <w:rPr>
          <w:lang w:val="fr-FR"/>
        </w:rPr>
        <w:t>essentiel, cette proposition ne change rien à l</w:t>
      </w:r>
      <w:r w:rsidR="00CB29B7">
        <w:rPr>
          <w:lang w:val="fr-FR"/>
        </w:rPr>
        <w:t>’</w:t>
      </w:r>
      <w:r>
        <w:rPr>
          <w:lang w:val="fr-FR"/>
        </w:rPr>
        <w:t>objet des paragraphes concernés. Ces paragraphes devraient normalement être mieux compris par le personnel de bord, ce qui améliorera la sécurité en ce qui concerne les cônes bleus et la ventilation à bord de barges à cargaison sèche lors du transport de conteneurs-citernes.</w:t>
      </w:r>
    </w:p>
    <w:p w:rsidR="00CB29B7" w:rsidRPr="00CB29B7" w:rsidRDefault="00CB29B7" w:rsidP="00CB29B7">
      <w:pPr>
        <w:pStyle w:val="SingleTxtG"/>
        <w:spacing w:before="240" w:after="0"/>
        <w:jc w:val="center"/>
        <w:rPr>
          <w:u w:val="single"/>
        </w:rPr>
      </w:pPr>
      <w:r>
        <w:rPr>
          <w:u w:val="single"/>
        </w:rPr>
        <w:tab/>
      </w:r>
      <w:r>
        <w:rPr>
          <w:u w:val="single"/>
        </w:rPr>
        <w:tab/>
      </w:r>
      <w:r>
        <w:rPr>
          <w:u w:val="single"/>
        </w:rPr>
        <w:tab/>
      </w:r>
    </w:p>
    <w:sectPr w:rsidR="00CB29B7" w:rsidRPr="00CB29B7" w:rsidSect="0017544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9AE" w:rsidRDefault="007B39AE" w:rsidP="00F95C08">
      <w:pPr>
        <w:spacing w:line="240" w:lineRule="auto"/>
      </w:pPr>
    </w:p>
  </w:endnote>
  <w:endnote w:type="continuationSeparator" w:id="0">
    <w:p w:rsidR="007B39AE" w:rsidRPr="00AC3823" w:rsidRDefault="007B39AE" w:rsidP="00AC3823">
      <w:pPr>
        <w:pStyle w:val="Footer"/>
      </w:pPr>
    </w:p>
  </w:endnote>
  <w:endnote w:type="continuationNotice" w:id="1">
    <w:p w:rsidR="007B39AE" w:rsidRDefault="007B39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449" w:rsidRPr="00175449" w:rsidRDefault="00175449" w:rsidP="00175449">
    <w:pPr>
      <w:pStyle w:val="Footer"/>
      <w:tabs>
        <w:tab w:val="right" w:pos="9638"/>
      </w:tabs>
    </w:pPr>
    <w:r w:rsidRPr="00175449">
      <w:rPr>
        <w:b/>
        <w:sz w:val="18"/>
      </w:rPr>
      <w:fldChar w:fldCharType="begin"/>
    </w:r>
    <w:r w:rsidRPr="00175449">
      <w:rPr>
        <w:b/>
        <w:sz w:val="18"/>
      </w:rPr>
      <w:instrText xml:space="preserve"> PAGE  \* MERGEFORMAT </w:instrText>
    </w:r>
    <w:r w:rsidRPr="00175449">
      <w:rPr>
        <w:b/>
        <w:sz w:val="18"/>
      </w:rPr>
      <w:fldChar w:fldCharType="separate"/>
    </w:r>
    <w:r w:rsidR="00F91CBC">
      <w:rPr>
        <w:b/>
        <w:noProof/>
        <w:sz w:val="18"/>
      </w:rPr>
      <w:t>2</w:t>
    </w:r>
    <w:r w:rsidRPr="00175449">
      <w:rPr>
        <w:b/>
        <w:sz w:val="18"/>
      </w:rPr>
      <w:fldChar w:fldCharType="end"/>
    </w:r>
    <w:r>
      <w:rPr>
        <w:b/>
        <w:sz w:val="18"/>
      </w:rPr>
      <w:tab/>
    </w:r>
    <w:r>
      <w:t>GE.18-09705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449" w:rsidRPr="00175449" w:rsidRDefault="00175449" w:rsidP="00175449">
    <w:pPr>
      <w:pStyle w:val="Footer"/>
      <w:tabs>
        <w:tab w:val="right" w:pos="9638"/>
      </w:tabs>
      <w:rPr>
        <w:b/>
        <w:sz w:val="18"/>
      </w:rPr>
    </w:pPr>
    <w:r>
      <w:t>GE.18-09705</w:t>
    </w:r>
    <w:r>
      <w:tab/>
    </w:r>
    <w:r w:rsidRPr="00175449">
      <w:rPr>
        <w:b/>
        <w:sz w:val="18"/>
      </w:rPr>
      <w:fldChar w:fldCharType="begin"/>
    </w:r>
    <w:r w:rsidRPr="00175449">
      <w:rPr>
        <w:b/>
        <w:sz w:val="18"/>
      </w:rPr>
      <w:instrText xml:space="preserve"> PAGE  \* MERGEFORMAT </w:instrText>
    </w:r>
    <w:r w:rsidRPr="00175449">
      <w:rPr>
        <w:b/>
        <w:sz w:val="18"/>
      </w:rPr>
      <w:fldChar w:fldCharType="separate"/>
    </w:r>
    <w:r w:rsidR="00F91CBC">
      <w:rPr>
        <w:b/>
        <w:noProof/>
        <w:sz w:val="18"/>
      </w:rPr>
      <w:t>3</w:t>
    </w:r>
    <w:r w:rsidRPr="001754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75449" w:rsidRDefault="00175449" w:rsidP="00175449">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09705  (</w:t>
    </w:r>
    <w:proofErr w:type="gramEnd"/>
    <w:r>
      <w:rPr>
        <w:sz w:val="20"/>
      </w:rPr>
      <w:t>F)    040718    120718</w:t>
    </w:r>
    <w:r>
      <w:rPr>
        <w:sz w:val="20"/>
      </w:rPr>
      <w:br/>
    </w:r>
    <w:r w:rsidRPr="00175449">
      <w:rPr>
        <w:rFonts w:ascii="C39T30Lfz" w:hAnsi="C39T30Lfz"/>
        <w:sz w:val="56"/>
      </w:rPr>
      <w:t></w:t>
    </w:r>
    <w:r w:rsidRPr="00175449">
      <w:rPr>
        <w:rFonts w:ascii="C39T30Lfz" w:hAnsi="C39T30Lfz"/>
        <w:sz w:val="56"/>
      </w:rPr>
      <w:t></w:t>
    </w:r>
    <w:r w:rsidRPr="00175449">
      <w:rPr>
        <w:rFonts w:ascii="C39T30Lfz" w:hAnsi="C39T30Lfz"/>
        <w:sz w:val="56"/>
      </w:rPr>
      <w:t></w:t>
    </w:r>
    <w:r w:rsidRPr="00175449">
      <w:rPr>
        <w:rFonts w:ascii="C39T30Lfz" w:hAnsi="C39T30Lfz"/>
        <w:sz w:val="56"/>
      </w:rPr>
      <w:t></w:t>
    </w:r>
    <w:r w:rsidRPr="00175449">
      <w:rPr>
        <w:rFonts w:ascii="C39T30Lfz" w:hAnsi="C39T30Lfz"/>
        <w:sz w:val="56"/>
      </w:rPr>
      <w:t></w:t>
    </w:r>
    <w:r w:rsidRPr="00175449">
      <w:rPr>
        <w:rFonts w:ascii="C39T30Lfz" w:hAnsi="C39T30Lfz"/>
        <w:sz w:val="56"/>
      </w:rPr>
      <w:t></w:t>
    </w:r>
    <w:r w:rsidRPr="00175449">
      <w:rPr>
        <w:rFonts w:ascii="C39T30Lfz" w:hAnsi="C39T30Lfz"/>
        <w:sz w:val="56"/>
      </w:rPr>
      <w:t></w:t>
    </w:r>
    <w:r w:rsidRPr="00175449">
      <w:rPr>
        <w:rFonts w:ascii="C39T30Lfz" w:hAnsi="C39T30Lfz"/>
        <w:sz w:val="56"/>
      </w:rPr>
      <w:t></w:t>
    </w:r>
    <w:r w:rsidRPr="0017544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18/4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4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9AE" w:rsidRPr="00AC3823" w:rsidRDefault="007B39AE" w:rsidP="00AC3823">
      <w:pPr>
        <w:pStyle w:val="Footer"/>
        <w:tabs>
          <w:tab w:val="right" w:pos="2155"/>
        </w:tabs>
        <w:spacing w:after="80" w:line="240" w:lineRule="atLeast"/>
        <w:ind w:left="680"/>
        <w:rPr>
          <w:u w:val="single"/>
        </w:rPr>
      </w:pPr>
      <w:r>
        <w:rPr>
          <w:u w:val="single"/>
        </w:rPr>
        <w:tab/>
      </w:r>
    </w:p>
  </w:footnote>
  <w:footnote w:type="continuationSeparator" w:id="0">
    <w:p w:rsidR="007B39AE" w:rsidRPr="00AC3823" w:rsidRDefault="007B39AE" w:rsidP="00AC3823">
      <w:pPr>
        <w:pStyle w:val="Footer"/>
        <w:tabs>
          <w:tab w:val="right" w:pos="2155"/>
        </w:tabs>
        <w:spacing w:after="80" w:line="240" w:lineRule="atLeast"/>
        <w:ind w:left="680"/>
        <w:rPr>
          <w:u w:val="single"/>
        </w:rPr>
      </w:pPr>
      <w:r>
        <w:rPr>
          <w:u w:val="single"/>
        </w:rPr>
        <w:tab/>
      </w:r>
    </w:p>
  </w:footnote>
  <w:footnote w:type="continuationNotice" w:id="1">
    <w:p w:rsidR="007B39AE" w:rsidRPr="00AC3823" w:rsidRDefault="007B39AE">
      <w:pPr>
        <w:spacing w:line="240" w:lineRule="auto"/>
        <w:rPr>
          <w:sz w:val="2"/>
          <w:szCs w:val="2"/>
        </w:rPr>
      </w:pPr>
    </w:p>
  </w:footnote>
  <w:footnote w:id="2">
    <w:p w:rsidR="008E33CD" w:rsidRPr="003A7D20" w:rsidRDefault="008E33CD" w:rsidP="008E33CD">
      <w:pPr>
        <w:pStyle w:val="FootnoteText"/>
      </w:pPr>
      <w:r>
        <w:rPr>
          <w:lang w:val="fr-FR"/>
        </w:rPr>
        <w:tab/>
        <w:t>*</w:t>
      </w:r>
      <w:r>
        <w:rPr>
          <w:lang w:val="fr-FR"/>
        </w:rPr>
        <w:tab/>
        <w:t xml:space="preserve">Diffusée en langue allemande par la Commission centrale pour la navigation du Rhin sous la cote </w:t>
      </w:r>
      <w:r w:rsidR="00C703B7">
        <w:rPr>
          <w:lang w:val="fr-FR"/>
        </w:rPr>
        <w:t>CCNR-</w:t>
      </w:r>
      <w:r>
        <w:rPr>
          <w:lang w:val="fr-FR"/>
        </w:rPr>
        <w:t>ZKR/ADN/WP.15/AC.2/2018/48.</w:t>
      </w:r>
    </w:p>
  </w:footnote>
  <w:footnote w:id="3">
    <w:p w:rsidR="008E33CD" w:rsidRPr="003A7D20" w:rsidRDefault="008E33CD" w:rsidP="008E33CD">
      <w:pPr>
        <w:pStyle w:val="FootnoteText"/>
      </w:pPr>
      <w:r>
        <w:rPr>
          <w:lang w:val="fr-FR"/>
        </w:rPr>
        <w:tab/>
        <w:t>**</w:t>
      </w:r>
      <w:r>
        <w:rPr>
          <w:lang w:val="fr-FR"/>
        </w:rPr>
        <w:tab/>
        <w:t xml:space="preserve">Conformément au programme de travail du Comité des transports intérieurs </w:t>
      </w:r>
      <w:r w:rsidRPr="008F18FF">
        <w:rPr>
          <w:lang w:val="fr-FR"/>
        </w:rPr>
        <w:t>pour la période</w:t>
      </w:r>
      <w:r>
        <w:rPr>
          <w:lang w:val="fr-FR"/>
        </w:rPr>
        <w:t xml:space="preserve"> </w:t>
      </w:r>
      <w:r w:rsidR="0084407E">
        <w:rPr>
          <w:lang w:val="fr-FR"/>
        </w:rPr>
        <w:t>2018</w:t>
      </w:r>
      <w:r w:rsidR="0084407E">
        <w:rPr>
          <w:lang w:val="fr-FR"/>
        </w:rPr>
        <w:noBreakHyphen/>
      </w:r>
      <w:r>
        <w:rPr>
          <w:lang w:val="fr-FR"/>
        </w:rPr>
        <w:t>2019 (ECE/TRANS/2018/21/Add.1, module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449" w:rsidRPr="00175449" w:rsidRDefault="00F91CBC">
    <w:pPr>
      <w:pStyle w:val="Header"/>
    </w:pPr>
    <w:r>
      <w:fldChar w:fldCharType="begin"/>
    </w:r>
    <w:r>
      <w:instrText xml:space="preserve"> TITLE  \* MERGEFORMAT </w:instrText>
    </w:r>
    <w:r>
      <w:fldChar w:fldCharType="separate"/>
    </w:r>
    <w:r w:rsidR="00012F4F">
      <w:t>ECE/TRANS/WP.15/AC.2/2018/48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449" w:rsidRPr="00175449" w:rsidRDefault="00F91CBC" w:rsidP="00175449">
    <w:pPr>
      <w:pStyle w:val="Header"/>
      <w:jc w:val="right"/>
    </w:pPr>
    <w:r>
      <w:fldChar w:fldCharType="begin"/>
    </w:r>
    <w:r>
      <w:instrText xml:space="preserve"> TITLE  \* MERGEFORMAT </w:instrText>
    </w:r>
    <w:r>
      <w:fldChar w:fldCharType="separate"/>
    </w:r>
    <w:r w:rsidR="00012F4F">
      <w:t>ECE/TRANS/WP.15/AC.2/2018/48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97F5393"/>
    <w:multiLevelType w:val="hybridMultilevel"/>
    <w:tmpl w:val="0D9A0A8C"/>
    <w:lvl w:ilvl="0" w:tplc="44365B6C">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AE"/>
    <w:rsid w:val="00012F4F"/>
    <w:rsid w:val="00017F94"/>
    <w:rsid w:val="00023842"/>
    <w:rsid w:val="000334F9"/>
    <w:rsid w:val="00045FEB"/>
    <w:rsid w:val="0007796D"/>
    <w:rsid w:val="000B7790"/>
    <w:rsid w:val="00111F2F"/>
    <w:rsid w:val="0014365E"/>
    <w:rsid w:val="00143C66"/>
    <w:rsid w:val="00175449"/>
    <w:rsid w:val="00176178"/>
    <w:rsid w:val="001870D4"/>
    <w:rsid w:val="001F525A"/>
    <w:rsid w:val="00204818"/>
    <w:rsid w:val="00223272"/>
    <w:rsid w:val="0024779E"/>
    <w:rsid w:val="00257168"/>
    <w:rsid w:val="002744B8"/>
    <w:rsid w:val="00280A12"/>
    <w:rsid w:val="002832AC"/>
    <w:rsid w:val="002D7C93"/>
    <w:rsid w:val="00305801"/>
    <w:rsid w:val="00306A29"/>
    <w:rsid w:val="003916DE"/>
    <w:rsid w:val="00441896"/>
    <w:rsid w:val="00441C3B"/>
    <w:rsid w:val="00446FE5"/>
    <w:rsid w:val="00452396"/>
    <w:rsid w:val="0046513F"/>
    <w:rsid w:val="004837D8"/>
    <w:rsid w:val="004E468C"/>
    <w:rsid w:val="005505B7"/>
    <w:rsid w:val="00573BE5"/>
    <w:rsid w:val="00586ED3"/>
    <w:rsid w:val="00596AA9"/>
    <w:rsid w:val="0071601D"/>
    <w:rsid w:val="007A62E6"/>
    <w:rsid w:val="007B39AE"/>
    <w:rsid w:val="007B4B56"/>
    <w:rsid w:val="007C3B49"/>
    <w:rsid w:val="007F20FA"/>
    <w:rsid w:val="0080684C"/>
    <w:rsid w:val="0084407E"/>
    <w:rsid w:val="00871C75"/>
    <w:rsid w:val="008776DC"/>
    <w:rsid w:val="008E1039"/>
    <w:rsid w:val="008E33CD"/>
    <w:rsid w:val="008F18FF"/>
    <w:rsid w:val="00906352"/>
    <w:rsid w:val="009446C0"/>
    <w:rsid w:val="009705C8"/>
    <w:rsid w:val="009C1CF4"/>
    <w:rsid w:val="009F6B74"/>
    <w:rsid w:val="00A30353"/>
    <w:rsid w:val="00AC3823"/>
    <w:rsid w:val="00AE323C"/>
    <w:rsid w:val="00AF0CB5"/>
    <w:rsid w:val="00B00181"/>
    <w:rsid w:val="00B00B0D"/>
    <w:rsid w:val="00B16BBA"/>
    <w:rsid w:val="00B765F7"/>
    <w:rsid w:val="00BA0CA9"/>
    <w:rsid w:val="00C02897"/>
    <w:rsid w:val="00C703B7"/>
    <w:rsid w:val="00C97039"/>
    <w:rsid w:val="00CB29B7"/>
    <w:rsid w:val="00D3439C"/>
    <w:rsid w:val="00DB1831"/>
    <w:rsid w:val="00DD3BFD"/>
    <w:rsid w:val="00DF6678"/>
    <w:rsid w:val="00E0299A"/>
    <w:rsid w:val="00E85C74"/>
    <w:rsid w:val="00EA6547"/>
    <w:rsid w:val="00EE6AAB"/>
    <w:rsid w:val="00EF2E22"/>
    <w:rsid w:val="00F35BAF"/>
    <w:rsid w:val="00F660DF"/>
    <w:rsid w:val="00F91CBC"/>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DB55A0-B847-4CEB-A167-B3D3B345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5523</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ECE/TRANS/WP.15/AC.2/2018/48</vt:lpstr>
      <vt:lpstr>ECE/TRANS/WP.15/AC.2/2018/48</vt:lpstr>
    </vt:vector>
  </TitlesOfParts>
  <Company>DCM</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ECE/TRANS/WP.15/AC.2/2018/48</dc:title>
  <dc:subject/>
  <dc:creator>Sylvie LAMY</dc:creator>
  <cp:keywords/>
  <cp:lastModifiedBy>Secretariat</cp:lastModifiedBy>
  <cp:revision>2</cp:revision>
  <cp:lastPrinted>2018-07-12T09:04:00Z</cp:lastPrinted>
  <dcterms:created xsi:type="dcterms:W3CDTF">2018-07-24T14:21:00Z</dcterms:created>
  <dcterms:modified xsi:type="dcterms:W3CDTF">2018-07-24T14:21:00Z</dcterms:modified>
</cp:coreProperties>
</file>