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017B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017B0" w:rsidP="008017B0">
            <w:pPr>
              <w:jc w:val="right"/>
            </w:pPr>
            <w:r w:rsidRPr="008017B0">
              <w:rPr>
                <w:sz w:val="40"/>
              </w:rPr>
              <w:t>ECE</w:t>
            </w:r>
            <w:r>
              <w:t>/TRANS/WP.15/AC.2/2018/47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017B0" w:rsidP="00C97039">
            <w:pPr>
              <w:spacing w:before="240"/>
            </w:pPr>
            <w:r>
              <w:t>Distr. générale</w:t>
            </w:r>
          </w:p>
          <w:p w:rsidR="008017B0" w:rsidRDefault="008017B0" w:rsidP="008017B0">
            <w:pPr>
              <w:spacing w:line="240" w:lineRule="exact"/>
            </w:pPr>
            <w:r>
              <w:t>13 juin 2018</w:t>
            </w:r>
          </w:p>
          <w:p w:rsidR="008017B0" w:rsidRDefault="008017B0" w:rsidP="008017B0">
            <w:pPr>
              <w:spacing w:line="240" w:lineRule="exact"/>
            </w:pPr>
            <w:r>
              <w:t>Français</w:t>
            </w:r>
          </w:p>
          <w:p w:rsidR="008017B0" w:rsidRPr="00DB58B5" w:rsidRDefault="008017B0" w:rsidP="008017B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1668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017B0" w:rsidRPr="009E01B8" w:rsidRDefault="008017B0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8017B0" w:rsidRPr="004812F5" w:rsidRDefault="008017B0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016688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016688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016688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8017B0" w:rsidRPr="00234E40" w:rsidRDefault="008017B0" w:rsidP="00AF0CB5">
      <w:pPr>
        <w:spacing w:before="120"/>
        <w:rPr>
          <w:b/>
        </w:rPr>
      </w:pPr>
      <w:r w:rsidRPr="008017B0">
        <w:rPr>
          <w:b/>
          <w:bCs/>
          <w:lang w:val="fr-FR"/>
        </w:rPr>
        <w:t>Trente-troisième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8017B0" w:rsidRDefault="008017B0" w:rsidP="00AF0CB5">
      <w:r>
        <w:t xml:space="preserve">Genève, </w:t>
      </w:r>
      <w:r w:rsidRPr="008017B0">
        <w:rPr>
          <w:lang w:val="fr-FR"/>
        </w:rPr>
        <w:t>27-31 août 2018</w:t>
      </w:r>
    </w:p>
    <w:p w:rsidR="008017B0" w:rsidRDefault="008017B0" w:rsidP="00AF0CB5">
      <w:r w:rsidRPr="00B93E72">
        <w:t xml:space="preserve">Point </w:t>
      </w:r>
      <w:r>
        <w:rPr>
          <w:lang w:val="fr-FR"/>
        </w:rPr>
        <w:t>4 b)</w:t>
      </w:r>
      <w:r w:rsidRPr="00B93E72">
        <w:t xml:space="preserve"> de l</w:t>
      </w:r>
      <w:r w:rsidR="00016688">
        <w:t>’</w:t>
      </w:r>
      <w:r w:rsidRPr="00B93E72">
        <w:t>ordre du jour provisoire</w:t>
      </w:r>
    </w:p>
    <w:p w:rsidR="00F9573C" w:rsidRDefault="008017B0" w:rsidP="00AF0CB5">
      <w:pPr>
        <w:rPr>
          <w:b/>
          <w:bCs/>
          <w:lang w:val="fr-FR"/>
        </w:rPr>
      </w:pPr>
      <w:r w:rsidRPr="008017B0">
        <w:rPr>
          <w:b/>
          <w:bCs/>
          <w:lang w:val="fr-FR"/>
        </w:rPr>
        <w:t>Propositions d</w:t>
      </w:r>
      <w:r w:rsidR="00016688">
        <w:rPr>
          <w:b/>
          <w:bCs/>
          <w:lang w:val="fr-FR"/>
        </w:rPr>
        <w:t>’</w:t>
      </w:r>
      <w:r w:rsidRPr="008017B0">
        <w:rPr>
          <w:b/>
          <w:bCs/>
          <w:lang w:val="fr-FR"/>
        </w:rPr>
        <w:t xml:space="preserve">amendements au Règlement annexé </w:t>
      </w:r>
      <w:r>
        <w:rPr>
          <w:b/>
          <w:bCs/>
          <w:lang w:val="fr-FR"/>
        </w:rPr>
        <w:br/>
      </w:r>
      <w:r w:rsidRPr="008017B0">
        <w:rPr>
          <w:b/>
          <w:bCs/>
          <w:lang w:val="fr-FR"/>
        </w:rPr>
        <w:t>à l</w:t>
      </w:r>
      <w:r w:rsidR="00016688">
        <w:rPr>
          <w:b/>
          <w:bCs/>
          <w:lang w:val="fr-FR"/>
        </w:rPr>
        <w:t>’</w:t>
      </w:r>
      <w:r w:rsidRPr="008017B0">
        <w:rPr>
          <w:b/>
          <w:bCs/>
          <w:lang w:val="fr-FR"/>
        </w:rPr>
        <w:t>ADN : autres propositions</w:t>
      </w:r>
    </w:p>
    <w:p w:rsidR="008017B0" w:rsidRPr="008017B0" w:rsidRDefault="008017B0" w:rsidP="008017B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8017B0">
        <w:rPr>
          <w:lang w:val="fr-FR"/>
        </w:rPr>
        <w:t>Proposition d</w:t>
      </w:r>
      <w:r w:rsidR="00016688">
        <w:rPr>
          <w:lang w:val="fr-FR"/>
        </w:rPr>
        <w:t>’</w:t>
      </w:r>
      <w:r w:rsidRPr="008017B0">
        <w:rPr>
          <w:lang w:val="fr-FR"/>
        </w:rPr>
        <w:t>améliorations d</w:t>
      </w:r>
      <w:r w:rsidR="00016688">
        <w:rPr>
          <w:lang w:val="fr-FR"/>
        </w:rPr>
        <w:t>’</w:t>
      </w:r>
      <w:r w:rsidRPr="008017B0">
        <w:rPr>
          <w:lang w:val="fr-FR"/>
        </w:rPr>
        <w:t xml:space="preserve">ordre rédactionnel pour </w:t>
      </w:r>
      <w:r>
        <w:rPr>
          <w:lang w:val="fr-FR"/>
        </w:rPr>
        <w:br/>
      </w:r>
      <w:r w:rsidRPr="008017B0">
        <w:rPr>
          <w:lang w:val="fr-FR"/>
        </w:rPr>
        <w:t xml:space="preserve">une plus grande lisibilité et </w:t>
      </w:r>
      <w:r>
        <w:rPr>
          <w:lang w:val="fr-FR"/>
        </w:rPr>
        <w:t>utilité de l</w:t>
      </w:r>
      <w:r w:rsidR="00016688">
        <w:rPr>
          <w:lang w:val="fr-FR"/>
        </w:rPr>
        <w:t>’</w:t>
      </w:r>
      <w:r w:rsidRPr="008017B0">
        <w:rPr>
          <w:lang w:val="fr-FR"/>
        </w:rPr>
        <w:t>ADN</w:t>
      </w:r>
      <w:r>
        <w:rPr>
          <w:lang w:val="fr-FR"/>
        </w:rPr>
        <w:t> </w:t>
      </w:r>
      <w:r w:rsidRPr="008017B0">
        <w:rPr>
          <w:lang w:val="fr-FR"/>
        </w:rPr>
        <w:t xml:space="preserve">: clarification </w:t>
      </w:r>
      <w:r>
        <w:rPr>
          <w:lang w:val="fr-FR"/>
        </w:rPr>
        <w:br/>
      </w:r>
      <w:r w:rsidRPr="008017B0">
        <w:rPr>
          <w:lang w:val="fr-FR"/>
        </w:rPr>
        <w:t>des paragraphes 1.1.3.6.1 et 1.1.3.6.2</w:t>
      </w:r>
    </w:p>
    <w:p w:rsidR="008017B0" w:rsidRDefault="008017B0" w:rsidP="008017B0">
      <w:pPr>
        <w:pStyle w:val="H1G"/>
        <w:spacing w:after="480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017B0">
        <w:rPr>
          <w:lang w:val="fr-FR"/>
        </w:rPr>
        <w:t xml:space="preserve">Communication de </w:t>
      </w:r>
      <w:r>
        <w:rPr>
          <w:lang w:val="fr-FR"/>
        </w:rPr>
        <w:t>l</w:t>
      </w:r>
      <w:r w:rsidR="00016688">
        <w:rPr>
          <w:lang w:val="fr-FR"/>
        </w:rPr>
        <w:t>’</w:t>
      </w:r>
      <w:r w:rsidRPr="008017B0">
        <w:rPr>
          <w:lang w:val="fr-FR"/>
        </w:rPr>
        <w:t>Union européenne de la navigation fluviale (UENF) et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de l</w:t>
      </w:r>
      <w:r w:rsidR="00016688">
        <w:rPr>
          <w:lang w:val="fr-FR"/>
        </w:rPr>
        <w:t>’</w:t>
      </w:r>
      <w:r w:rsidRPr="008017B0">
        <w:rPr>
          <w:lang w:val="fr-FR"/>
        </w:rPr>
        <w:t>Organisation européenne des bateliers (OEB)</w:t>
      </w:r>
      <w:r w:rsidRPr="008017B0">
        <w:rPr>
          <w:b w:val="0"/>
          <w:sz w:val="20"/>
          <w:lang w:val="fr-FR"/>
        </w:rPr>
        <w:footnoteReference w:customMarkFollows="1" w:id="2"/>
        <w:t>*</w:t>
      </w:r>
      <w:r w:rsidRPr="008017B0">
        <w:rPr>
          <w:vertAlign w:val="superscript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8017B0">
        <w:rPr>
          <w:b w:val="0"/>
          <w:sz w:val="20"/>
          <w:lang w:val="fr-FR"/>
        </w:rPr>
        <w:footnoteReference w:customMarkFollows="1" w:id="3"/>
        <w:t>**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8"/>
        <w:gridCol w:w="5102"/>
      </w:tblGrid>
      <w:tr w:rsidR="008017B0" w:rsidRPr="008017B0" w:rsidTr="008017B0">
        <w:tc>
          <w:tcPr>
            <w:tcW w:w="2268" w:type="dxa"/>
            <w:shd w:val="clear" w:color="auto" w:fill="auto"/>
          </w:tcPr>
          <w:p w:rsidR="008017B0" w:rsidRPr="009D1B5E" w:rsidRDefault="008017B0" w:rsidP="00A56B2A">
            <w:pPr>
              <w:spacing w:before="60" w:after="60"/>
              <w:ind w:left="57" w:right="57"/>
            </w:pPr>
            <w:r w:rsidRPr="009D1B5E">
              <w:rPr>
                <w:i/>
              </w:rPr>
              <w:t>Document</w:t>
            </w:r>
            <w:r w:rsidR="00507EE2">
              <w:rPr>
                <w:i/>
              </w:rPr>
              <w:t>(</w:t>
            </w:r>
            <w:r w:rsidRPr="009D1B5E">
              <w:rPr>
                <w:i/>
              </w:rPr>
              <w:t>s</w:t>
            </w:r>
            <w:r w:rsidR="00507EE2">
              <w:rPr>
                <w:i/>
              </w:rPr>
              <w:t>)</w:t>
            </w:r>
            <w:r w:rsidRPr="009D1B5E">
              <w:rPr>
                <w:i/>
              </w:rPr>
              <w:t xml:space="preserve"> connexe</w:t>
            </w:r>
            <w:r w:rsidR="003B2E7C">
              <w:rPr>
                <w:i/>
              </w:rPr>
              <w:t>(</w:t>
            </w:r>
            <w:r w:rsidRPr="009D1B5E">
              <w:rPr>
                <w:i/>
              </w:rPr>
              <w:t>s</w:t>
            </w:r>
            <w:r w:rsidR="003B2E7C">
              <w:rPr>
                <w:i/>
              </w:rPr>
              <w:t>)</w:t>
            </w:r>
            <w:r w:rsidRPr="009D1B5E">
              <w:t> :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8017B0" w:rsidRPr="008017B0" w:rsidRDefault="008017B0" w:rsidP="00A56B2A">
            <w:pPr>
              <w:spacing w:before="60" w:after="60"/>
              <w:ind w:left="57" w:right="57"/>
            </w:pPr>
            <w:r w:rsidRPr="008017B0">
              <w:t xml:space="preserve">ECE/TRANS/WP.15/AC.2/66 </w:t>
            </w:r>
            <w:r>
              <w:br/>
            </w:r>
            <w:r w:rsidR="000F0A87">
              <w:t>Document informel INF.</w:t>
            </w:r>
            <w:r w:rsidRPr="008017B0">
              <w:t>20 de la trente-deuxième session (sous-section A)</w:t>
            </w:r>
          </w:p>
        </w:tc>
      </w:tr>
    </w:tbl>
    <w:p w:rsidR="008017B0" w:rsidRPr="008017B0" w:rsidRDefault="00A56B2A" w:rsidP="008017B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8017B0" w:rsidRPr="008017B0">
        <w:rPr>
          <w:lang w:val="fr-FR"/>
        </w:rPr>
        <w:t>Introduction</w:t>
      </w:r>
    </w:p>
    <w:p w:rsidR="008017B0" w:rsidRPr="008017B0" w:rsidRDefault="008017B0" w:rsidP="008017B0">
      <w:pPr>
        <w:pStyle w:val="SingleTxtG"/>
      </w:pPr>
      <w:r w:rsidRPr="008017B0">
        <w:rPr>
          <w:lang w:val="fr-FR"/>
        </w:rPr>
        <w:t>1.</w:t>
      </w:r>
      <w:r w:rsidRPr="008017B0">
        <w:rPr>
          <w:lang w:val="fr-FR"/>
        </w:rPr>
        <w:tab/>
        <w:t>Au cours des réunions de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leurs membres sur les marchandises dangereuses, et également de la part de formateurs ADN qui ont rejoint le groupe de travail informel sur la formation des experts (AIG Sachkundigenausbildung), l</w:t>
      </w:r>
      <w:r w:rsidR="00016688">
        <w:rPr>
          <w:lang w:val="fr-FR"/>
        </w:rPr>
        <w:t>’</w:t>
      </w:r>
      <w:r w:rsidRPr="008017B0">
        <w:rPr>
          <w:lang w:val="fr-FR"/>
        </w:rPr>
        <w:t>UENF et l</w:t>
      </w:r>
      <w:r w:rsidR="00016688">
        <w:rPr>
          <w:lang w:val="fr-FR"/>
        </w:rPr>
        <w:t>’</w:t>
      </w:r>
      <w:r w:rsidRPr="008017B0">
        <w:rPr>
          <w:lang w:val="fr-FR"/>
        </w:rPr>
        <w:t>OEB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ont reçu plusieurs propositions d</w:t>
      </w:r>
      <w:r w:rsidR="00016688">
        <w:rPr>
          <w:lang w:val="fr-FR"/>
        </w:rPr>
        <w:t>’</w:t>
      </w:r>
      <w:r w:rsidRPr="008017B0">
        <w:rPr>
          <w:lang w:val="fr-FR"/>
        </w:rPr>
        <w:t>améliorations, principalement d</w:t>
      </w:r>
      <w:r w:rsidR="00016688">
        <w:rPr>
          <w:lang w:val="fr-FR"/>
        </w:rPr>
        <w:t>’</w:t>
      </w:r>
      <w:r w:rsidRPr="008017B0">
        <w:rPr>
          <w:lang w:val="fr-FR"/>
        </w:rPr>
        <w:t>ordre rédactionnel, en ce qui concerne la lisibilité et l</w:t>
      </w:r>
      <w:r w:rsidR="00016688">
        <w:rPr>
          <w:lang w:val="fr-FR"/>
        </w:rPr>
        <w:t>’</w:t>
      </w:r>
      <w:r w:rsidRPr="008017B0">
        <w:rPr>
          <w:lang w:val="fr-FR"/>
        </w:rPr>
        <w:t>utilité de l</w:t>
      </w:r>
      <w:r w:rsidR="00016688">
        <w:rPr>
          <w:lang w:val="fr-FR"/>
        </w:rPr>
        <w:t>’</w:t>
      </w:r>
      <w:r w:rsidRPr="008017B0">
        <w:rPr>
          <w:lang w:val="fr-FR"/>
        </w:rPr>
        <w:t>ADN, dans un souci de clarification en général, et à l</w:t>
      </w:r>
      <w:r w:rsidR="00016688">
        <w:rPr>
          <w:lang w:val="fr-FR"/>
        </w:rPr>
        <w:t>’</w:t>
      </w:r>
      <w:r w:rsidRPr="008017B0">
        <w:rPr>
          <w:lang w:val="fr-FR"/>
        </w:rPr>
        <w:t>intention des équipages des barges en particulier, en tant qu</w:t>
      </w:r>
      <w:r w:rsidR="00016688">
        <w:rPr>
          <w:lang w:val="fr-FR"/>
        </w:rPr>
        <w:t>’</w:t>
      </w:r>
      <w:r w:rsidRPr="008017B0">
        <w:rPr>
          <w:lang w:val="fr-FR"/>
        </w:rPr>
        <w:t>utilisateurs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professionnels de l</w:t>
      </w:r>
      <w:r w:rsidR="00016688">
        <w:rPr>
          <w:lang w:val="fr-FR"/>
        </w:rPr>
        <w:t>’</w:t>
      </w:r>
      <w:r w:rsidRPr="008017B0">
        <w:rPr>
          <w:lang w:val="fr-FR"/>
        </w:rPr>
        <w:t>ADN, c</w:t>
      </w:r>
      <w:r w:rsidR="00016688">
        <w:rPr>
          <w:lang w:val="fr-FR"/>
        </w:rPr>
        <w:t>’</w:t>
      </w:r>
      <w:r w:rsidRPr="008017B0">
        <w:rPr>
          <w:lang w:val="fr-FR"/>
        </w:rPr>
        <w:t>est-à-dire les experts de l</w:t>
      </w:r>
      <w:r w:rsidR="00016688">
        <w:rPr>
          <w:lang w:val="fr-FR"/>
        </w:rPr>
        <w:t>’</w:t>
      </w:r>
      <w:r w:rsidRPr="008017B0">
        <w:rPr>
          <w:lang w:val="fr-FR"/>
        </w:rPr>
        <w:t xml:space="preserve">ADN à bord des barges. </w:t>
      </w:r>
    </w:p>
    <w:p w:rsidR="008017B0" w:rsidRPr="008017B0" w:rsidRDefault="008017B0" w:rsidP="008017B0">
      <w:pPr>
        <w:pStyle w:val="SingleTxtG"/>
      </w:pPr>
      <w:r w:rsidRPr="008017B0">
        <w:rPr>
          <w:lang w:val="fr-FR"/>
        </w:rPr>
        <w:lastRenderedPageBreak/>
        <w:t>2.</w:t>
      </w:r>
      <w:r w:rsidRPr="008017B0">
        <w:rPr>
          <w:lang w:val="fr-FR"/>
        </w:rPr>
        <w:tab/>
        <w:t>Au cours de la trente-deuxième session du Comité de sécurité de l</w:t>
      </w:r>
      <w:r w:rsidR="00016688">
        <w:rPr>
          <w:lang w:val="fr-FR"/>
        </w:rPr>
        <w:t>’</w:t>
      </w:r>
      <w:r w:rsidRPr="008017B0">
        <w:rPr>
          <w:lang w:val="fr-FR"/>
        </w:rPr>
        <w:t>ADN,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la présente proposition a été présentée au nom de l</w:t>
      </w:r>
      <w:r w:rsidR="00016688">
        <w:rPr>
          <w:lang w:val="fr-FR"/>
        </w:rPr>
        <w:t>’</w:t>
      </w:r>
      <w:r w:rsidRPr="008017B0">
        <w:rPr>
          <w:lang w:val="fr-FR"/>
        </w:rPr>
        <w:t>UENF et de l</w:t>
      </w:r>
      <w:r w:rsidR="00016688">
        <w:rPr>
          <w:lang w:val="fr-FR"/>
        </w:rPr>
        <w:t>’</w:t>
      </w:r>
      <w:r w:rsidRPr="008017B0">
        <w:rPr>
          <w:lang w:val="fr-FR"/>
        </w:rPr>
        <w:t>OEB. La Réunion commune a invité les représentants de l</w:t>
      </w:r>
      <w:r w:rsidR="00016688">
        <w:rPr>
          <w:lang w:val="fr-FR"/>
        </w:rPr>
        <w:t>’</w:t>
      </w:r>
      <w:r w:rsidRPr="008017B0">
        <w:rPr>
          <w:lang w:val="fr-FR"/>
        </w:rPr>
        <w:t>UENF et de l</w:t>
      </w:r>
      <w:r w:rsidR="00016688">
        <w:rPr>
          <w:lang w:val="fr-FR"/>
        </w:rPr>
        <w:t>’</w:t>
      </w:r>
      <w:r w:rsidRPr="008017B0">
        <w:rPr>
          <w:lang w:val="fr-FR"/>
        </w:rPr>
        <w:t>OEB à tenir compte des observations formulées et à soumettre une proposition révisée, sous une cote officielle, à la trente-troisième session. La proposition figurant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dans le présent document tient compte de cette requête.</w:t>
      </w:r>
    </w:p>
    <w:p w:rsidR="008017B0" w:rsidRPr="008017B0" w:rsidRDefault="008017B0" w:rsidP="008017B0">
      <w:pPr>
        <w:pStyle w:val="SingleTxtG"/>
      </w:pPr>
      <w:r w:rsidRPr="008017B0">
        <w:rPr>
          <w:lang w:val="fr-FR"/>
        </w:rPr>
        <w:t>3.</w:t>
      </w:r>
      <w:r w:rsidRPr="008017B0">
        <w:rPr>
          <w:lang w:val="fr-FR"/>
        </w:rPr>
        <w:tab/>
        <w:t>L</w:t>
      </w:r>
      <w:r w:rsidR="00016688">
        <w:rPr>
          <w:lang w:val="fr-FR"/>
        </w:rPr>
        <w:t>’</w:t>
      </w:r>
      <w:r w:rsidRPr="008017B0">
        <w:rPr>
          <w:lang w:val="fr-FR"/>
        </w:rPr>
        <w:t>UENF et l</w:t>
      </w:r>
      <w:r w:rsidR="00016688">
        <w:rPr>
          <w:lang w:val="fr-FR"/>
        </w:rPr>
        <w:t>’</w:t>
      </w:r>
      <w:r w:rsidRPr="008017B0">
        <w:rPr>
          <w:lang w:val="fr-FR"/>
        </w:rPr>
        <w:t>OEB invitent le Comité de sécurité à envisager de modifier les paragraphes 1.1.3.6 et 1.1.3.6.2 de l</w:t>
      </w:r>
      <w:r w:rsidR="00016688">
        <w:rPr>
          <w:lang w:val="fr-FR"/>
        </w:rPr>
        <w:t>’</w:t>
      </w:r>
      <w:r w:rsidRPr="008017B0">
        <w:rPr>
          <w:lang w:val="fr-FR"/>
        </w:rPr>
        <w:t>ADN.</w:t>
      </w:r>
    </w:p>
    <w:p w:rsidR="008017B0" w:rsidRPr="008017B0" w:rsidRDefault="008017B0" w:rsidP="00F24B37">
      <w:pPr>
        <w:pStyle w:val="HChG"/>
      </w:pPr>
      <w:r w:rsidRPr="008017B0">
        <w:rPr>
          <w:lang w:val="fr-FR"/>
        </w:rPr>
        <w:tab/>
      </w:r>
      <w:r w:rsidRPr="008017B0">
        <w:rPr>
          <w:lang w:val="fr-FR"/>
        </w:rPr>
        <w:tab/>
      </w:r>
      <w:r w:rsidR="00F84CAF">
        <w:rPr>
          <w:lang w:val="fr-FR"/>
        </w:rPr>
        <w:t>Proposition</w:t>
      </w:r>
    </w:p>
    <w:p w:rsidR="008017B0" w:rsidRPr="008017B0" w:rsidRDefault="008017B0" w:rsidP="008017B0">
      <w:pPr>
        <w:pStyle w:val="SingleTxtG"/>
      </w:pPr>
      <w:r w:rsidRPr="008017B0">
        <w:rPr>
          <w:lang w:val="fr-FR"/>
        </w:rPr>
        <w:t>4.</w:t>
      </w:r>
      <w:r w:rsidRPr="008017B0">
        <w:rPr>
          <w:lang w:val="fr-FR"/>
        </w:rPr>
        <w:tab/>
        <w:t>Le problème</w:t>
      </w:r>
      <w:r w:rsidR="00F84CAF">
        <w:rPr>
          <w:lang w:val="fr-FR"/>
        </w:rPr>
        <w:t> </w:t>
      </w:r>
      <w:r w:rsidRPr="008017B0">
        <w:rPr>
          <w:lang w:val="fr-FR"/>
        </w:rPr>
        <w:t>: dans le texte du paragr</w:t>
      </w:r>
      <w:r w:rsidR="00F84CAF">
        <w:rPr>
          <w:lang w:val="fr-FR"/>
        </w:rPr>
        <w:t xml:space="preserve">aphe 1.1.3.6.1 </w:t>
      </w:r>
      <w:r w:rsidRPr="008017B0">
        <w:rPr>
          <w:lang w:val="fr-FR"/>
        </w:rPr>
        <w:t>de</w:t>
      </w:r>
      <w:r w:rsidR="00F84CAF">
        <w:rPr>
          <w:lang w:val="fr-FR"/>
        </w:rPr>
        <w:t xml:space="preserve"> l</w:t>
      </w:r>
      <w:r w:rsidR="00016688">
        <w:rPr>
          <w:lang w:val="fr-FR"/>
        </w:rPr>
        <w:t>’</w:t>
      </w:r>
      <w:r w:rsidRPr="008017B0">
        <w:rPr>
          <w:lang w:val="fr-FR"/>
        </w:rPr>
        <w:t>ADN, des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 xml:space="preserve">exemptions liées aux quantités transportées à bord des bateaux sont décrites, dans lesquelles des dérogations sont applicables à ces exemptions. </w:t>
      </w:r>
    </w:p>
    <w:p w:rsidR="008017B0" w:rsidRPr="008017B0" w:rsidRDefault="008017B0" w:rsidP="008017B0">
      <w:pPr>
        <w:pStyle w:val="SingleTxtG"/>
      </w:pPr>
      <w:r w:rsidRPr="008017B0">
        <w:rPr>
          <w:lang w:val="fr-FR"/>
        </w:rPr>
        <w:t>5.</w:t>
      </w:r>
      <w:r w:rsidRPr="008017B0">
        <w:rPr>
          <w:lang w:val="fr-FR"/>
        </w:rPr>
        <w:tab/>
        <w:t>Proposition de clarification</w:t>
      </w:r>
      <w:r w:rsidR="00F84CAF">
        <w:rPr>
          <w:lang w:val="fr-FR"/>
        </w:rPr>
        <w:t> </w:t>
      </w:r>
      <w:r w:rsidRPr="008017B0">
        <w:rPr>
          <w:lang w:val="fr-FR"/>
        </w:rPr>
        <w:t xml:space="preserve">: mettre le texte des </w:t>
      </w:r>
      <w:r w:rsidR="00F84CAF">
        <w:rPr>
          <w:lang w:val="fr-FR"/>
        </w:rPr>
        <w:t>paragraphes a) et </w:t>
      </w:r>
      <w:r w:rsidRPr="008017B0">
        <w:rPr>
          <w:lang w:val="fr-FR"/>
        </w:rPr>
        <w:t xml:space="preserve">b) du 1.1.3.6.1 dans un tableau pour en améliorer la lisibilité et la compréhension. Pour cela, adapter le texte comme indiqué ci-après en </w:t>
      </w:r>
      <w:r w:rsidR="00F84CAF">
        <w:rPr>
          <w:lang w:val="fr-FR"/>
        </w:rPr>
        <w:t>supprimant les alinéas </w:t>
      </w:r>
      <w:r w:rsidRPr="008017B0">
        <w:rPr>
          <w:lang w:val="fr-FR"/>
        </w:rPr>
        <w:t xml:space="preserve">i) </w:t>
      </w:r>
      <w:r w:rsidR="00F84CAF">
        <w:rPr>
          <w:lang w:val="fr-FR"/>
        </w:rPr>
        <w:t>à </w:t>
      </w:r>
      <w:r w:rsidRPr="008017B0">
        <w:rPr>
          <w:lang w:val="fr-FR"/>
        </w:rPr>
        <w:t>vii) du 1.1.3.6.1 et le 1.1.3.6.2 et en insérant un nouveau tableau dans lequel est incorporé le texte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actuel</w:t>
      </w:r>
      <w:r w:rsidR="00F84CAF">
        <w:rPr>
          <w:lang w:val="fr-FR"/>
        </w:rPr>
        <w:t>, comme suit :</w:t>
      </w:r>
    </w:p>
    <w:p w:rsidR="008017B0" w:rsidRPr="008017B0" w:rsidRDefault="008017B0" w:rsidP="008017B0">
      <w:pPr>
        <w:pStyle w:val="SingleTxtG"/>
        <w:rPr>
          <w:b/>
          <w:bCs/>
          <w:i/>
          <w:iCs/>
        </w:rPr>
      </w:pPr>
      <w:r w:rsidRPr="008017B0">
        <w:rPr>
          <w:lang w:val="fr-FR"/>
        </w:rPr>
        <w:t>«</w:t>
      </w:r>
      <w:r w:rsidR="00F84CAF">
        <w:rPr>
          <w:lang w:val="fr-FR"/>
        </w:rPr>
        <w:t> </w:t>
      </w:r>
      <w:r w:rsidRPr="00F24B37">
        <w:rPr>
          <w:b/>
          <w:lang w:val="fr-FR"/>
        </w:rPr>
        <w:t>1.1.3.6</w:t>
      </w:r>
      <w:r w:rsidRPr="008017B0">
        <w:rPr>
          <w:lang w:val="fr-FR"/>
        </w:rPr>
        <w:t xml:space="preserve"> </w:t>
      </w:r>
      <w:r w:rsidRPr="008017B0">
        <w:rPr>
          <w:lang w:val="fr-FR"/>
        </w:rPr>
        <w:tab/>
      </w:r>
      <w:r w:rsidRPr="008017B0">
        <w:rPr>
          <w:b/>
          <w:bCs/>
          <w:i/>
          <w:iCs/>
          <w:lang w:val="fr-FR"/>
        </w:rPr>
        <w:t>Exemptions liées aux quantités transportées à bord des bateaux</w:t>
      </w:r>
    </w:p>
    <w:p w:rsidR="008017B0" w:rsidRPr="008017B0" w:rsidRDefault="008017B0" w:rsidP="00F84CAF">
      <w:pPr>
        <w:pStyle w:val="SingleTxtG"/>
        <w:ind w:left="2268" w:hanging="1134"/>
      </w:pPr>
      <w:r w:rsidRPr="008017B0">
        <w:rPr>
          <w:lang w:val="fr-FR"/>
        </w:rPr>
        <w:t xml:space="preserve">1.1.3.6.1 </w:t>
      </w:r>
      <w:r w:rsidR="00F84CAF">
        <w:rPr>
          <w:lang w:val="fr-FR"/>
        </w:rPr>
        <w:tab/>
      </w:r>
      <w:r w:rsidRPr="008017B0">
        <w:rPr>
          <w:lang w:val="fr-FR"/>
        </w:rPr>
        <w:t xml:space="preserve">a) </w:t>
      </w:r>
      <w:r w:rsidR="00F84CAF">
        <w:rPr>
          <w:lang w:val="fr-FR"/>
        </w:rPr>
        <w:tab/>
      </w:r>
      <w:r w:rsidRPr="008017B0">
        <w:rPr>
          <w:lang w:val="fr-FR"/>
        </w:rPr>
        <w:t>En cas de transport de marchandises dangereuses en colis, les dispositions de l</w:t>
      </w:r>
      <w:r w:rsidR="00016688">
        <w:rPr>
          <w:lang w:val="fr-FR"/>
        </w:rPr>
        <w:t>’</w:t>
      </w:r>
      <w:r w:rsidRPr="008017B0">
        <w:rPr>
          <w:lang w:val="fr-FR"/>
        </w:rPr>
        <w:t xml:space="preserve">ADN autres que celles du 1.1.3.6.2 ne sont pas applicables lorsque la masse brute de toutes les marchandises dangereuses transportées ne dépasse pas </w:t>
      </w:r>
      <w:r w:rsidR="00F84CAF" w:rsidRPr="00F84CAF">
        <w:rPr>
          <w:strike/>
          <w:lang w:val="fr-FR"/>
        </w:rPr>
        <w:t>3 000 </w:t>
      </w:r>
      <w:r w:rsidRPr="00F84CAF">
        <w:rPr>
          <w:strike/>
          <w:lang w:val="fr-FR"/>
        </w:rPr>
        <w:t>kg</w:t>
      </w:r>
      <w:r w:rsidRPr="008017B0">
        <w:rPr>
          <w:lang w:val="fr-FR"/>
        </w:rPr>
        <w:t>.</w:t>
      </w:r>
    </w:p>
    <w:p w:rsidR="008017B0" w:rsidRPr="008017B0" w:rsidRDefault="00F84CAF" w:rsidP="00F84CAF">
      <w:pPr>
        <w:pStyle w:val="SingleTxtG"/>
        <w:ind w:left="2268" w:hanging="1134"/>
      </w:pPr>
      <w:r>
        <w:tab/>
      </w:r>
      <w:r>
        <w:tab/>
      </w:r>
      <w:r w:rsidR="008017B0" w:rsidRPr="00F84CAF">
        <w:rPr>
          <w:strike/>
          <w:lang w:val="fr-FR"/>
        </w:rPr>
        <w:t>Cette disposition ne s</w:t>
      </w:r>
      <w:r w:rsidR="00016688">
        <w:rPr>
          <w:strike/>
          <w:lang w:val="fr-FR"/>
        </w:rPr>
        <w:t>’</w:t>
      </w:r>
      <w:r w:rsidR="008017B0" w:rsidRPr="00F84CAF">
        <w:rPr>
          <w:strike/>
          <w:lang w:val="fr-FR"/>
        </w:rPr>
        <w:t>applique pas au transport:</w:t>
      </w:r>
      <w:r w:rsidR="008017B0" w:rsidRPr="008017B0">
        <w:rPr>
          <w:lang w:val="fr-FR"/>
        </w:rPr>
        <w:t xml:space="preserve"> </w:t>
      </w:r>
      <w:r w:rsidR="008017B0" w:rsidRPr="008017B0">
        <w:rPr>
          <w:i/>
          <w:iCs/>
          <w:lang w:val="fr-FR"/>
        </w:rPr>
        <w:t>la quantité qui est indiquée dans le tableau ci-dessous</w:t>
      </w:r>
      <w:r>
        <w:rPr>
          <w:i/>
          <w:iCs/>
          <w:lang w:val="fr-FR"/>
        </w:rPr>
        <w:t> </w:t>
      </w:r>
      <w:r w:rsidR="008017B0" w:rsidRPr="008017B0">
        <w:rPr>
          <w:lang w:val="fr-FR"/>
        </w:rPr>
        <w:t xml:space="preserve">». </w:t>
      </w:r>
    </w:p>
    <w:p w:rsidR="008017B0" w:rsidRPr="00F84CAF" w:rsidRDefault="008017B0" w:rsidP="00F84CAF">
      <w:pPr>
        <w:pStyle w:val="SingleTxtG"/>
        <w:ind w:left="2268"/>
        <w:rPr>
          <w:strike/>
        </w:rPr>
      </w:pPr>
      <w:r w:rsidRPr="00F84CAF">
        <w:rPr>
          <w:strike/>
          <w:lang w:val="fr-FR"/>
        </w:rPr>
        <w:t xml:space="preserve">i) </w:t>
      </w:r>
      <w:r w:rsidR="00F84CAF" w:rsidRPr="00F84CAF">
        <w:rPr>
          <w:strike/>
          <w:lang w:val="fr-FR"/>
        </w:rPr>
        <w:tab/>
      </w:r>
      <w:r w:rsidRPr="00F84CAF">
        <w:rPr>
          <w:strike/>
          <w:lang w:val="fr-FR"/>
        </w:rPr>
        <w:t>des ma</w:t>
      </w:r>
      <w:r w:rsidR="00F84CAF" w:rsidRPr="00F84CAF">
        <w:rPr>
          <w:strike/>
          <w:lang w:val="fr-FR"/>
        </w:rPr>
        <w:t>tières et objets de la classe 1 ;</w:t>
      </w:r>
    </w:p>
    <w:p w:rsidR="008017B0" w:rsidRPr="00F84CAF" w:rsidRDefault="008017B0" w:rsidP="00F84CAF">
      <w:pPr>
        <w:pStyle w:val="SingleTxtG"/>
        <w:ind w:left="2835" w:hanging="567"/>
        <w:rPr>
          <w:strike/>
        </w:rPr>
      </w:pPr>
      <w:r w:rsidRPr="00F84CAF">
        <w:rPr>
          <w:strike/>
          <w:lang w:val="fr-FR"/>
        </w:rPr>
        <w:t xml:space="preserve">ii) </w:t>
      </w:r>
      <w:r w:rsidR="00F84CAF" w:rsidRPr="00F84CAF">
        <w:rPr>
          <w:strike/>
          <w:lang w:val="fr-FR"/>
        </w:rPr>
        <w:tab/>
      </w:r>
      <w:r w:rsidRPr="00F84CAF">
        <w:rPr>
          <w:strike/>
          <w:lang w:val="fr-FR"/>
        </w:rPr>
        <w:t>des matières de la classe 2, groupes T, F, TF, TC, TO, TFC ou TOC selon</w:t>
      </w:r>
      <w:r w:rsidR="00F84CAF" w:rsidRPr="00F84CAF">
        <w:rPr>
          <w:strike/>
          <w:lang w:val="fr-FR"/>
        </w:rPr>
        <w:t xml:space="preserve"> </w:t>
      </w:r>
      <w:r w:rsidRPr="00F84CAF">
        <w:rPr>
          <w:strike/>
          <w:lang w:val="fr-FR"/>
        </w:rPr>
        <w:t>2.2.2.1.3 et les aérosols des groupes C, CO, F, FC, T, TF, TC, TO, TFC et TOC</w:t>
      </w:r>
      <w:r w:rsidR="00F84CAF" w:rsidRPr="00F84CAF">
        <w:rPr>
          <w:strike/>
          <w:lang w:val="fr-FR"/>
        </w:rPr>
        <w:t xml:space="preserve"> selon 2.2.2.1.6 ;</w:t>
      </w:r>
    </w:p>
    <w:p w:rsidR="008017B0" w:rsidRPr="00F84CAF" w:rsidRDefault="008017B0" w:rsidP="00F84CAF">
      <w:pPr>
        <w:pStyle w:val="SingleTxtG"/>
        <w:ind w:left="2835" w:hanging="567"/>
        <w:rPr>
          <w:strike/>
        </w:rPr>
      </w:pPr>
      <w:r w:rsidRPr="00F84CAF">
        <w:rPr>
          <w:strike/>
          <w:lang w:val="fr-FR"/>
        </w:rPr>
        <w:t xml:space="preserve">iii) </w:t>
      </w:r>
      <w:r w:rsidR="00F84CAF" w:rsidRPr="00F84CAF">
        <w:rPr>
          <w:strike/>
          <w:lang w:val="fr-FR"/>
        </w:rPr>
        <w:tab/>
      </w:r>
      <w:r w:rsidRPr="00F84CAF">
        <w:rPr>
          <w:strike/>
          <w:lang w:val="fr-FR"/>
        </w:rPr>
        <w:t>des matières des classes 4.1 ou 5.2 pour lesquelles une étiquette de danger du modèle No 1 est</w:t>
      </w:r>
      <w:r w:rsidR="00F84CAF" w:rsidRPr="00F84CAF">
        <w:rPr>
          <w:strike/>
          <w:lang w:val="fr-FR"/>
        </w:rPr>
        <w:t xml:space="preserve"> </w:t>
      </w:r>
      <w:r w:rsidRPr="00F84CAF">
        <w:rPr>
          <w:strike/>
          <w:lang w:val="fr-FR"/>
        </w:rPr>
        <w:t>requise à la colon</w:t>
      </w:r>
      <w:r w:rsidR="00F84CAF" w:rsidRPr="00F84CAF">
        <w:rPr>
          <w:strike/>
          <w:lang w:val="fr-FR"/>
        </w:rPr>
        <w:t>ne (5) du tableau A du chapitre </w:t>
      </w:r>
      <w:r w:rsidRPr="00F84CAF">
        <w:rPr>
          <w:strike/>
          <w:lang w:val="fr-FR"/>
        </w:rPr>
        <w:t>3.2</w:t>
      </w:r>
      <w:r w:rsidR="00F84CAF" w:rsidRPr="00F84CAF">
        <w:rPr>
          <w:strike/>
          <w:lang w:val="fr-FR"/>
        </w:rPr>
        <w:t> </w:t>
      </w:r>
      <w:r w:rsidRPr="00F84CAF">
        <w:rPr>
          <w:strike/>
          <w:lang w:val="fr-FR"/>
        </w:rPr>
        <w:t>;</w:t>
      </w:r>
    </w:p>
    <w:p w:rsidR="008017B0" w:rsidRPr="00F84CAF" w:rsidRDefault="008017B0" w:rsidP="00F84CAF">
      <w:pPr>
        <w:pStyle w:val="SingleTxtG"/>
        <w:ind w:left="2268"/>
        <w:rPr>
          <w:strike/>
        </w:rPr>
      </w:pPr>
      <w:r w:rsidRPr="00F84CAF">
        <w:rPr>
          <w:strike/>
          <w:lang w:val="fr-FR"/>
        </w:rPr>
        <w:t xml:space="preserve">iv) </w:t>
      </w:r>
      <w:r w:rsidR="00F84CAF" w:rsidRPr="00F84CAF">
        <w:rPr>
          <w:strike/>
          <w:lang w:val="fr-FR"/>
        </w:rPr>
        <w:tab/>
      </w:r>
      <w:r w:rsidRPr="00F84CAF">
        <w:rPr>
          <w:strike/>
          <w:lang w:val="fr-FR"/>
        </w:rPr>
        <w:t>des matières de la classe 6.2 de la catégorie A</w:t>
      </w:r>
      <w:r w:rsidR="00F84CAF" w:rsidRPr="00F84CAF">
        <w:rPr>
          <w:strike/>
          <w:lang w:val="fr-FR"/>
        </w:rPr>
        <w:t> </w:t>
      </w:r>
      <w:r w:rsidRPr="00F84CAF">
        <w:rPr>
          <w:strike/>
          <w:lang w:val="fr-FR"/>
        </w:rPr>
        <w:t>;</w:t>
      </w:r>
    </w:p>
    <w:p w:rsidR="008017B0" w:rsidRPr="00F84CAF" w:rsidRDefault="008017B0" w:rsidP="00F84CAF">
      <w:pPr>
        <w:pStyle w:val="SingleTxtG"/>
        <w:ind w:left="2835" w:hanging="567"/>
        <w:rPr>
          <w:strike/>
        </w:rPr>
      </w:pPr>
      <w:r w:rsidRPr="00F84CAF">
        <w:rPr>
          <w:strike/>
          <w:lang w:val="fr-FR"/>
        </w:rPr>
        <w:t xml:space="preserve">v) </w:t>
      </w:r>
      <w:r w:rsidR="00F84CAF" w:rsidRPr="00F84CAF">
        <w:rPr>
          <w:strike/>
          <w:lang w:val="fr-FR"/>
        </w:rPr>
        <w:tab/>
      </w:r>
      <w:r w:rsidRPr="00F84CAF">
        <w:rPr>
          <w:strike/>
          <w:lang w:val="fr-FR"/>
        </w:rPr>
        <w:t>des matières de la classe 7 autres que les Nos ONU 2908, 2909, 2910 et 2911</w:t>
      </w:r>
      <w:r w:rsidR="00F84CAF" w:rsidRPr="00F84CAF">
        <w:rPr>
          <w:strike/>
          <w:lang w:val="fr-FR"/>
        </w:rPr>
        <w:t> </w:t>
      </w:r>
      <w:r w:rsidRPr="00F84CAF">
        <w:rPr>
          <w:strike/>
          <w:lang w:val="fr-FR"/>
        </w:rPr>
        <w:t>;</w:t>
      </w:r>
    </w:p>
    <w:p w:rsidR="008017B0" w:rsidRPr="00F84CAF" w:rsidRDefault="008017B0" w:rsidP="00F84CAF">
      <w:pPr>
        <w:pStyle w:val="SingleTxtG"/>
        <w:ind w:left="2268"/>
        <w:rPr>
          <w:strike/>
        </w:rPr>
      </w:pPr>
      <w:r w:rsidRPr="00F84CAF">
        <w:rPr>
          <w:strike/>
          <w:lang w:val="fr-FR"/>
        </w:rPr>
        <w:t xml:space="preserve">vi) </w:t>
      </w:r>
      <w:r w:rsidR="00F84CAF" w:rsidRPr="00F84CAF">
        <w:rPr>
          <w:strike/>
          <w:lang w:val="fr-FR"/>
        </w:rPr>
        <w:tab/>
      </w:r>
      <w:r w:rsidRPr="00F84CAF">
        <w:rPr>
          <w:strike/>
          <w:lang w:val="fr-FR"/>
        </w:rPr>
        <w:t>des matières af</w:t>
      </w:r>
      <w:r w:rsidR="00F84CAF" w:rsidRPr="00F84CAF">
        <w:rPr>
          <w:strike/>
          <w:lang w:val="fr-FR"/>
        </w:rPr>
        <w:t>fectées au groupe d</w:t>
      </w:r>
      <w:r w:rsidR="00016688">
        <w:rPr>
          <w:strike/>
          <w:lang w:val="fr-FR"/>
        </w:rPr>
        <w:t>’</w:t>
      </w:r>
      <w:r w:rsidR="00F84CAF" w:rsidRPr="00F84CAF">
        <w:rPr>
          <w:strike/>
          <w:lang w:val="fr-FR"/>
        </w:rPr>
        <w:t>emballage I ;</w:t>
      </w:r>
    </w:p>
    <w:p w:rsidR="008017B0" w:rsidRPr="00F84CAF" w:rsidRDefault="008017B0" w:rsidP="00F84CAF">
      <w:pPr>
        <w:pStyle w:val="SingleTxtG"/>
        <w:ind w:left="2268"/>
        <w:rPr>
          <w:strike/>
        </w:rPr>
      </w:pPr>
      <w:r w:rsidRPr="00F84CAF">
        <w:rPr>
          <w:strike/>
          <w:lang w:val="fr-FR"/>
        </w:rPr>
        <w:t xml:space="preserve">vii) </w:t>
      </w:r>
      <w:r w:rsidR="00F84CAF" w:rsidRPr="00F84CAF">
        <w:rPr>
          <w:strike/>
          <w:lang w:val="fr-FR"/>
        </w:rPr>
        <w:tab/>
        <w:t>des matières en citernes ;</w:t>
      </w:r>
    </w:p>
    <w:p w:rsidR="00F84CAF" w:rsidRPr="00F84CAF" w:rsidRDefault="00F84CAF" w:rsidP="00F84CAF">
      <w:pPr>
        <w:pStyle w:val="SingleTxtG"/>
        <w:ind w:left="2268" w:hanging="1134"/>
        <w:rPr>
          <w:strike/>
          <w:lang w:val="fr-FR"/>
        </w:rPr>
      </w:pPr>
      <w:r w:rsidRPr="00F84CAF">
        <w:rPr>
          <w:strike/>
          <w:lang w:val="fr-FR"/>
        </w:rPr>
        <w:tab/>
      </w:r>
      <w:r w:rsidR="008017B0" w:rsidRPr="00F84CAF">
        <w:rPr>
          <w:strike/>
          <w:lang w:val="fr-FR"/>
        </w:rPr>
        <w:t xml:space="preserve">b) </w:t>
      </w:r>
      <w:r w:rsidRPr="00F84CAF">
        <w:rPr>
          <w:strike/>
          <w:lang w:val="fr-FR"/>
        </w:rPr>
        <w:tab/>
      </w:r>
      <w:r w:rsidR="008017B0" w:rsidRPr="00F84CAF">
        <w:rPr>
          <w:strike/>
          <w:lang w:val="fr-FR"/>
        </w:rPr>
        <w:t>En cas de transport de marchandises dangereuses en colis autres que des citernes, les</w:t>
      </w:r>
      <w:r w:rsidRPr="00F84CAF">
        <w:rPr>
          <w:strike/>
          <w:lang w:val="fr-FR"/>
        </w:rPr>
        <w:t xml:space="preserve"> </w:t>
      </w:r>
      <w:r w:rsidR="008017B0" w:rsidRPr="00F84CAF">
        <w:rPr>
          <w:strike/>
          <w:lang w:val="fr-FR"/>
        </w:rPr>
        <w:t>dispositions de l</w:t>
      </w:r>
      <w:r w:rsidR="00016688">
        <w:rPr>
          <w:strike/>
          <w:lang w:val="fr-FR"/>
        </w:rPr>
        <w:t>’</w:t>
      </w:r>
      <w:r w:rsidR="008017B0" w:rsidRPr="00F84CAF">
        <w:rPr>
          <w:strike/>
          <w:lang w:val="fr-FR"/>
        </w:rPr>
        <w:t>ADN autres que celles du 1.1.3.6.2 ne so</w:t>
      </w:r>
      <w:r w:rsidRPr="00F84CAF">
        <w:rPr>
          <w:strike/>
          <w:lang w:val="fr-FR"/>
        </w:rPr>
        <w:t xml:space="preserve">nt pas applicables au transport : </w:t>
      </w:r>
    </w:p>
    <w:p w:rsidR="00F84CAF" w:rsidRPr="00F84CAF" w:rsidRDefault="00F84CAF" w:rsidP="00F84CAF">
      <w:pPr>
        <w:pStyle w:val="SingleTxtG"/>
        <w:ind w:left="2268" w:hanging="1134"/>
        <w:rPr>
          <w:strike/>
        </w:rPr>
      </w:pPr>
      <w:r w:rsidRPr="00F84CAF">
        <w:rPr>
          <w:strike/>
          <w:lang w:val="fr-FR"/>
        </w:rPr>
        <w:tab/>
        <w:t>de matières de la classe 2 du groupe </w:t>
      </w:r>
      <w:r w:rsidR="008017B0" w:rsidRPr="00F84CAF">
        <w:rPr>
          <w:strike/>
          <w:lang w:val="fr-FR"/>
        </w:rPr>
        <w:t>F selon 2.2.2.1.3 ou des aéros</w:t>
      </w:r>
      <w:r w:rsidRPr="00F84CAF">
        <w:rPr>
          <w:strike/>
          <w:lang w:val="fr-FR"/>
        </w:rPr>
        <w:t>ols du groupe F selon 2.2.2.1.6 ;</w:t>
      </w:r>
      <w:r w:rsidRPr="00F84CAF">
        <w:rPr>
          <w:strike/>
        </w:rPr>
        <w:t xml:space="preserve"> </w:t>
      </w:r>
    </w:p>
    <w:p w:rsidR="008017B0" w:rsidRPr="00F84CAF" w:rsidRDefault="00F84CAF" w:rsidP="00F84CAF">
      <w:pPr>
        <w:pStyle w:val="SingleTxtG"/>
        <w:ind w:left="2268" w:hanging="1134"/>
        <w:rPr>
          <w:strike/>
        </w:rPr>
      </w:pPr>
      <w:r w:rsidRPr="00F84CAF">
        <w:rPr>
          <w:strike/>
        </w:rPr>
        <w:tab/>
      </w:r>
      <w:r w:rsidR="008017B0" w:rsidRPr="00F84CAF">
        <w:rPr>
          <w:strike/>
          <w:lang w:val="fr-FR"/>
        </w:rPr>
        <w:t>ni</w:t>
      </w:r>
      <w:r w:rsidRPr="00F84CAF">
        <w:rPr>
          <w:strike/>
          <w:lang w:val="fr-FR"/>
        </w:rPr>
        <w:t xml:space="preserve"> </w:t>
      </w:r>
      <w:r w:rsidR="008017B0" w:rsidRPr="00F84CAF">
        <w:rPr>
          <w:strike/>
          <w:lang w:val="fr-FR"/>
        </w:rPr>
        <w:t>des matières affectées au groupe d</w:t>
      </w:r>
      <w:r w:rsidR="00016688">
        <w:rPr>
          <w:strike/>
          <w:lang w:val="fr-FR"/>
        </w:rPr>
        <w:t>’</w:t>
      </w:r>
      <w:r w:rsidR="008017B0" w:rsidRPr="00F84CAF">
        <w:rPr>
          <w:strike/>
          <w:lang w:val="fr-FR"/>
        </w:rPr>
        <w:t>emballage I à l</w:t>
      </w:r>
      <w:r w:rsidR="00016688">
        <w:rPr>
          <w:strike/>
          <w:lang w:val="fr-FR"/>
        </w:rPr>
        <w:t>’</w:t>
      </w:r>
      <w:r w:rsidR="008017B0" w:rsidRPr="00F84CAF">
        <w:rPr>
          <w:strike/>
          <w:lang w:val="fr-FR"/>
        </w:rPr>
        <w:t>exceptio</w:t>
      </w:r>
      <w:r w:rsidRPr="00F84CAF">
        <w:rPr>
          <w:strike/>
          <w:lang w:val="fr-FR"/>
        </w:rPr>
        <w:t>n des matières de la classe 6.1 ;</w:t>
      </w:r>
    </w:p>
    <w:p w:rsidR="008017B0" w:rsidRPr="008017B0" w:rsidRDefault="00F84CAF" w:rsidP="008017B0">
      <w:pPr>
        <w:pStyle w:val="SingleTxtG"/>
      </w:pPr>
      <w:r w:rsidRPr="00F84CAF">
        <w:rPr>
          <w:strike/>
          <w:lang w:val="fr-FR"/>
        </w:rPr>
        <w:tab/>
      </w:r>
      <w:r w:rsidRPr="00F84CAF">
        <w:rPr>
          <w:strike/>
          <w:lang w:val="fr-FR"/>
        </w:rPr>
        <w:tab/>
      </w:r>
      <w:r w:rsidR="008017B0" w:rsidRPr="00F84CAF">
        <w:rPr>
          <w:strike/>
          <w:lang w:val="fr-FR"/>
        </w:rPr>
        <w:t xml:space="preserve">lorsque la masse brute totale de ces </w:t>
      </w:r>
      <w:r w:rsidRPr="00F84CAF">
        <w:rPr>
          <w:strike/>
          <w:lang w:val="fr-FR"/>
        </w:rPr>
        <w:t>marchandises ne dépasse pas 300 </w:t>
      </w:r>
      <w:r w:rsidR="008017B0" w:rsidRPr="00F84CAF">
        <w:rPr>
          <w:strike/>
          <w:lang w:val="fr-FR"/>
        </w:rPr>
        <w:t>kg.</w:t>
      </w:r>
    </w:p>
    <w:p w:rsidR="008017B0" w:rsidRPr="008017B0" w:rsidRDefault="00F84CAF" w:rsidP="008017B0">
      <w:pPr>
        <w:pStyle w:val="SingleTxtG"/>
      </w:pPr>
      <w:r>
        <w:rPr>
          <w:lang w:val="fr-FR"/>
        </w:rPr>
        <w:br w:type="page"/>
      </w:r>
      <w:r>
        <w:rPr>
          <w:lang w:val="fr-FR"/>
        </w:rPr>
        <w:lastRenderedPageBreak/>
        <w:t>Ajouter un nouveau tableau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"/>
        <w:gridCol w:w="3984"/>
        <w:gridCol w:w="38"/>
        <w:gridCol w:w="868"/>
        <w:gridCol w:w="869"/>
        <w:gridCol w:w="869"/>
      </w:tblGrid>
      <w:tr w:rsidR="00F84CAF" w:rsidRPr="00F84CAF" w:rsidTr="00592DFE">
        <w:trPr>
          <w:tblHeader/>
        </w:trPr>
        <w:tc>
          <w:tcPr>
            <w:tcW w:w="7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84CAF" w:rsidRPr="00F84CAF" w:rsidRDefault="00F84CAF" w:rsidP="00016688">
            <w:pPr>
              <w:suppressAutoHyphens w:val="0"/>
              <w:spacing w:before="80" w:after="80" w:line="200" w:lineRule="exact"/>
              <w:rPr>
                <w:i/>
                <w:sz w:val="16"/>
                <w:lang w:val="nl-NL"/>
              </w:rPr>
            </w:pPr>
            <w:r w:rsidRPr="00F84CAF">
              <w:rPr>
                <w:i/>
                <w:sz w:val="16"/>
                <w:lang w:val="fr-FR"/>
              </w:rPr>
              <w:t>Classe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4CAF" w:rsidRPr="00F84CAF" w:rsidRDefault="00F84CAF" w:rsidP="0001668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F84CAF">
              <w:rPr>
                <w:i/>
                <w:sz w:val="16"/>
                <w:lang w:val="fr-FR"/>
              </w:rPr>
              <w:t>Matières ou objets en colis autres que des citernes (conteneurs-citernes, véhicules-citernes, etc.)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84CAF" w:rsidRPr="00F84CAF" w:rsidRDefault="00F84CAF" w:rsidP="00016688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F84CAF">
              <w:rPr>
                <w:i/>
                <w:sz w:val="16"/>
                <w:lang w:val="fr-FR"/>
              </w:rPr>
              <w:t>Quantités exemptées (en kg)</w:t>
            </w:r>
          </w:p>
        </w:tc>
      </w:tr>
      <w:tr w:rsidR="00F84CAF" w:rsidRPr="00016688" w:rsidTr="00592DFE"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17B0" w:rsidRPr="00016688" w:rsidRDefault="008017B0" w:rsidP="00016688">
            <w:pPr>
              <w:suppressAutoHyphens w:val="0"/>
              <w:spacing w:before="40" w:after="40" w:line="220" w:lineRule="exact"/>
              <w:rPr>
                <w:b/>
                <w:i/>
                <w:sz w:val="18"/>
              </w:rPr>
            </w:pPr>
            <w:r w:rsidRPr="00016688">
              <w:rPr>
                <w:b/>
                <w:bCs/>
                <w:i/>
                <w:sz w:val="18"/>
                <w:lang w:val="fr-FR"/>
              </w:rPr>
              <w:t>Toutes</w:t>
            </w:r>
          </w:p>
        </w:tc>
        <w:tc>
          <w:tcPr>
            <w:tcW w:w="403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17B0" w:rsidRPr="00016688" w:rsidRDefault="008017B0" w:rsidP="00016688">
            <w:pPr>
              <w:suppressAutoHyphens w:val="0"/>
              <w:spacing w:before="40" w:after="40" w:line="220" w:lineRule="exact"/>
              <w:rPr>
                <w:b/>
                <w:i/>
                <w:sz w:val="18"/>
              </w:rPr>
            </w:pPr>
            <w:r w:rsidRPr="00016688">
              <w:rPr>
                <w:b/>
                <w:bCs/>
                <w:i/>
                <w:sz w:val="18"/>
                <w:lang w:val="fr-FR"/>
              </w:rPr>
              <w:t>Transport en citernes de toute classe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016688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016688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016688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b/>
                <w:i/>
                <w:sz w:val="18"/>
              </w:rPr>
            </w:pPr>
            <w:r w:rsidRPr="00016688">
              <w:rPr>
                <w:b/>
                <w:bCs/>
                <w:i/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1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016688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  <w:lang w:val="fr-FR"/>
              </w:rPr>
              <w:t>Matières et objets de la classe </w:t>
            </w:r>
            <w:r w:rsidR="008017B0" w:rsidRPr="00F84CAF">
              <w:rPr>
                <w:sz w:val="18"/>
                <w:lang w:val="fr-FR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2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016688" w:rsidRDefault="008017B0" w:rsidP="00016688">
            <w:pPr>
              <w:pStyle w:val="Bullet1G"/>
              <w:spacing w:before="40" w:after="40"/>
              <w:ind w:left="340" w:right="0"/>
              <w:rPr>
                <w:sz w:val="18"/>
                <w:szCs w:val="18"/>
              </w:rPr>
            </w:pPr>
            <w:r w:rsidRPr="00016688">
              <w:rPr>
                <w:sz w:val="18"/>
                <w:szCs w:val="18"/>
                <w:lang w:val="fr-FR"/>
              </w:rPr>
              <w:t xml:space="preserve">Matières de la classe 2, groupes T, F, TF, TC, TO, TFC ou TOC selon 2.2.2.1.3 et </w:t>
            </w:r>
          </w:p>
          <w:p w:rsidR="008017B0" w:rsidRPr="00F84CAF" w:rsidRDefault="008017B0" w:rsidP="00016688">
            <w:pPr>
              <w:pStyle w:val="Bullet1G"/>
              <w:spacing w:before="40" w:after="40"/>
              <w:ind w:left="340" w:right="0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Aérosols des groupes C, CO, F, FC, T, TF, TC, TO, TFC et TOC selon 2.2.2.1.6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pStyle w:val="Bullet1G"/>
              <w:spacing w:before="40" w:after="40"/>
              <w:ind w:left="340" w:right="0"/>
              <w:rPr>
                <w:bCs/>
                <w:sz w:val="18"/>
              </w:rPr>
            </w:pPr>
            <w:r w:rsidRPr="00F84CAF">
              <w:rPr>
                <w:sz w:val="18"/>
                <w:lang w:val="fr-FR"/>
              </w:rPr>
              <w:t>Matières de la classe 2 du groupe F selon 2.2.2.1.3 ou</w:t>
            </w:r>
          </w:p>
          <w:p w:rsidR="008017B0" w:rsidRPr="00F84CAF" w:rsidRDefault="008017B0" w:rsidP="00016688">
            <w:pPr>
              <w:pStyle w:val="Bullet1G"/>
              <w:spacing w:before="40" w:after="40"/>
              <w:ind w:left="340" w:right="0"/>
              <w:rPr>
                <w:sz w:val="18"/>
              </w:rPr>
            </w:pPr>
            <w:r w:rsidRPr="00F84CAF">
              <w:rPr>
                <w:sz w:val="18"/>
              </w:rPr>
              <w:t>A</w:t>
            </w:r>
            <w:r w:rsidR="00016688" w:rsidRPr="00F84CAF">
              <w:rPr>
                <w:sz w:val="18"/>
                <w:lang w:val="fr-FR"/>
              </w:rPr>
              <w:t>érosols</w:t>
            </w:r>
            <w:r w:rsidRPr="00F84CAF">
              <w:rPr>
                <w:sz w:val="18"/>
                <w:lang w:val="fr-FR"/>
              </w:rPr>
              <w:t xml:space="preserve"> du groupe F selon 2.2.2.1.6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F84CAF">
              <w:rPr>
                <w:sz w:val="18"/>
                <w:lang w:val="fr-FR"/>
              </w:rPr>
              <w:t xml:space="preserve">Toute autre matière de la </w:t>
            </w:r>
            <w:r w:rsidR="00016688">
              <w:rPr>
                <w:sz w:val="18"/>
                <w:lang w:val="fr-FR"/>
              </w:rPr>
              <w:t>classe </w:t>
            </w:r>
            <w:r w:rsidRPr="00F84CAF">
              <w:rPr>
                <w:sz w:val="18"/>
                <w:lang w:val="fr-FR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3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016688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  <w:lang w:val="fr-FR"/>
              </w:rPr>
              <w:t>Matières de la classe 3, groupe d’emballage </w:t>
            </w:r>
            <w:r w:rsidR="008017B0" w:rsidRPr="00F84CAF">
              <w:rPr>
                <w:sz w:val="18"/>
                <w:lang w:val="fr-FR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4.1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592DF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 xml:space="preserve">Matières de la classe 4.1 pour lesquelles une étiquette de danger du modèle </w:t>
            </w:r>
            <w:r w:rsidR="00592DFE" w:rsidRPr="00592DFE">
              <w:rPr>
                <w:rFonts w:eastAsia="MS Mincho"/>
                <w:sz w:val="18"/>
                <w:szCs w:val="22"/>
                <w:lang w:val="fr-FR"/>
              </w:rPr>
              <w:t>n</w:t>
            </w:r>
            <w:r w:rsidR="00592DFE" w:rsidRPr="00592DFE">
              <w:rPr>
                <w:rFonts w:eastAsia="MS Mincho"/>
                <w:sz w:val="18"/>
                <w:szCs w:val="22"/>
                <w:vertAlign w:val="superscript"/>
                <w:lang w:val="fr-FR"/>
              </w:rPr>
              <w:t>o</w:t>
            </w:r>
            <w:r w:rsidR="00592DFE">
              <w:rPr>
                <w:sz w:val="18"/>
                <w:lang w:val="fr-FR"/>
              </w:rPr>
              <w:t> </w:t>
            </w:r>
            <w:r w:rsidRPr="00F84CAF">
              <w:rPr>
                <w:sz w:val="18"/>
                <w:lang w:val="fr-FR"/>
              </w:rPr>
              <w:t>1 est requ</w:t>
            </w:r>
            <w:r w:rsidR="00016688">
              <w:rPr>
                <w:sz w:val="18"/>
                <w:lang w:val="fr-FR"/>
              </w:rPr>
              <w:t>ise à la colonne (5) du tableau </w:t>
            </w:r>
            <w:r w:rsidRPr="00F84CAF">
              <w:rPr>
                <w:sz w:val="18"/>
                <w:lang w:val="fr-FR"/>
              </w:rPr>
              <w:t>A du chapitre 3.2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</w:t>
            </w:r>
            <w:r w:rsidR="00016688">
              <w:rPr>
                <w:sz w:val="18"/>
                <w:lang w:val="fr-FR"/>
              </w:rPr>
              <w:t xml:space="preserve"> classe 4.1, groupe d’emballage </w:t>
            </w:r>
            <w:r w:rsidRPr="00F84CAF">
              <w:rPr>
                <w:sz w:val="18"/>
                <w:lang w:val="fr-FR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</w:t>
            </w:r>
            <w:r w:rsidR="00016688">
              <w:rPr>
                <w:sz w:val="18"/>
                <w:lang w:val="fr-FR"/>
              </w:rPr>
              <w:t>oute autre matière de la classe </w:t>
            </w:r>
            <w:r w:rsidRPr="00F84CAF">
              <w:rPr>
                <w:sz w:val="18"/>
                <w:lang w:val="fr-FR"/>
              </w:rPr>
              <w:t>4.1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4.2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Matières de la</w:t>
            </w:r>
            <w:r w:rsidR="00016688">
              <w:rPr>
                <w:sz w:val="18"/>
                <w:lang w:val="fr-FR"/>
              </w:rPr>
              <w:t xml:space="preserve"> classe 4.2, groupe d’emballage </w:t>
            </w:r>
            <w:r w:rsidRPr="00F84CAF">
              <w:rPr>
                <w:sz w:val="18"/>
                <w:lang w:val="fr-FR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4.2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4.3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Matières de la classe 4.3, groupe d</w:t>
            </w:r>
            <w:r w:rsidR="00016688">
              <w:rPr>
                <w:sz w:val="18"/>
                <w:lang w:val="fr-FR"/>
              </w:rPr>
              <w:t>’</w:t>
            </w:r>
            <w:r w:rsidRPr="00F84CAF">
              <w:rPr>
                <w:sz w:val="18"/>
                <w:lang w:val="fr-FR"/>
              </w:rPr>
              <w:t>emballage 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4.3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5.1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Matières de la classe 5.1, groupe d</w:t>
            </w:r>
            <w:r w:rsidR="00016688">
              <w:rPr>
                <w:sz w:val="18"/>
                <w:lang w:val="fr-FR"/>
              </w:rPr>
              <w:t>’</w:t>
            </w:r>
            <w:r w:rsidRPr="00F84CAF">
              <w:rPr>
                <w:sz w:val="18"/>
                <w:lang w:val="fr-FR"/>
              </w:rPr>
              <w:t>emballage 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 xml:space="preserve">Toute autre matière de la classe 5.1 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5.2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</w:rPr>
              <w:t>M</w:t>
            </w:r>
            <w:r w:rsidRPr="00F84CAF">
              <w:rPr>
                <w:sz w:val="18"/>
                <w:lang w:val="fr-FR"/>
              </w:rPr>
              <w:t xml:space="preserve">atières de la classe 5.2 pour lesquelles une étiquette de danger du modèle </w:t>
            </w:r>
            <w:r w:rsidR="00016688" w:rsidRPr="00016688">
              <w:rPr>
                <w:rFonts w:eastAsia="MS Mincho"/>
                <w:sz w:val="18"/>
                <w:szCs w:val="22"/>
                <w:lang w:val="fr-FR"/>
              </w:rPr>
              <w:t>n</w:t>
            </w:r>
            <w:r w:rsidR="00016688" w:rsidRPr="00016688">
              <w:rPr>
                <w:rFonts w:eastAsia="MS Mincho"/>
                <w:sz w:val="18"/>
                <w:szCs w:val="22"/>
                <w:vertAlign w:val="superscript"/>
                <w:lang w:val="fr-FR"/>
              </w:rPr>
              <w:t>o</w:t>
            </w:r>
            <w:r w:rsidR="00016688">
              <w:rPr>
                <w:sz w:val="18"/>
                <w:lang w:val="fr-FR"/>
              </w:rPr>
              <w:t> </w:t>
            </w:r>
            <w:r w:rsidRPr="00F84CAF">
              <w:rPr>
                <w:sz w:val="18"/>
                <w:lang w:val="fr-FR"/>
              </w:rPr>
              <w:t>1 est requise à la colonne (5) du tableau A du chapitre 3.2</w:t>
            </w:r>
            <w:r w:rsidR="00016688">
              <w:rPr>
                <w:sz w:val="18"/>
                <w:lang w:val="fr-F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5.2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6.1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Matières de la classe 6.1, groupe d</w:t>
            </w:r>
            <w:r w:rsidR="00016688">
              <w:rPr>
                <w:sz w:val="18"/>
                <w:lang w:val="fr-FR"/>
              </w:rPr>
              <w:t>’</w:t>
            </w:r>
            <w:r w:rsidRPr="00F84CAF">
              <w:rPr>
                <w:sz w:val="18"/>
                <w:lang w:val="fr-FR"/>
              </w:rPr>
              <w:t>emballage 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6.1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6.2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</w:rPr>
              <w:t>M</w:t>
            </w:r>
            <w:r w:rsidRPr="00F84CAF">
              <w:rPr>
                <w:sz w:val="18"/>
                <w:lang w:val="fr-FR"/>
              </w:rPr>
              <w:t>atières de la classe 6.2, c</w:t>
            </w:r>
            <w:r w:rsidR="00016688">
              <w:rPr>
                <w:sz w:val="18"/>
                <w:lang w:val="fr-FR"/>
              </w:rPr>
              <w:t>atégorie </w:t>
            </w:r>
            <w:r w:rsidRPr="00F84CAF">
              <w:rPr>
                <w:sz w:val="18"/>
                <w:lang w:val="fr-FR"/>
              </w:rPr>
              <w:t>A ou groupe d</w:t>
            </w:r>
            <w:r w:rsidR="00016688">
              <w:rPr>
                <w:sz w:val="18"/>
                <w:lang w:val="fr-FR"/>
              </w:rPr>
              <w:t>’</w:t>
            </w:r>
            <w:r w:rsidRPr="00F84CAF">
              <w:rPr>
                <w:sz w:val="18"/>
                <w:lang w:val="fr-FR"/>
              </w:rPr>
              <w:t>emballage I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6.2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sz w:val="18"/>
                <w:lang w:val="fr-FR"/>
              </w:rPr>
              <w:t>7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Matières de la classe 7</w:t>
            </w:r>
            <w:r w:rsidR="00F84CAF" w:rsidRPr="00F84CAF">
              <w:rPr>
                <w:sz w:val="18"/>
                <w:lang w:val="fr-FR"/>
              </w:rPr>
              <w:t xml:space="preserve"> </w:t>
            </w:r>
            <w:r w:rsidRPr="00F84CAF">
              <w:rPr>
                <w:sz w:val="18"/>
                <w:lang w:val="fr-FR"/>
              </w:rPr>
              <w:t xml:space="preserve">pour les </w:t>
            </w:r>
            <w:r w:rsidR="00016688">
              <w:rPr>
                <w:sz w:val="18"/>
                <w:lang w:val="fr-FR"/>
              </w:rPr>
              <w:t>numéros ONU </w:t>
            </w:r>
            <w:r w:rsidRPr="00F84CAF">
              <w:rPr>
                <w:sz w:val="18"/>
                <w:lang w:val="fr-FR"/>
              </w:rPr>
              <w:t>2908, 2909, 2910 et 2911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0</w:t>
            </w: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 xml:space="preserve">Toute autre matière de la </w:t>
            </w:r>
            <w:r w:rsidR="00016688">
              <w:rPr>
                <w:sz w:val="18"/>
                <w:lang w:val="fr-FR"/>
              </w:rPr>
              <w:t>classe </w:t>
            </w:r>
            <w:r w:rsidRPr="00F84CAF">
              <w:rPr>
                <w:sz w:val="18"/>
                <w:lang w:val="fr-FR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8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Matières de la classe 8, groupe d</w:t>
            </w:r>
            <w:r w:rsidR="00016688">
              <w:rPr>
                <w:sz w:val="18"/>
                <w:lang w:val="fr-FR"/>
              </w:rPr>
              <w:t>’</w:t>
            </w:r>
            <w:r w:rsidRPr="00F84CAF">
              <w:rPr>
                <w:sz w:val="18"/>
                <w:lang w:val="fr-FR"/>
              </w:rPr>
              <w:t xml:space="preserve">emballage I 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  <w:lang w:val="nl-NL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 autre matière de la classe 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  <w:tr w:rsidR="00F84CAF" w:rsidRPr="00F84CAF" w:rsidTr="00592DFE">
        <w:tc>
          <w:tcPr>
            <w:tcW w:w="7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rPr>
                <w:b/>
                <w:sz w:val="18"/>
              </w:rPr>
            </w:pPr>
            <w:r w:rsidRPr="00F84CAF">
              <w:rPr>
                <w:b/>
                <w:bCs/>
                <w:sz w:val="18"/>
                <w:lang w:val="fr-FR"/>
              </w:rPr>
              <w:t>9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7B0" w:rsidRPr="00F84CAF" w:rsidRDefault="008017B0" w:rsidP="0001668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Toutes les matières de la classe 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F84CAF">
              <w:rPr>
                <w:sz w:val="18"/>
                <w:lang w:val="fr-FR"/>
              </w:rPr>
              <w:t>3 000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7B0" w:rsidRPr="00F84CAF" w:rsidRDefault="008017B0" w:rsidP="00F84CA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nl-NL"/>
              </w:rPr>
            </w:pPr>
          </w:p>
        </w:tc>
      </w:tr>
    </w:tbl>
    <w:p w:rsidR="008017B0" w:rsidRPr="008017B0" w:rsidRDefault="008017B0" w:rsidP="00016688">
      <w:pPr>
        <w:pStyle w:val="H1G"/>
      </w:pPr>
      <w:r w:rsidRPr="008017B0">
        <w:rPr>
          <w:lang w:val="fr-FR"/>
        </w:rPr>
        <w:tab/>
      </w:r>
      <w:r w:rsidRPr="008017B0">
        <w:rPr>
          <w:lang w:val="fr-FR"/>
        </w:rPr>
        <w:tab/>
        <w:t>Incidences sur la sécurité</w:t>
      </w:r>
    </w:p>
    <w:p w:rsidR="008017B0" w:rsidRPr="008017B0" w:rsidRDefault="008017B0" w:rsidP="008017B0">
      <w:pPr>
        <w:pStyle w:val="SingleTxtG"/>
      </w:pPr>
      <w:r w:rsidRPr="008017B0">
        <w:rPr>
          <w:lang w:val="fr-FR"/>
        </w:rPr>
        <w:t>6.</w:t>
      </w:r>
      <w:r w:rsidRPr="008017B0">
        <w:rPr>
          <w:lang w:val="fr-FR"/>
        </w:rPr>
        <w:tab/>
        <w:t>Dans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la présente proposition, il n</w:t>
      </w:r>
      <w:r w:rsidR="00016688">
        <w:rPr>
          <w:lang w:val="fr-FR"/>
        </w:rPr>
        <w:t>’</w:t>
      </w:r>
      <w:r w:rsidRPr="008017B0">
        <w:rPr>
          <w:lang w:val="fr-FR"/>
        </w:rPr>
        <w:t>y a pas pour l</w:t>
      </w:r>
      <w:r w:rsidR="00016688">
        <w:rPr>
          <w:lang w:val="fr-FR"/>
        </w:rPr>
        <w:t>’</w:t>
      </w:r>
      <w:r w:rsidRPr="008017B0">
        <w:rPr>
          <w:lang w:val="fr-FR"/>
        </w:rPr>
        <w:t>essentiel de changement de l</w:t>
      </w:r>
      <w:r w:rsidR="00016688">
        <w:rPr>
          <w:lang w:val="fr-FR"/>
        </w:rPr>
        <w:t>’</w:t>
      </w:r>
      <w:r w:rsidRPr="008017B0">
        <w:rPr>
          <w:lang w:val="fr-FR"/>
        </w:rPr>
        <w:t>objet des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paragraphes visés. On espère que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la section sera mieux compris par les personnes à bord, ce qui</w:t>
      </w:r>
      <w:r w:rsidR="00F84CAF">
        <w:rPr>
          <w:lang w:val="fr-FR"/>
        </w:rPr>
        <w:t xml:space="preserve"> </w:t>
      </w:r>
      <w:r w:rsidRPr="008017B0">
        <w:rPr>
          <w:lang w:val="fr-FR"/>
        </w:rPr>
        <w:t>aura un impact positif en matière de sécurité.</w:t>
      </w:r>
    </w:p>
    <w:p w:rsidR="008017B0" w:rsidRPr="00016688" w:rsidRDefault="00016688" w:rsidP="000166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17B0" w:rsidRPr="00016688" w:rsidSect="008017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50" w:rsidRDefault="00827050" w:rsidP="00F95C08">
      <w:pPr>
        <w:spacing w:line="240" w:lineRule="auto"/>
      </w:pPr>
    </w:p>
  </w:endnote>
  <w:endnote w:type="continuationSeparator" w:id="0">
    <w:p w:rsidR="00827050" w:rsidRPr="00AC3823" w:rsidRDefault="00827050" w:rsidP="00AC3823">
      <w:pPr>
        <w:pStyle w:val="Footer"/>
      </w:pPr>
    </w:p>
  </w:endnote>
  <w:endnote w:type="continuationNotice" w:id="1">
    <w:p w:rsidR="00827050" w:rsidRDefault="008270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B0" w:rsidRPr="008017B0" w:rsidRDefault="008017B0" w:rsidP="008017B0">
    <w:pPr>
      <w:pStyle w:val="Footer"/>
      <w:tabs>
        <w:tab w:val="right" w:pos="9638"/>
      </w:tabs>
    </w:pPr>
    <w:r w:rsidRPr="008017B0">
      <w:rPr>
        <w:b/>
        <w:sz w:val="18"/>
      </w:rPr>
      <w:fldChar w:fldCharType="begin"/>
    </w:r>
    <w:r w:rsidRPr="008017B0">
      <w:rPr>
        <w:b/>
        <w:sz w:val="18"/>
      </w:rPr>
      <w:instrText xml:space="preserve"> PAGE  \* MERGEFORMAT </w:instrText>
    </w:r>
    <w:r w:rsidRPr="008017B0">
      <w:rPr>
        <w:b/>
        <w:sz w:val="18"/>
      </w:rPr>
      <w:fldChar w:fldCharType="separate"/>
    </w:r>
    <w:r w:rsidR="00724211">
      <w:rPr>
        <w:b/>
        <w:noProof/>
        <w:sz w:val="18"/>
      </w:rPr>
      <w:t>2</w:t>
    </w:r>
    <w:r w:rsidRPr="008017B0">
      <w:rPr>
        <w:b/>
        <w:sz w:val="18"/>
      </w:rPr>
      <w:fldChar w:fldCharType="end"/>
    </w:r>
    <w:r>
      <w:rPr>
        <w:b/>
        <w:sz w:val="18"/>
      </w:rPr>
      <w:tab/>
    </w:r>
    <w:r>
      <w:t>GE.18-09696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B0" w:rsidRPr="008017B0" w:rsidRDefault="008017B0" w:rsidP="008017B0">
    <w:pPr>
      <w:pStyle w:val="Footer"/>
      <w:tabs>
        <w:tab w:val="right" w:pos="9638"/>
      </w:tabs>
      <w:rPr>
        <w:b/>
        <w:sz w:val="18"/>
      </w:rPr>
    </w:pPr>
    <w:r>
      <w:t>GE.18-09696</w:t>
    </w:r>
    <w:r>
      <w:tab/>
    </w:r>
    <w:r w:rsidRPr="008017B0">
      <w:rPr>
        <w:b/>
        <w:sz w:val="18"/>
      </w:rPr>
      <w:fldChar w:fldCharType="begin"/>
    </w:r>
    <w:r w:rsidRPr="008017B0">
      <w:rPr>
        <w:b/>
        <w:sz w:val="18"/>
      </w:rPr>
      <w:instrText xml:space="preserve"> PAGE  \* MERGEFORMAT </w:instrText>
    </w:r>
    <w:r w:rsidRPr="008017B0">
      <w:rPr>
        <w:b/>
        <w:sz w:val="18"/>
      </w:rPr>
      <w:fldChar w:fldCharType="separate"/>
    </w:r>
    <w:r w:rsidR="00724211">
      <w:rPr>
        <w:b/>
        <w:noProof/>
        <w:sz w:val="18"/>
      </w:rPr>
      <w:t>3</w:t>
    </w:r>
    <w:r w:rsidRPr="008017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017B0" w:rsidRDefault="008017B0" w:rsidP="008017B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18-09696</w:t>
    </w:r>
    <w:r w:rsidR="00F84CAF">
      <w:rPr>
        <w:sz w:val="20"/>
      </w:rPr>
      <w:t xml:space="preserve"> </w:t>
    </w:r>
    <w:r>
      <w:rPr>
        <w:sz w:val="20"/>
      </w:rPr>
      <w:t>(F)</w:t>
    </w:r>
    <w:r w:rsidR="00F84CAF">
      <w:rPr>
        <w:sz w:val="20"/>
      </w:rPr>
      <w:t xml:space="preserve"> </w:t>
    </w:r>
    <w:r w:rsidR="009D1B5E">
      <w:rPr>
        <w:sz w:val="20"/>
      </w:rPr>
      <w:t xml:space="preserve">  </w:t>
    </w:r>
    <w:r w:rsidR="00F84CAF">
      <w:rPr>
        <w:sz w:val="20"/>
      </w:rPr>
      <w:t xml:space="preserve"> </w:t>
    </w:r>
    <w:r>
      <w:rPr>
        <w:sz w:val="20"/>
      </w:rPr>
      <w:t>200618</w:t>
    </w:r>
    <w:r w:rsidR="00F84CAF">
      <w:rPr>
        <w:sz w:val="20"/>
      </w:rPr>
      <w:t xml:space="preserve"> </w:t>
    </w:r>
    <w:r w:rsidR="009D1B5E">
      <w:rPr>
        <w:sz w:val="20"/>
      </w:rPr>
      <w:t xml:space="preserve">  </w:t>
    </w:r>
    <w:r w:rsidR="00F84CAF">
      <w:rPr>
        <w:sz w:val="20"/>
      </w:rPr>
      <w:t xml:space="preserve"> </w:t>
    </w:r>
    <w:r w:rsidRPr="009D1B5E">
      <w:rPr>
        <w:sz w:val="20"/>
      </w:rPr>
      <w:t>110718</w:t>
    </w:r>
    <w:r>
      <w:rPr>
        <w:sz w:val="20"/>
      </w:rPr>
      <w:br/>
    </w:r>
    <w:r w:rsidRPr="008017B0">
      <w:rPr>
        <w:rFonts w:ascii="C39T30Lfz" w:hAnsi="C39T30Lfz"/>
        <w:sz w:val="56"/>
      </w:rPr>
      <w:t></w:t>
    </w:r>
    <w:r w:rsidRPr="008017B0">
      <w:rPr>
        <w:rFonts w:ascii="C39T30Lfz" w:hAnsi="C39T30Lfz"/>
        <w:sz w:val="56"/>
      </w:rPr>
      <w:t></w:t>
    </w:r>
    <w:r w:rsidRPr="008017B0">
      <w:rPr>
        <w:rFonts w:ascii="C39T30Lfz" w:hAnsi="C39T30Lfz"/>
        <w:sz w:val="56"/>
      </w:rPr>
      <w:t></w:t>
    </w:r>
    <w:r w:rsidRPr="008017B0">
      <w:rPr>
        <w:rFonts w:ascii="C39T30Lfz" w:hAnsi="C39T30Lfz"/>
        <w:sz w:val="56"/>
      </w:rPr>
      <w:t></w:t>
    </w:r>
    <w:r w:rsidRPr="008017B0">
      <w:rPr>
        <w:rFonts w:ascii="C39T30Lfz" w:hAnsi="C39T30Lfz"/>
        <w:sz w:val="56"/>
      </w:rPr>
      <w:t></w:t>
    </w:r>
    <w:r w:rsidRPr="008017B0">
      <w:rPr>
        <w:rFonts w:ascii="C39T30Lfz" w:hAnsi="C39T30Lfz"/>
        <w:sz w:val="56"/>
      </w:rPr>
      <w:t></w:t>
    </w:r>
    <w:r w:rsidRPr="008017B0">
      <w:rPr>
        <w:rFonts w:ascii="C39T30Lfz" w:hAnsi="C39T30Lfz"/>
        <w:sz w:val="56"/>
      </w:rPr>
      <w:t></w:t>
    </w:r>
    <w:r w:rsidRPr="008017B0">
      <w:rPr>
        <w:rFonts w:ascii="C39T30Lfz" w:hAnsi="C39T30Lfz"/>
        <w:sz w:val="56"/>
      </w:rPr>
      <w:t></w:t>
    </w:r>
    <w:r w:rsidRPr="008017B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4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50" w:rsidRPr="00AC3823" w:rsidRDefault="008270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7050" w:rsidRPr="00AC3823" w:rsidRDefault="008270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27050" w:rsidRPr="00AC3823" w:rsidRDefault="00827050">
      <w:pPr>
        <w:spacing w:line="240" w:lineRule="auto"/>
        <w:rPr>
          <w:sz w:val="2"/>
          <w:szCs w:val="2"/>
        </w:rPr>
      </w:pPr>
    </w:p>
  </w:footnote>
  <w:footnote w:id="2">
    <w:p w:rsidR="008017B0" w:rsidRPr="003A7D20" w:rsidRDefault="008017B0" w:rsidP="008017B0">
      <w:pPr>
        <w:pStyle w:val="FootnoteText"/>
      </w:pPr>
      <w:r>
        <w:rPr>
          <w:lang w:val="fr-FR"/>
        </w:rPr>
        <w:tab/>
      </w:r>
      <w:r w:rsidRPr="008017B0">
        <w:rPr>
          <w:rStyle w:val="FootnoteReference"/>
        </w:rPr>
        <w:t>*</w:t>
      </w:r>
      <w:r w:rsidRPr="008017B0">
        <w:rPr>
          <w:rStyle w:val="FootnoteReference"/>
        </w:rPr>
        <w:tab/>
      </w:r>
      <w:r>
        <w:rPr>
          <w:lang w:val="fr-FR"/>
        </w:rPr>
        <w:t>Diffusée en langue allemande par la Commission centrale pour la navigation du Rhin sous la cote CCNR-ZKR/ADN/WP.15/AC.2/2018/47.</w:t>
      </w:r>
    </w:p>
  </w:footnote>
  <w:footnote w:id="3">
    <w:p w:rsidR="008017B0" w:rsidRPr="003A7D20" w:rsidRDefault="008017B0" w:rsidP="008017B0">
      <w:pPr>
        <w:pStyle w:val="FootnoteText"/>
      </w:pPr>
      <w:r>
        <w:rPr>
          <w:lang w:val="fr-FR"/>
        </w:rPr>
        <w:tab/>
      </w:r>
      <w:r w:rsidRPr="008017B0">
        <w:rPr>
          <w:rStyle w:val="FootnoteReference"/>
        </w:rPr>
        <w:t>**</w:t>
      </w:r>
      <w:r>
        <w:rPr>
          <w:lang w:val="fr-FR"/>
        </w:rPr>
        <w:tab/>
        <w:t>Conformément au programme de travail du Comité des transports intérieurs pour 2018-2019 (ECE/TRANS/2018/21/Add.1, module 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B0" w:rsidRPr="008017B0" w:rsidRDefault="00DE4177">
    <w:pPr>
      <w:pStyle w:val="Header"/>
    </w:pPr>
    <w:fldSimple w:instr=" TITLE  \* MERGEFORMAT ">
      <w:r>
        <w:t>ECE/TRANS/WP.15/AC.2/2018/47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B0" w:rsidRPr="008017B0" w:rsidRDefault="00DE4177" w:rsidP="008017B0">
    <w:pPr>
      <w:pStyle w:val="Header"/>
      <w:jc w:val="right"/>
    </w:pPr>
    <w:fldSimple w:instr=" TITLE  \* MERGEFORMAT ">
      <w:r>
        <w:t>ECE/TRANS/WP.15/AC.2/2018/47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1"/>
    <w:lvlOverride w:ilvl="0">
      <w:lvl w:ilvl="0" w:tplc="AFDE445C">
        <w:start w:val="300"/>
        <w:numFmt w:val="bullet"/>
        <w:lvlText w:val="-"/>
        <w:lvlJc w:val="left"/>
        <w:pPr>
          <w:ind w:left="720" w:hanging="360"/>
        </w:pPr>
        <w:rPr>
          <w:rFonts w:ascii="Verdana" w:eastAsia="Arial Unicode MS" w:hAnsi="Verdana" w:cs="Arial Unicode MS" w:hint="default"/>
          <w:color w:val="000000"/>
        </w:rPr>
      </w:lvl>
    </w:lvlOverride>
  </w:num>
  <w:num w:numId="18">
    <w:abstractNumId w:val="12"/>
    <w:lvlOverride w:ilvl="0">
      <w:lvl w:ilvl="0" w:tplc="853CBB36">
        <w:start w:val="300"/>
        <w:numFmt w:val="bullet"/>
        <w:lvlText w:val="-"/>
        <w:lvlJc w:val="left"/>
        <w:pPr>
          <w:ind w:left="720" w:hanging="360"/>
        </w:pPr>
        <w:rPr>
          <w:rFonts w:ascii="Verdana" w:eastAsia="Arial Unicode MS" w:hAnsi="Verdana" w:cs="Arial Unicode MS" w:hint="default"/>
          <w:color w:val="000000"/>
        </w:rPr>
      </w:lvl>
    </w:lvlOverride>
  </w:num>
  <w:num w:numId="19">
    <w:abstractNumId w:val="14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0"/>
    <w:rsid w:val="00016688"/>
    <w:rsid w:val="00017F94"/>
    <w:rsid w:val="00023842"/>
    <w:rsid w:val="000334F9"/>
    <w:rsid w:val="00045FEB"/>
    <w:rsid w:val="0007796D"/>
    <w:rsid w:val="000B7790"/>
    <w:rsid w:val="000F0A87"/>
    <w:rsid w:val="00111F2F"/>
    <w:rsid w:val="0014365E"/>
    <w:rsid w:val="00143C66"/>
    <w:rsid w:val="00176178"/>
    <w:rsid w:val="001904FF"/>
    <w:rsid w:val="001F525A"/>
    <w:rsid w:val="00223272"/>
    <w:rsid w:val="0024779E"/>
    <w:rsid w:val="00257168"/>
    <w:rsid w:val="002744B8"/>
    <w:rsid w:val="002832AC"/>
    <w:rsid w:val="002A533C"/>
    <w:rsid w:val="002D7C93"/>
    <w:rsid w:val="00305801"/>
    <w:rsid w:val="003916DE"/>
    <w:rsid w:val="003B2E7C"/>
    <w:rsid w:val="00441C3B"/>
    <w:rsid w:val="00446FE5"/>
    <w:rsid w:val="00452396"/>
    <w:rsid w:val="004837D8"/>
    <w:rsid w:val="004E468C"/>
    <w:rsid w:val="00507EE2"/>
    <w:rsid w:val="005505B7"/>
    <w:rsid w:val="00573BE5"/>
    <w:rsid w:val="00586ED3"/>
    <w:rsid w:val="00592DFE"/>
    <w:rsid w:val="00596AA9"/>
    <w:rsid w:val="0071601D"/>
    <w:rsid w:val="00724211"/>
    <w:rsid w:val="007A62E6"/>
    <w:rsid w:val="007F20FA"/>
    <w:rsid w:val="008017B0"/>
    <w:rsid w:val="0080684C"/>
    <w:rsid w:val="00827050"/>
    <w:rsid w:val="00871C75"/>
    <w:rsid w:val="008776DC"/>
    <w:rsid w:val="009446C0"/>
    <w:rsid w:val="009705C8"/>
    <w:rsid w:val="009C1CF4"/>
    <w:rsid w:val="009D1B5E"/>
    <w:rsid w:val="009F6B74"/>
    <w:rsid w:val="00A30353"/>
    <w:rsid w:val="00A56B2A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A7BBE"/>
    <w:rsid w:val="00CC52F7"/>
    <w:rsid w:val="00D3439C"/>
    <w:rsid w:val="00DB1831"/>
    <w:rsid w:val="00DD3BFD"/>
    <w:rsid w:val="00DE4177"/>
    <w:rsid w:val="00DF6678"/>
    <w:rsid w:val="00E0299A"/>
    <w:rsid w:val="00E85C74"/>
    <w:rsid w:val="00EA6547"/>
    <w:rsid w:val="00EF2E22"/>
    <w:rsid w:val="00F24B37"/>
    <w:rsid w:val="00F35BAF"/>
    <w:rsid w:val="00F660DF"/>
    <w:rsid w:val="00F84CA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89F40D-C2DF-4B23-B8CF-2ABD187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ECE/TRANS/WP.15/AC.2/2018/47</vt:lpstr>
      <vt:lpstr>ECE/TRANS/WP.15/AC.2/2018/47</vt:lpstr>
    </vt:vector>
  </TitlesOfParts>
  <Company>DCM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ECE/TRANS/WP.15/AC.2/2018/47</dc:title>
  <dc:subject/>
  <dc:creator>Edith BOURION</dc:creator>
  <cp:keywords/>
  <cp:lastModifiedBy>Caillot</cp:lastModifiedBy>
  <cp:revision>2</cp:revision>
  <cp:lastPrinted>2018-07-11T13:23:00Z</cp:lastPrinted>
  <dcterms:created xsi:type="dcterms:W3CDTF">2018-07-24T09:41:00Z</dcterms:created>
  <dcterms:modified xsi:type="dcterms:W3CDTF">2018-07-24T09:41:00Z</dcterms:modified>
</cp:coreProperties>
</file>