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B13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B13C8" w:rsidP="005B13C8">
            <w:pPr>
              <w:jc w:val="right"/>
            </w:pPr>
            <w:r w:rsidRPr="005B13C8">
              <w:rPr>
                <w:sz w:val="40"/>
              </w:rPr>
              <w:t>ECE</w:t>
            </w:r>
            <w:r>
              <w:t>/TRANS/WP.15/AC.2/2018/45</w:t>
            </w:r>
          </w:p>
        </w:tc>
      </w:tr>
      <w:tr w:rsidR="002D5AAC" w:rsidRPr="005B13C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B13C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B13C8" w:rsidRDefault="005B13C8" w:rsidP="005B13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2018</w:t>
            </w:r>
          </w:p>
          <w:p w:rsidR="005B13C8" w:rsidRDefault="005B13C8" w:rsidP="005B13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B13C8" w:rsidRPr="008D53B6" w:rsidRDefault="005B13C8" w:rsidP="005B13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B13C8" w:rsidRPr="005B13C8" w:rsidRDefault="005B13C8" w:rsidP="005B13C8">
      <w:pPr>
        <w:spacing w:before="120"/>
        <w:rPr>
          <w:sz w:val="28"/>
          <w:szCs w:val="28"/>
        </w:rPr>
      </w:pPr>
      <w:r w:rsidRPr="005B13C8">
        <w:rPr>
          <w:sz w:val="28"/>
          <w:szCs w:val="28"/>
        </w:rPr>
        <w:t>Комитет по внутреннему транспорту</w:t>
      </w:r>
    </w:p>
    <w:p w:rsidR="005B13C8" w:rsidRPr="005B13C8" w:rsidRDefault="005B13C8" w:rsidP="005B13C8">
      <w:pPr>
        <w:spacing w:before="120"/>
        <w:rPr>
          <w:b/>
          <w:sz w:val="24"/>
          <w:szCs w:val="24"/>
        </w:rPr>
      </w:pPr>
      <w:r w:rsidRPr="005B13C8">
        <w:rPr>
          <w:b/>
          <w:bCs/>
          <w:sz w:val="24"/>
          <w:szCs w:val="24"/>
        </w:rPr>
        <w:t>Рабочая группа по перевозкам опасных грузов</w:t>
      </w:r>
    </w:p>
    <w:p w:rsidR="005B13C8" w:rsidRPr="00973220" w:rsidRDefault="005B13C8" w:rsidP="005B13C8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  <w:t>прилагаемым к Европейскому соглашению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:rsidR="005B13C8" w:rsidRPr="00973220" w:rsidRDefault="005B13C8" w:rsidP="005B13C8">
      <w:pPr>
        <w:spacing w:before="120"/>
        <w:rPr>
          <w:b/>
        </w:rPr>
      </w:pPr>
      <w:r>
        <w:rPr>
          <w:b/>
          <w:bCs/>
        </w:rPr>
        <w:t>Тридцать третья сессия</w:t>
      </w:r>
    </w:p>
    <w:p w:rsidR="005B13C8" w:rsidRPr="00973220" w:rsidRDefault="005B13C8" w:rsidP="005B13C8">
      <w:r>
        <w:t>Женева, 27–31 августа 2018 года</w:t>
      </w:r>
    </w:p>
    <w:p w:rsidR="005B13C8" w:rsidRPr="00F409ED" w:rsidRDefault="005B13C8" w:rsidP="005B13C8">
      <w:r>
        <w:t>Пункт 4 b) предварительной повестки дня</w:t>
      </w:r>
    </w:p>
    <w:p w:rsidR="005B13C8" w:rsidRPr="00973220" w:rsidRDefault="005B13C8" w:rsidP="005B13C8">
      <w:pPr>
        <w:rPr>
          <w:b/>
        </w:rPr>
      </w:pPr>
      <w:r>
        <w:rPr>
          <w:b/>
          <w:bCs/>
        </w:rPr>
        <w:t>Предложения о внесении поправок в Правила,</w:t>
      </w:r>
      <w:r>
        <w:rPr>
          <w:b/>
          <w:bCs/>
        </w:rPr>
        <w:br/>
        <w:t>прилагаемые к ВОПОГ:</w:t>
      </w:r>
      <w:r>
        <w:rPr>
          <w:b/>
          <w:bCs/>
        </w:rPr>
        <w:br/>
        <w:t>другие предложения</w:t>
      </w:r>
    </w:p>
    <w:p w:rsidR="005B13C8" w:rsidRPr="00973220" w:rsidRDefault="005B13C8" w:rsidP="005B13C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Поправка к подразделу 7.1.4.1: ограничение перевозимых количеств</w:t>
      </w:r>
    </w:p>
    <w:p w:rsidR="005B13C8" w:rsidRPr="00973220" w:rsidRDefault="005B13C8" w:rsidP="005B13C8">
      <w:pPr>
        <w:pStyle w:val="H1G"/>
        <w:rPr>
          <w:b w:val="0"/>
          <w:bCs/>
          <w:szCs w:val="24"/>
          <w:vertAlign w:val="superscript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Передано Европейским союзом речного судоходства (ЕСРС), Европейским союзом речного и прибрежного транспорта (ЕСРПТ) и Европейской организацией судоводителей (EOС)</w:t>
      </w:r>
      <w:r w:rsidRPr="005B13C8">
        <w:rPr>
          <w:rStyle w:val="FootnoteReference"/>
          <w:b w:val="0"/>
          <w:bCs/>
          <w:position w:val="4"/>
          <w:szCs w:val="18"/>
          <w:vertAlign w:val="baseline"/>
          <w:lang w:val="ru-RU"/>
        </w:rPr>
        <w:footnoteReference w:customMarkFollows="1" w:id="1"/>
        <w:t>*</w:t>
      </w:r>
      <w:r w:rsidRPr="005B13C8">
        <w:rPr>
          <w:b w:val="0"/>
          <w:bCs/>
          <w:position w:val="4"/>
          <w:sz w:val="18"/>
          <w:szCs w:val="18"/>
          <w:lang w:val="ru-RU"/>
        </w:rPr>
        <w:t xml:space="preserve"> </w:t>
      </w:r>
      <w:r w:rsidRPr="005B13C8">
        <w:rPr>
          <w:b w:val="0"/>
          <w:bCs/>
          <w:position w:val="4"/>
          <w:sz w:val="18"/>
          <w:szCs w:val="18"/>
          <w:lang w:val="ru-RU"/>
        </w:rPr>
        <w:footnoteReference w:customMarkFollows="1" w:id="2"/>
        <w:t>**</w:t>
      </w:r>
    </w:p>
    <w:p w:rsidR="005B13C8" w:rsidRPr="00973220" w:rsidRDefault="005B13C8" w:rsidP="005B13C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5B13C8" w:rsidRPr="00973220" w:rsidRDefault="005B13C8" w:rsidP="005B13C8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Представители сектора внутреннего водного транспорта представляли</w:t>
      </w:r>
      <w:r w:rsidRPr="00973220">
        <w:rPr>
          <w:lang w:val="ru-RU"/>
        </w:rPr>
        <w:t xml:space="preserve"> </w:t>
      </w:r>
      <w:r>
        <w:rPr>
          <w:lang w:val="ru-RU"/>
        </w:rPr>
        <w:t>соответствующие документы для рассмотрения этой темы на двадцать девятой, а затем на тридцать первой сессии Комитета по вопросам безопасности ВОПОГ. На тридцать первой сессии мы указали, что просьба сектора судоходства касалась трех целей</w:t>
      </w:r>
      <w:r w:rsidR="00C355F6">
        <w:rPr>
          <w:lang w:val="ru-RU"/>
        </w:rPr>
        <w:t>, а </w:t>
      </w:r>
      <w:r>
        <w:rPr>
          <w:lang w:val="ru-RU"/>
        </w:rPr>
        <w:t>именно:</w:t>
      </w:r>
    </w:p>
    <w:p w:rsidR="005B13C8" w:rsidRPr="00973220" w:rsidRDefault="005B13C8" w:rsidP="005B13C8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большей ясности и повышения прозрачности путем представления другого варианта подраздела 7.1.4.1.1;</w:t>
      </w:r>
    </w:p>
    <w:p w:rsidR="005B13C8" w:rsidRPr="00973220" w:rsidRDefault="005B13C8" w:rsidP="005B13C8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 xml:space="preserve">большей ясности путем объединения диапазонов количеств, предусмотренных в подразделе </w:t>
      </w:r>
      <w:r w:rsidRPr="00973220">
        <w:rPr>
          <w:lang w:val="ru-RU"/>
        </w:rPr>
        <w:t>7.1.4.1.1;</w:t>
      </w:r>
    </w:p>
    <w:p w:rsidR="005B13C8" w:rsidRPr="00973220" w:rsidRDefault="005B13C8" w:rsidP="005B13C8">
      <w:pPr>
        <w:pStyle w:val="SingleTxtG"/>
        <w:ind w:firstLine="567"/>
        <w:rPr>
          <w:lang w:val="ru-RU"/>
        </w:rPr>
      </w:pPr>
      <w:r>
        <w:rPr>
          <w:lang w:val="ru-RU"/>
        </w:rPr>
        <w:lastRenderedPageBreak/>
        <w:t>c)</w:t>
      </w:r>
      <w:r>
        <w:rPr>
          <w:lang w:val="ru-RU"/>
        </w:rPr>
        <w:tab/>
        <w:t>отмены максимального ограничения в 1 100 тонн для количеств, предусмотренных в подразделе 7.1.4.1.2.</w:t>
      </w:r>
    </w:p>
    <w:p w:rsidR="005B13C8" w:rsidRPr="00973220" w:rsidRDefault="005B13C8" w:rsidP="005B13C8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В ходе обсуждения, состоявшегося на тридцать первой сессии Комитета по вопросам безопасности ВОПОГ, стало очевидно, что невозможно найти никаких оснований для обсуждения целей </w:t>
      </w:r>
      <w:r w:rsidRPr="00C355F6">
        <w:rPr>
          <w:lang w:val="ru-RU"/>
        </w:rPr>
        <w:t>b</w:t>
      </w:r>
      <w:r w:rsidR="00C355F6">
        <w:rPr>
          <w:lang w:val="ru-RU"/>
        </w:rPr>
        <w:t>)</w:t>
      </w:r>
      <w:r w:rsidRPr="00C355F6">
        <w:rPr>
          <w:lang w:val="ru-RU"/>
        </w:rPr>
        <w:t xml:space="preserve"> и с</w:t>
      </w:r>
      <w:r w:rsidR="00C355F6">
        <w:rPr>
          <w:lang w:val="ru-RU"/>
        </w:rPr>
        <w:t>)</w:t>
      </w:r>
      <w:r>
        <w:rPr>
          <w:lang w:val="ru-RU"/>
        </w:rPr>
        <w:t>, упомянуты</w:t>
      </w:r>
      <w:r w:rsidR="00AD0B21">
        <w:rPr>
          <w:lang w:val="ru-RU"/>
        </w:rPr>
        <w:t>х сектором судоходства в пункте </w:t>
      </w:r>
      <w:r>
        <w:rPr>
          <w:lang w:val="ru-RU"/>
        </w:rPr>
        <w:t>1 выше. Тем не менее Комитет по вопросам безопасности согласился с тем, что этот вопрос следует рассмотреть в рамках корреспондентской группы.</w:t>
      </w:r>
    </w:p>
    <w:p w:rsidR="005B13C8" w:rsidRPr="00973220" w:rsidRDefault="005B13C8" w:rsidP="005B13C8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 xml:space="preserve">На сегодняшний день эта просьба еще не была рассмотрена корреспондентской группой. Сектор судоходства принял к сведению, что цели </w:t>
      </w:r>
      <w:r w:rsidRPr="005B13C8">
        <w:rPr>
          <w:lang w:val="ru-RU"/>
        </w:rPr>
        <w:t>b) и c)</w:t>
      </w:r>
      <w:r>
        <w:rPr>
          <w:lang w:val="ru-RU"/>
        </w:rPr>
        <w:t>, упомянутые в пункте 1, были отклонены, и пока с этим согласился.</w:t>
      </w:r>
    </w:p>
    <w:p w:rsidR="005B13C8" w:rsidRPr="00973220" w:rsidRDefault="005B13C8" w:rsidP="005B13C8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Тем не менее мы вновь заявляем о своем стремлении повысить ясность и прозрачность подраздела 7.1.4.1 посредством изменения его формулировки. Это необходимо, в частности, для того, чтобы сделать данную тематику доступной для пользователей, которые не обращаются к ВОПОГ на регулярной основе.</w:t>
      </w:r>
    </w:p>
    <w:p w:rsidR="005B13C8" w:rsidRPr="00973220" w:rsidRDefault="005B13C8" w:rsidP="005B13C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5B13C8" w:rsidRPr="00973220" w:rsidRDefault="005B13C8" w:rsidP="005B13C8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Заменить текст пунктов 7.1.4.1.1, 7.1.4.1.2 и 7.1.4.1.3 следующим текстом:</w:t>
      </w:r>
    </w:p>
    <w:p w:rsidR="005B13C8" w:rsidRPr="00973220" w:rsidRDefault="005B13C8" w:rsidP="005B13C8">
      <w:pPr>
        <w:pStyle w:val="SingleTxtG"/>
        <w:rPr>
          <w:b/>
          <w:bCs/>
          <w:lang w:val="ru-RU"/>
        </w:rPr>
      </w:pPr>
      <w:r>
        <w:rPr>
          <w:lang w:val="ru-RU"/>
        </w:rPr>
        <w:t>«7.1.4.1</w:t>
      </w:r>
      <w:r>
        <w:rPr>
          <w:lang w:val="ru-RU"/>
        </w:rPr>
        <w:tab/>
      </w:r>
      <w:r>
        <w:rPr>
          <w:b/>
          <w:bCs/>
          <w:lang w:val="ru-RU"/>
        </w:rPr>
        <w:t>Ограничение перевозимых количеств</w:t>
      </w:r>
    </w:p>
    <w:p w:rsidR="005B13C8" w:rsidRPr="00973220" w:rsidRDefault="005B13C8" w:rsidP="005B13C8">
      <w:pPr>
        <w:pStyle w:val="SingleTxtG"/>
        <w:ind w:left="2268"/>
        <w:rPr>
          <w:lang w:val="ru-RU"/>
        </w:rPr>
      </w:pPr>
      <w:r>
        <w:rPr>
          <w:lang w:val="ru-RU"/>
        </w:rPr>
        <w:t>Некоторые</w:t>
      </w:r>
      <w:r>
        <w:rPr>
          <w:vertAlign w:val="superscript"/>
          <w:lang w:val="ru-RU"/>
        </w:rPr>
        <w:t xml:space="preserve">1) </w:t>
      </w:r>
      <w:r>
        <w:rPr>
          <w:lang w:val="ru-RU"/>
        </w:rPr>
        <w:t>опасные грузы классов 1</w:t>
      </w:r>
      <w:r>
        <w:rPr>
          <w:vertAlign w:val="superscript"/>
          <w:lang w:val="ru-RU"/>
        </w:rPr>
        <w:t>2)</w:t>
      </w:r>
      <w:r>
        <w:rPr>
          <w:lang w:val="ru-RU"/>
        </w:rPr>
        <w:t>, 2, 3, 4.1, 4.2, 4.3, 5.1, 5.2, 6.1, 7, 8 и 9 могут перевозиться только в ограниченных количествах в соответствии с положениями пунктов 7.1.4.1.1, 7.1.4.1.2 и 7.1.4.1.3.</w:t>
      </w:r>
    </w:p>
    <w:p w:rsidR="005B13C8" w:rsidRPr="00973220" w:rsidRDefault="005B13C8" w:rsidP="005B13C8">
      <w:pPr>
        <w:pStyle w:val="SingleTxtG"/>
        <w:ind w:left="2268"/>
        <w:rPr>
          <w:lang w:val="ru-RU"/>
        </w:rPr>
      </w:pPr>
      <w:r>
        <w:rPr>
          <w:lang w:val="ru-RU"/>
        </w:rPr>
        <w:t>В отношении толкаемых составов и счаленных групп количественные ограничения, указанные в пунктах 7.1.4.1.1, 7.1.4.1.2 и 7.1.4.1.3, применяются к каждой единице, причем для каждой единицы разрешается не более 1 100 000 кг.</w:t>
      </w:r>
    </w:p>
    <w:p w:rsidR="005B13C8" w:rsidRPr="00973220" w:rsidRDefault="005B13C8" w:rsidP="005B13C8">
      <w:pPr>
        <w:pStyle w:val="SingleTxtG"/>
        <w:ind w:left="2268" w:hanging="1134"/>
        <w:rPr>
          <w:lang w:val="ru-RU"/>
        </w:rPr>
      </w:pPr>
      <w:r>
        <w:rPr>
          <w:lang w:val="ru-RU"/>
        </w:rPr>
        <w:t>7.1.4.1.1</w:t>
      </w:r>
      <w:r>
        <w:rPr>
          <w:lang w:val="ru-RU"/>
        </w:rPr>
        <w:tab/>
        <w:t>Суда с двойным корпусом, удовлетворяющие дополнительным правилам постройки, изложенным в подразделах 9.1.0.88–9.1.0.95 или</w:t>
      </w:r>
      <w:r>
        <w:rPr>
          <w:lang w:val="ru-RU"/>
        </w:rPr>
        <w:br/>
        <w:t>9.2.0.88–9.2.0.95, могут перевозить только те количества опасных грузов класса 1, которые указаны в подразделе 7.1.4.1.3.</w:t>
      </w:r>
    </w:p>
    <w:p w:rsidR="005B13C8" w:rsidRPr="00973220" w:rsidRDefault="005B13C8" w:rsidP="005B13C8">
      <w:pPr>
        <w:pStyle w:val="SingleTxtG"/>
        <w:ind w:left="2268"/>
        <w:rPr>
          <w:lang w:val="ru-RU"/>
        </w:rPr>
      </w:pPr>
      <w:r>
        <w:rPr>
          <w:lang w:val="ru-RU"/>
        </w:rPr>
        <w:tab/>
        <w:t>Эти суда могут перевозить грузы классов 2, 3, 4.1, 4.2, 4.3, 5.1, 5.2, 6.1, 7, 8 и 9 без ограничения перевозимого количества.</w:t>
      </w:r>
    </w:p>
    <w:p w:rsidR="005B13C8" w:rsidRPr="00973220" w:rsidRDefault="005B13C8" w:rsidP="005B13C8">
      <w:pPr>
        <w:pStyle w:val="SingleTxtG"/>
        <w:ind w:left="2268"/>
        <w:rPr>
          <w:lang w:val="ru-RU"/>
        </w:rPr>
      </w:pPr>
      <w:r>
        <w:rPr>
          <w:lang w:val="ru-RU"/>
        </w:rPr>
        <w:t>В отступление от этого положения опасные грузы, для которых в колонке 5 таблицы А главы 3.2 предписан знак опасности образца № 1, могут перевозиться на борту каждой единицы только в количествах, указанных в подразделе 7.1.4.1.3</w:t>
      </w:r>
      <w:r>
        <w:rPr>
          <w:vertAlign w:val="superscript"/>
          <w:lang w:val="ru-RU"/>
        </w:rPr>
        <w:t>3)</w:t>
      </w:r>
      <w:r>
        <w:rPr>
          <w:lang w:val="ru-RU"/>
        </w:rPr>
        <w:t>.</w:t>
      </w:r>
    </w:p>
    <w:p w:rsidR="005B13C8" w:rsidRPr="00973220" w:rsidRDefault="005B13C8" w:rsidP="005B13C8">
      <w:pPr>
        <w:pStyle w:val="SingleTxtG"/>
        <w:ind w:left="2268" w:hanging="1134"/>
        <w:rPr>
          <w:lang w:val="ru-RU"/>
        </w:rPr>
      </w:pPr>
      <w:r>
        <w:rPr>
          <w:lang w:val="ru-RU"/>
        </w:rPr>
        <w:t>7.1.4.1.2</w:t>
      </w:r>
      <w:r>
        <w:rPr>
          <w:lang w:val="ru-RU"/>
        </w:rPr>
        <w:tab/>
        <w:t>Однокорпусные суда, толкаемые барж</w:t>
      </w:r>
      <w:r w:rsidR="00C355F6">
        <w:rPr>
          <w:lang w:val="ru-RU"/>
        </w:rPr>
        <w:t>и и суда с двойным корпусом, не </w:t>
      </w:r>
      <w:r>
        <w:rPr>
          <w:lang w:val="ru-RU"/>
        </w:rPr>
        <w:t>удовлетворяющие дополнительным правилам постройки,</w:t>
      </w:r>
      <w:r w:rsidRPr="00C97E3B">
        <w:rPr>
          <w:lang w:val="ru-RU"/>
        </w:rPr>
        <w:t xml:space="preserve"> </w:t>
      </w:r>
      <w:r>
        <w:rPr>
          <w:lang w:val="ru-RU"/>
        </w:rPr>
        <w:t>изложенным в подразделах 9.1.0.88–9.1.0.95 или 9.2.0.88–9.2.0.95, могут перевозить только те количества опасных грузов классов 1, 2, 3, 4.1, 4.2, 4.3, 5.1, 5.2, 6.1, 7, 8 и 9, которые указаны в подразделе 7.1.4.1.3.</w:t>
      </w:r>
    </w:p>
    <w:p w:rsidR="005B13C8" w:rsidRPr="000B0C5D" w:rsidRDefault="005B13C8" w:rsidP="005B13C8">
      <w:pPr>
        <w:pStyle w:val="SingleTxtG"/>
        <w:ind w:left="2268"/>
        <w:rPr>
          <w:vertAlign w:val="superscript"/>
          <w:lang w:val="ru-RU"/>
        </w:rPr>
      </w:pPr>
      <w:r>
        <w:rPr>
          <w:lang w:val="ru-RU"/>
        </w:rPr>
        <w:tab/>
      </w:r>
      <w:r>
        <w:rPr>
          <w:b/>
          <w:bCs/>
          <w:i/>
          <w:iCs/>
          <w:lang w:val="ru-RU"/>
        </w:rPr>
        <w:t>ПРИМЕЧАНИЕ</w:t>
      </w:r>
      <w:r w:rsidRPr="00C355F6">
        <w:rPr>
          <w:i/>
          <w:lang w:val="ru-RU"/>
        </w:rPr>
        <w:t>: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если в пункте 7.1.4.1.3 указано: "Без ограничений", то эти грузы могут перевозиться в неограниченных количествах</w:t>
      </w:r>
      <w:r>
        <w:rPr>
          <w:vertAlign w:val="superscript"/>
          <w:lang w:val="ru-RU"/>
        </w:rPr>
        <w:t>4)</w:t>
      </w:r>
      <w:r>
        <w:rPr>
          <w:lang w:val="ru-RU"/>
        </w:rPr>
        <w:t>».</w:t>
      </w:r>
    </w:p>
    <w:p w:rsidR="005B13C8" w:rsidRPr="00973220" w:rsidRDefault="005B13C8" w:rsidP="005B13C8">
      <w:pPr>
        <w:pStyle w:val="SingleTxtG"/>
        <w:rPr>
          <w:lang w:val="ru-RU"/>
        </w:rPr>
      </w:pPr>
      <w:r>
        <w:rPr>
          <w:lang w:val="ru-RU"/>
        </w:rPr>
        <w:t>7.1.4.1.3</w:t>
      </w:r>
      <w:r>
        <w:rPr>
          <w:lang w:val="ru-RU"/>
        </w:rPr>
        <w:tab/>
        <w:t>Таблица (см. страницы 4–6 настоящего документа).</w:t>
      </w:r>
    </w:p>
    <w:p w:rsidR="005B13C8" w:rsidRPr="00973220" w:rsidRDefault="005B13C8" w:rsidP="005B13C8">
      <w:pPr>
        <w:pStyle w:val="SingleTxtG"/>
        <w:rPr>
          <w:lang w:val="ru-RU"/>
        </w:rPr>
      </w:pPr>
      <w:r>
        <w:rPr>
          <w:lang w:val="ru-RU"/>
        </w:rPr>
        <w:t>Пункты 7.1.4.1.4–7.1.4.1.6 остаются без изменений.</w:t>
      </w:r>
    </w:p>
    <w:p w:rsidR="005B13C8" w:rsidRPr="00973220" w:rsidRDefault="005B13C8" w:rsidP="00C355F6">
      <w:pPr>
        <w:pStyle w:val="H1G"/>
        <w:pageBreakBefore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При</w:t>
      </w:r>
      <w:r>
        <w:rPr>
          <w:bCs/>
          <w:lang w:val="ru-RU"/>
        </w:rPr>
        <w:t>мечания</w:t>
      </w:r>
    </w:p>
    <w:p w:rsidR="005B13C8" w:rsidRPr="00973220" w:rsidRDefault="005B13C8" w:rsidP="005B13C8">
      <w:pPr>
        <w:pStyle w:val="SingleTxtG"/>
        <w:ind w:left="1701" w:hanging="567"/>
        <w:rPr>
          <w:lang w:val="ru-RU"/>
        </w:rPr>
      </w:pPr>
      <w:r w:rsidRPr="00D53222">
        <w:rPr>
          <w:vertAlign w:val="superscript"/>
          <w:lang w:val="ru-RU"/>
        </w:rPr>
        <w:t>1)</w:t>
      </w:r>
      <w:r>
        <w:rPr>
          <w:lang w:val="ru-RU"/>
        </w:rPr>
        <w:tab/>
        <w:t>Добавление слова «некоторые» позволяет сразу указать, что к каждому классу могут применяться различные предписания.</w:t>
      </w:r>
    </w:p>
    <w:p w:rsidR="005B13C8" w:rsidRPr="00973220" w:rsidRDefault="005B13C8" w:rsidP="005B13C8">
      <w:pPr>
        <w:pStyle w:val="SingleTxtG"/>
        <w:ind w:left="1701" w:hanging="567"/>
        <w:rPr>
          <w:lang w:val="ru-RU"/>
        </w:rPr>
      </w:pPr>
      <w:r w:rsidRPr="00892593">
        <w:rPr>
          <w:vertAlign w:val="superscript"/>
          <w:lang w:val="ru-RU"/>
        </w:rPr>
        <w:t>2)</w:t>
      </w:r>
      <w:r>
        <w:rPr>
          <w:lang w:val="ru-RU"/>
        </w:rPr>
        <w:tab/>
        <w:t>Новые ограничения перевозимых количеств, предложенные в таблице, содержащейся в пункте 7.1.4.1.3, применяются также к грузам класса 1. Следовательно, класс 1 должен быть упомянут во вступительном тексте нового подраздела 7.1.4.1.</w:t>
      </w:r>
    </w:p>
    <w:p w:rsidR="005B13C8" w:rsidRPr="00973220" w:rsidRDefault="005B13C8" w:rsidP="005B13C8">
      <w:pPr>
        <w:pStyle w:val="SingleTxtG"/>
        <w:ind w:left="1701" w:hanging="567"/>
        <w:rPr>
          <w:lang w:val="ru-RU"/>
        </w:rPr>
      </w:pPr>
      <w:r w:rsidRPr="00892593">
        <w:rPr>
          <w:vertAlign w:val="superscript"/>
          <w:lang w:val="ru-RU"/>
        </w:rPr>
        <w:t>3)</w:t>
      </w:r>
      <w:r>
        <w:rPr>
          <w:lang w:val="ru-RU"/>
        </w:rPr>
        <w:tab/>
        <w:t>В версии ВОПОГ 2017 года грузы класса 1 в пункте 7.1.4.1.3 не упоминаются. Следовательно, судам с двойным корпусом, которые удовлетворяют дополнительным правилам постройки, изложенным в подразделах 9.1.0.88–9.1.0.95 или 9.2.0.88–9.2.0.95, не разрешается перевозить грузы класса 1 без ограничений их количества. Эти суда должны соблюдать ограничения количеств, указанные в нынешнем пункте 7.1.4.1.1 или в пункте 7.1.4.1.3 настоящего предложения.</w:t>
      </w:r>
    </w:p>
    <w:p w:rsidR="005B13C8" w:rsidRPr="00973220" w:rsidRDefault="005B13C8" w:rsidP="005B13C8">
      <w:pPr>
        <w:pStyle w:val="SingleTxtG"/>
        <w:ind w:left="1701" w:hanging="567"/>
        <w:rPr>
          <w:lang w:val="ru-RU"/>
        </w:rPr>
      </w:pPr>
      <w:r w:rsidRPr="00892593">
        <w:rPr>
          <w:vertAlign w:val="superscript"/>
          <w:lang w:val="ru-RU"/>
        </w:rPr>
        <w:t>4)</w:t>
      </w:r>
      <w:r>
        <w:rPr>
          <w:lang w:val="ru-RU"/>
        </w:rPr>
        <w:tab/>
        <w:t>Использование термина «Без ограничений» в этом контексте</w:t>
      </w:r>
      <w:r w:rsidRPr="00EB7000">
        <w:rPr>
          <w:lang w:val="ru-RU"/>
        </w:rPr>
        <w:t xml:space="preserve"> </w:t>
      </w:r>
      <w:r>
        <w:rPr>
          <w:lang w:val="ru-RU"/>
        </w:rPr>
        <w:t>означает, что в этих случаях допускаются количества, превышающие 1 100 000 кг.</w:t>
      </w:r>
    </w:p>
    <w:p w:rsidR="005B13C8" w:rsidRPr="00973220" w:rsidRDefault="005B13C8" w:rsidP="005B13C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Замечание для секретариата</w:t>
      </w:r>
    </w:p>
    <w:p w:rsidR="005B13C8" w:rsidRDefault="005B13C8" w:rsidP="005B13C8">
      <w:pPr>
        <w:pStyle w:val="SingleTxtGR"/>
      </w:pPr>
      <w:r>
        <w:t>6.</w:t>
      </w:r>
      <w:r>
        <w:tab/>
        <w:t xml:space="preserve">В примечаниях 1–4 содержатся разъяснения, предназначенные для того, чтобы облегчить понимание нового текста. Они </w:t>
      </w:r>
      <w:r>
        <w:rPr>
          <w:u w:val="single"/>
        </w:rPr>
        <w:t>не</w:t>
      </w:r>
      <w:r>
        <w:t xml:space="preserve"> предназначены для того, чтобы быть напечатанными в ВОПОГ.</w:t>
      </w:r>
    </w:p>
    <w:p w:rsidR="003C7EFA" w:rsidRDefault="003C7EFA">
      <w:pPr>
        <w:suppressAutoHyphens w:val="0"/>
        <w:spacing w:line="240" w:lineRule="auto"/>
        <w:sectPr w:rsidR="003C7EFA" w:rsidSect="005B13C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3C7EFA" w:rsidRDefault="003C7EFA" w:rsidP="003C7EFA">
      <w:pPr>
        <w:suppressAutoHyphens w:val="0"/>
        <w:spacing w:after="240" w:line="240" w:lineRule="auto"/>
      </w:pPr>
      <w:r>
        <w:lastRenderedPageBreak/>
        <w:t>7.1.4.1.3</w:t>
      </w:r>
      <w:r>
        <w:tab/>
        <w:t>Ограничения количеств</w:t>
      </w:r>
    </w:p>
    <w:tbl>
      <w:tblPr>
        <w:tblStyle w:val="TableGrid1"/>
        <w:tblW w:w="1389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17"/>
        <w:gridCol w:w="9367"/>
        <w:gridCol w:w="453"/>
        <w:gridCol w:w="454"/>
        <w:gridCol w:w="453"/>
        <w:gridCol w:w="453"/>
        <w:gridCol w:w="526"/>
        <w:gridCol w:w="490"/>
        <w:gridCol w:w="490"/>
        <w:gridCol w:w="490"/>
      </w:tblGrid>
      <w:tr w:rsidR="003C7EFA" w:rsidRPr="0055461B" w:rsidTr="00275451">
        <w:trPr>
          <w:trHeight w:hRule="exact" w:val="398"/>
          <w:tblHeader/>
        </w:trPr>
        <w:tc>
          <w:tcPr>
            <w:tcW w:w="717" w:type="dxa"/>
          </w:tcPr>
          <w:p w:rsidR="003C7EFA" w:rsidRPr="00275451" w:rsidRDefault="003C7EFA" w:rsidP="00275451">
            <w:pPr>
              <w:suppressAutoHyphens w:val="0"/>
              <w:spacing w:before="80" w:after="80" w:line="240" w:lineRule="auto"/>
              <w:ind w:left="-40"/>
              <w:jc w:val="center"/>
              <w:rPr>
                <w:b/>
                <w:sz w:val="16"/>
                <w:szCs w:val="16"/>
              </w:rPr>
            </w:pPr>
            <w:r w:rsidRPr="00275451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suppressAutoHyphens w:val="0"/>
              <w:spacing w:before="80" w:after="80" w:line="240" w:lineRule="auto"/>
              <w:rPr>
                <w:b/>
                <w:sz w:val="16"/>
                <w:szCs w:val="16"/>
              </w:rPr>
            </w:pPr>
            <w:r w:rsidRPr="00275451">
              <w:rPr>
                <w:b/>
                <w:bCs/>
                <w:sz w:val="16"/>
                <w:szCs w:val="16"/>
              </w:rPr>
              <w:t>Описание</w:t>
            </w:r>
          </w:p>
        </w:tc>
        <w:tc>
          <w:tcPr>
            <w:tcW w:w="3808" w:type="dxa"/>
            <w:gridSpan w:val="8"/>
          </w:tcPr>
          <w:p w:rsidR="003C7EFA" w:rsidRPr="00275451" w:rsidRDefault="003C7EFA" w:rsidP="00275451">
            <w:pPr>
              <w:suppressAutoHyphens w:val="0"/>
              <w:spacing w:before="80" w:after="80" w:line="240" w:lineRule="auto"/>
              <w:jc w:val="center"/>
              <w:rPr>
                <w:b/>
                <w:sz w:val="16"/>
                <w:szCs w:val="16"/>
              </w:rPr>
            </w:pPr>
            <w:r w:rsidRPr="00275451">
              <w:rPr>
                <w:b/>
                <w:bCs/>
                <w:sz w:val="16"/>
                <w:szCs w:val="16"/>
              </w:rPr>
              <w:t>Масса брутто на борту судна</w:t>
            </w:r>
          </w:p>
        </w:tc>
      </w:tr>
      <w:tr w:rsidR="00275451" w:rsidRPr="00C44F8C" w:rsidTr="00275451">
        <w:trPr>
          <w:cantSplit/>
          <w:trHeight w:hRule="exact" w:val="1411"/>
          <w:tblHeader/>
        </w:trPr>
        <w:tc>
          <w:tcPr>
            <w:tcW w:w="717" w:type="dxa"/>
          </w:tcPr>
          <w:p w:rsidR="003C7EFA" w:rsidRPr="00275451" w:rsidRDefault="003C7EFA" w:rsidP="00275451">
            <w:pPr>
              <w:suppressAutoHyphens w:val="0"/>
              <w:spacing w:line="240" w:lineRule="auto"/>
              <w:ind w:left="-111"/>
              <w:rPr>
                <w:sz w:val="16"/>
                <w:szCs w:val="16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" w:type="dxa"/>
            <w:textDirection w:val="btLr"/>
            <w:vAlign w:val="center"/>
          </w:tcPr>
          <w:p w:rsidR="003C7EFA" w:rsidRPr="00275451" w:rsidRDefault="003C7EFA" w:rsidP="00275451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75451">
              <w:rPr>
                <w:sz w:val="16"/>
                <w:szCs w:val="16"/>
              </w:rPr>
              <w:t>0 кг</w:t>
            </w:r>
          </w:p>
        </w:tc>
        <w:tc>
          <w:tcPr>
            <w:tcW w:w="454" w:type="dxa"/>
            <w:textDirection w:val="btLr"/>
            <w:vAlign w:val="center"/>
          </w:tcPr>
          <w:p w:rsidR="003C7EFA" w:rsidRPr="00275451" w:rsidRDefault="003C7EFA" w:rsidP="00275451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75451">
              <w:rPr>
                <w:sz w:val="16"/>
                <w:szCs w:val="16"/>
              </w:rPr>
              <w:t>90 кг</w:t>
            </w:r>
          </w:p>
        </w:tc>
        <w:tc>
          <w:tcPr>
            <w:tcW w:w="453" w:type="dxa"/>
            <w:textDirection w:val="btLr"/>
            <w:vAlign w:val="center"/>
          </w:tcPr>
          <w:p w:rsidR="003C7EFA" w:rsidRPr="00275451" w:rsidRDefault="003C7EFA" w:rsidP="00275451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75451">
              <w:rPr>
                <w:sz w:val="16"/>
                <w:szCs w:val="16"/>
              </w:rPr>
              <w:t>15 000 кг</w:t>
            </w:r>
          </w:p>
        </w:tc>
        <w:tc>
          <w:tcPr>
            <w:tcW w:w="453" w:type="dxa"/>
            <w:textDirection w:val="btLr"/>
            <w:vAlign w:val="center"/>
          </w:tcPr>
          <w:p w:rsidR="003C7EFA" w:rsidRPr="00275451" w:rsidRDefault="003C7EFA" w:rsidP="00275451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75451">
              <w:rPr>
                <w:sz w:val="16"/>
                <w:szCs w:val="16"/>
              </w:rPr>
              <w:t>50 000 кг</w:t>
            </w:r>
          </w:p>
        </w:tc>
        <w:tc>
          <w:tcPr>
            <w:tcW w:w="526" w:type="dxa"/>
            <w:textDirection w:val="btLr"/>
            <w:vAlign w:val="center"/>
          </w:tcPr>
          <w:p w:rsidR="003C7EFA" w:rsidRPr="00275451" w:rsidRDefault="003C7EFA" w:rsidP="00275451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75451">
              <w:rPr>
                <w:sz w:val="16"/>
                <w:szCs w:val="16"/>
              </w:rPr>
              <w:t>120 000 кг</w:t>
            </w:r>
          </w:p>
        </w:tc>
        <w:tc>
          <w:tcPr>
            <w:tcW w:w="490" w:type="dxa"/>
            <w:textDirection w:val="btLr"/>
            <w:vAlign w:val="center"/>
          </w:tcPr>
          <w:p w:rsidR="003C7EFA" w:rsidRPr="00275451" w:rsidRDefault="003C7EFA" w:rsidP="00275451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75451">
              <w:rPr>
                <w:sz w:val="16"/>
                <w:szCs w:val="16"/>
              </w:rPr>
              <w:t>300 000 кг</w:t>
            </w:r>
          </w:p>
        </w:tc>
        <w:tc>
          <w:tcPr>
            <w:tcW w:w="490" w:type="dxa"/>
            <w:textDirection w:val="btLr"/>
            <w:vAlign w:val="center"/>
          </w:tcPr>
          <w:p w:rsidR="003C7EFA" w:rsidRPr="00275451" w:rsidRDefault="003C7EFA" w:rsidP="00275451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75451">
              <w:rPr>
                <w:sz w:val="16"/>
                <w:szCs w:val="16"/>
              </w:rPr>
              <w:t>1 100 000 кг</w:t>
            </w:r>
          </w:p>
        </w:tc>
        <w:tc>
          <w:tcPr>
            <w:tcW w:w="490" w:type="dxa"/>
            <w:textDirection w:val="btLr"/>
            <w:vAlign w:val="center"/>
          </w:tcPr>
          <w:p w:rsidR="003C7EFA" w:rsidRPr="00275451" w:rsidRDefault="003C7EFA" w:rsidP="00275451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75451">
              <w:rPr>
                <w:sz w:val="16"/>
                <w:szCs w:val="16"/>
              </w:rPr>
              <w:t>Без ограничений</w:t>
            </w: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  <w:vertAlign w:val="superscript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вещества и изделия подкласса 1.1 группы совместимости А</w:t>
            </w:r>
            <w:r w:rsidRPr="00275451">
              <w:rPr>
                <w:rFonts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  <w:tcBorders>
              <w:right w:val="single" w:sz="6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  <w:vertAlign w:val="superscript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вещества и изделия подкласса 1.1 групп совместимости B, C, D, E, F, G, J или L</w:t>
            </w:r>
            <w:r w:rsidRPr="00275451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  <w:tcBorders>
              <w:right w:val="single" w:sz="6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вещества и изделия подкласса 1.2 групп совместимости B, C, D, E, F, G, Н, J или L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  <w:tcBorders>
              <w:right w:val="single" w:sz="6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  <w:vertAlign w:val="superscript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вещества и изделия подкласса 1.3 групп совместимости C, G, H, J или L</w:t>
            </w:r>
            <w:r w:rsidRPr="00275451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  <w:tcBorders>
              <w:right w:val="single" w:sz="6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вещества и изделия подкласса 1.4 групп совместимости B, C, D, E, F, G или S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  <w:tcBorders>
              <w:right w:val="single" w:sz="6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  <w:vertAlign w:val="superscript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вещества подкласса 1.5 группы совместимости D</w:t>
            </w:r>
            <w:r w:rsidRPr="00275451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  <w:tcBorders>
              <w:right w:val="single" w:sz="6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  <w:vertAlign w:val="superscript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изделия подкласса 1.6 группы совместимости N</w:t>
            </w:r>
            <w:r w:rsidRPr="00275451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  <w:tcBorders>
              <w:right w:val="single" w:sz="6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Неочищенная порожняя тара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55461B" w:rsidTr="00275451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731" w:hanging="731"/>
              <w:rPr>
                <w:rFonts w:eastAsia="Calibri" w:cs="Times New Roman"/>
                <w:b/>
                <w:bCs/>
                <w:i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ПРИМЕЧАНИЕ:</w:t>
            </w:r>
          </w:p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731" w:hanging="731"/>
              <w:rPr>
                <w:rFonts w:eastAsia="Calibri" w:cs="Times New Roman"/>
                <w:i/>
                <w:sz w:val="18"/>
                <w:szCs w:val="18"/>
              </w:rPr>
            </w:pPr>
            <w:r w:rsidRPr="00275451"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  <w:t>1)</w:t>
            </w:r>
            <w:r w:rsidRPr="00275451">
              <w:rPr>
                <w:rFonts w:cs="Times New Roman"/>
                <w:i/>
                <w:iCs/>
                <w:sz w:val="18"/>
                <w:szCs w:val="18"/>
              </w:rPr>
              <w:t xml:space="preserve"> По меньшей мере в трех партиях по 30 кг каждая максимум; расстояние между партиями – не менее 10,00 м.</w:t>
            </w:r>
          </w:p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731" w:hanging="731"/>
              <w:rPr>
                <w:rFonts w:eastAsia="Calibri" w:cs="Times New Roman"/>
                <w:i/>
                <w:sz w:val="18"/>
                <w:szCs w:val="18"/>
              </w:rPr>
            </w:pPr>
            <w:r w:rsidRPr="00275451"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  <w:t>2)</w:t>
            </w:r>
            <w:r w:rsidRPr="00275451">
              <w:rPr>
                <w:rFonts w:cs="Times New Roman"/>
                <w:i/>
                <w:iCs/>
                <w:sz w:val="18"/>
                <w:szCs w:val="18"/>
              </w:rPr>
              <w:t xml:space="preserve"> По меньшей мере в трех партиях по 5 000 кг каждая максимум; расстояние между партиями – не менее 10,00 м.</w:t>
            </w:r>
          </w:p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731" w:hanging="731"/>
              <w:rPr>
                <w:rFonts w:cs="Times New Roman"/>
                <w:i/>
                <w:sz w:val="18"/>
                <w:szCs w:val="18"/>
              </w:rPr>
            </w:pPr>
            <w:r w:rsidRPr="00275451"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  <w:t>3)</w:t>
            </w:r>
            <w:r w:rsidRPr="00275451">
              <w:rPr>
                <w:rFonts w:cs="Times New Roman"/>
                <w:i/>
                <w:iCs/>
                <w:sz w:val="18"/>
                <w:szCs w:val="18"/>
              </w:rPr>
              <w:t xml:space="preserve"> Не более 100 000 кг на один трюм.</w:t>
            </w:r>
            <w:r w:rsidRPr="00275451">
              <w:rPr>
                <w:rFonts w:cs="Times New Roman"/>
                <w:sz w:val="18"/>
                <w:szCs w:val="18"/>
              </w:rPr>
              <w:t xml:space="preserve"> </w:t>
            </w:r>
            <w:r w:rsidRPr="00275451">
              <w:rPr>
                <w:rFonts w:cs="Times New Roman"/>
                <w:i/>
                <w:iCs/>
                <w:sz w:val="18"/>
                <w:szCs w:val="18"/>
              </w:rPr>
              <w:t>Для разделения трюма допускается использование деревянной переборки.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грузы, для которых в колонке 5 таблицы А главы 3.2 предписан знак образца № 2.1: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грузы, для которых в колонке 5 таблицы А главы 3.2 предписан знак образца № 2.3: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Другие грузы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 группы упаковки I или II, для которых в колонке 5 таблицы А главы 3.2 предписан знак образца № 6.1: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Другие грузы: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pageBreakBefore/>
              <w:suppressAutoHyphens w:val="0"/>
              <w:spacing w:before="20" w:after="20" w:line="200" w:lineRule="exact"/>
              <w:ind w:left="-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lastRenderedPageBreak/>
              <w:t>4.1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№ ООН 3221, 3222, 3231 и 3232: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eastAsia="Calibri"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 группы упаковки I;</w:t>
            </w:r>
          </w:p>
          <w:p w:rsidR="003C7EFA" w:rsidRPr="00275451" w:rsidRDefault="003C7EFA" w:rsidP="00275451">
            <w:pPr>
              <w:spacing w:before="20" w:after="20" w:line="200" w:lineRule="exact"/>
              <w:rPr>
                <w:rFonts w:eastAsia="Calibri"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 группы упаковки II, для которых в колонке 5 таблицы А главы 3.2 предписан знак образца № 6.1;</w:t>
            </w:r>
          </w:p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eastAsia="Calibri"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Самореактивные вещества типов C, D, E и F (№ ООН 3223–3230 и 3233–</w:t>
            </w:r>
            <w:r w:rsidR="00275451">
              <w:rPr>
                <w:rFonts w:cs="Times New Roman"/>
                <w:sz w:val="18"/>
                <w:szCs w:val="18"/>
              </w:rPr>
              <w:t>3240);</w:t>
            </w:r>
          </w:p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eastAsia="Calibri"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другие вещества с классификационным кодом SR1 или SR2 (№ ООН 2956, 3241, 3242 и 3251);</w:t>
            </w:r>
          </w:p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и десенсибилизированные взрывчатые вещества группы упаковки II (№ ООН 2907, 3319 и 3344):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Другие грузы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 группы упаковки I или II, для которых в колонке 5 таблицы А главы 3.2 предписан знак образца № 6.1: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Другие грузы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 группы упаковки I или II, для которых в колонке 5 таблицы А главы 3.2 предписан знак образца</w:t>
            </w:r>
            <w:r w:rsidR="00275451">
              <w:rPr>
                <w:rFonts w:cs="Times New Roman"/>
                <w:sz w:val="18"/>
                <w:szCs w:val="18"/>
              </w:rPr>
              <w:t xml:space="preserve"> № 3, 4.1</w:t>
            </w:r>
            <w:r w:rsidR="00275451">
              <w:rPr>
                <w:rFonts w:cs="Times New Roman"/>
                <w:sz w:val="18"/>
                <w:szCs w:val="18"/>
              </w:rPr>
              <w:br/>
            </w:r>
            <w:r w:rsidRPr="00275451">
              <w:rPr>
                <w:rFonts w:cs="Times New Roman"/>
                <w:sz w:val="18"/>
                <w:szCs w:val="18"/>
              </w:rPr>
              <w:t>или 6.1: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Другие грузы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 группы упаковки I или II, для которых в колонке 5 таблицы А главы 3.2 предписан знак образца</w:t>
            </w:r>
            <w:r w:rsidR="00275451">
              <w:rPr>
                <w:rFonts w:cs="Times New Roman"/>
                <w:sz w:val="18"/>
                <w:szCs w:val="18"/>
              </w:rPr>
              <w:t xml:space="preserve"> № 6.1: </w:t>
            </w:r>
            <w:r w:rsidRPr="00275451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Другие грузы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№ ООН 3101, 3102, 3111 и 3112: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Другие грузы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 группы упаковки I: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 группы упаковки II: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грузы, перевозимые навалом/насыпью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Другие грузы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№ ООН 2912, 2913, 2915, 2916, 2917, 2919, 2977, 2978 и 3321–3333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Другие грузы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eastAsia="Calibri"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 группы упаковки I;</w:t>
            </w:r>
          </w:p>
          <w:p w:rsidR="003C7EFA" w:rsidRPr="00275451" w:rsidRDefault="003C7EFA" w:rsidP="00275451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 группы упаковки I или II, для которых в колонке 5 таблицы А главы 3.2 предписан знак образца № 3 или 6.1: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Другие грузы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75451" w:rsidRPr="00C44F8C" w:rsidTr="00275451">
        <w:tc>
          <w:tcPr>
            <w:tcW w:w="717" w:type="dxa"/>
            <w:tcBorders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5451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Все грузы группы упаковки II: всего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  <w:bottom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C355F6">
            <w:pPr>
              <w:suppressAutoHyphens w:val="0"/>
              <w:spacing w:before="20" w:after="20" w:line="200" w:lineRule="exact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№ ООН 3077 </w:t>
            </w:r>
            <w:r w:rsidR="00C355F6">
              <w:rPr>
                <w:rFonts w:cs="Times New Roman"/>
                <w:sz w:val="18"/>
                <w:szCs w:val="18"/>
              </w:rPr>
              <w:t>–</w:t>
            </w:r>
            <w:r w:rsidRPr="00275451">
              <w:rPr>
                <w:rFonts w:cs="Times New Roman"/>
                <w:sz w:val="18"/>
                <w:szCs w:val="18"/>
              </w:rPr>
              <w:t xml:space="preserve"> для грузов, перевозимых навалом/насыпью и классифицированных в качестве опасных для водной среды, отнесенных к категории острой токсичности 1 или хронической токсичности 1 </w:t>
            </w:r>
            <w:r w:rsidR="0026763F">
              <w:rPr>
                <w:rFonts w:cs="Times New Roman"/>
                <w:sz w:val="18"/>
                <w:szCs w:val="18"/>
              </w:rPr>
              <w:t>в соответствии с разделом 2.4.3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75451" w:rsidRPr="00C44F8C" w:rsidTr="00275451">
        <w:tc>
          <w:tcPr>
            <w:tcW w:w="717" w:type="dxa"/>
            <w:tcBorders>
              <w:top w:val="nil"/>
            </w:tcBorders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ind w:left="-11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7" w:type="dxa"/>
          </w:tcPr>
          <w:p w:rsidR="003C7EFA" w:rsidRPr="00275451" w:rsidRDefault="003C7EFA" w:rsidP="00275451">
            <w:pPr>
              <w:tabs>
                <w:tab w:val="left" w:pos="-340"/>
                <w:tab w:val="left" w:pos="141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Другие грузы</w:t>
            </w: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3C7EFA" w:rsidRPr="00275451" w:rsidRDefault="003C7EFA" w:rsidP="00275451">
            <w:pPr>
              <w:suppressAutoHyphens w:val="0"/>
              <w:spacing w:before="20" w:after="2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5451"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:rsidR="003C7EFA" w:rsidRPr="00275451" w:rsidRDefault="00275451" w:rsidP="0027545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7EFA" w:rsidRPr="00275451" w:rsidSect="003C7EFA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56" w:rsidRPr="00A312BC" w:rsidRDefault="00D90456" w:rsidP="00A312BC"/>
  </w:endnote>
  <w:endnote w:type="continuationSeparator" w:id="0">
    <w:p w:rsidR="00D90456" w:rsidRPr="00A312BC" w:rsidRDefault="00D904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C8" w:rsidRPr="005B13C8" w:rsidRDefault="005B13C8">
    <w:pPr>
      <w:pStyle w:val="Footer"/>
    </w:pPr>
    <w:r w:rsidRPr="005B13C8">
      <w:rPr>
        <w:b/>
        <w:sz w:val="18"/>
      </w:rPr>
      <w:fldChar w:fldCharType="begin"/>
    </w:r>
    <w:r w:rsidRPr="005B13C8">
      <w:rPr>
        <w:b/>
        <w:sz w:val="18"/>
      </w:rPr>
      <w:instrText xml:space="preserve"> PAGE  \* MERGEFORMAT </w:instrText>
    </w:r>
    <w:r w:rsidRPr="005B13C8">
      <w:rPr>
        <w:b/>
        <w:sz w:val="18"/>
      </w:rPr>
      <w:fldChar w:fldCharType="separate"/>
    </w:r>
    <w:r w:rsidR="00DB0F11">
      <w:rPr>
        <w:b/>
        <w:noProof/>
        <w:sz w:val="18"/>
      </w:rPr>
      <w:t>2</w:t>
    </w:r>
    <w:r w:rsidRPr="005B13C8">
      <w:rPr>
        <w:b/>
        <w:sz w:val="18"/>
      </w:rPr>
      <w:fldChar w:fldCharType="end"/>
    </w:r>
    <w:r>
      <w:rPr>
        <w:b/>
        <w:sz w:val="18"/>
      </w:rPr>
      <w:tab/>
    </w:r>
    <w:r>
      <w:t>GE.18-09609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C8" w:rsidRPr="005B13C8" w:rsidRDefault="005B13C8" w:rsidP="005B13C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GE.18-09609</w:t>
    </w:r>
    <w:r>
      <w:tab/>
    </w:r>
    <w:r w:rsidRPr="005B13C8">
      <w:rPr>
        <w:b/>
        <w:sz w:val="18"/>
      </w:rPr>
      <w:fldChar w:fldCharType="begin"/>
    </w:r>
    <w:r w:rsidRPr="005B13C8">
      <w:rPr>
        <w:b/>
        <w:sz w:val="18"/>
      </w:rPr>
      <w:instrText xml:space="preserve"> PAGE  \* MERGEFORMAT </w:instrText>
    </w:r>
    <w:r w:rsidRPr="005B13C8">
      <w:rPr>
        <w:b/>
        <w:sz w:val="18"/>
      </w:rPr>
      <w:fldChar w:fldCharType="separate"/>
    </w:r>
    <w:r w:rsidR="00DB0F11">
      <w:rPr>
        <w:b/>
        <w:noProof/>
        <w:sz w:val="18"/>
      </w:rPr>
      <w:t>3</w:t>
    </w:r>
    <w:r w:rsidRPr="005B13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B13C8" w:rsidRDefault="005B13C8" w:rsidP="005B13C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18-09609  (R)</w:t>
    </w:r>
    <w:r>
      <w:rPr>
        <w:lang w:val="en-US"/>
      </w:rPr>
      <w:t xml:space="preserve">  200618  200618</w:t>
    </w:r>
    <w:r>
      <w:br/>
    </w:r>
    <w:r w:rsidRPr="005B13C8">
      <w:rPr>
        <w:rFonts w:ascii="C39T30Lfz" w:hAnsi="C39T30Lfz"/>
        <w:kern w:val="14"/>
        <w:sz w:val="56"/>
      </w:rPr>
      <w:t></w:t>
    </w:r>
    <w:r w:rsidRPr="005B13C8">
      <w:rPr>
        <w:rFonts w:ascii="C39T30Lfz" w:hAnsi="C39T30Lfz"/>
        <w:kern w:val="14"/>
        <w:sz w:val="56"/>
      </w:rPr>
      <w:t></w:t>
    </w:r>
    <w:r w:rsidRPr="005B13C8">
      <w:rPr>
        <w:rFonts w:ascii="C39T30Lfz" w:hAnsi="C39T30Lfz"/>
        <w:kern w:val="14"/>
        <w:sz w:val="56"/>
      </w:rPr>
      <w:t></w:t>
    </w:r>
    <w:r w:rsidRPr="005B13C8">
      <w:rPr>
        <w:rFonts w:ascii="C39T30Lfz" w:hAnsi="C39T30Lfz"/>
        <w:kern w:val="14"/>
        <w:sz w:val="56"/>
      </w:rPr>
      <w:t></w:t>
    </w:r>
    <w:r w:rsidRPr="005B13C8">
      <w:rPr>
        <w:rFonts w:ascii="C39T30Lfz" w:hAnsi="C39T30Lfz"/>
        <w:kern w:val="14"/>
        <w:sz w:val="56"/>
      </w:rPr>
      <w:t></w:t>
    </w:r>
    <w:r w:rsidRPr="005B13C8">
      <w:rPr>
        <w:rFonts w:ascii="C39T30Lfz" w:hAnsi="C39T30Lfz"/>
        <w:kern w:val="14"/>
        <w:sz w:val="56"/>
      </w:rPr>
      <w:t></w:t>
    </w:r>
    <w:r w:rsidRPr="005B13C8">
      <w:rPr>
        <w:rFonts w:ascii="C39T30Lfz" w:hAnsi="C39T30Lfz"/>
        <w:kern w:val="14"/>
        <w:sz w:val="56"/>
      </w:rPr>
      <w:t></w:t>
    </w:r>
    <w:r w:rsidRPr="005B13C8">
      <w:rPr>
        <w:rFonts w:ascii="C39T30Lfz" w:hAnsi="C39T30Lfz"/>
        <w:kern w:val="14"/>
        <w:sz w:val="56"/>
      </w:rPr>
      <w:t></w:t>
    </w:r>
    <w:r w:rsidRPr="005B13C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4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EFA" w:rsidRPr="003C7EFA" w:rsidRDefault="003C7EFA" w:rsidP="003C7EFA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3C7EFA" w:rsidRPr="005B13C8" w:rsidRDefault="003C7EFA" w:rsidP="003C7EFA">
                          <w:pPr>
                            <w:pStyle w:val="Footer"/>
                          </w:pPr>
                          <w:r w:rsidRPr="005B13C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5B13C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5B13C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B0F11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5B13C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GE.18-09609</w:t>
                          </w:r>
                        </w:p>
                        <w:p w:rsidR="003C7EFA" w:rsidRDefault="003C7EF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4N8Vk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3C7EFA" w:rsidRPr="005B13C8" w:rsidRDefault="003C7EFA" w:rsidP="003C7EFA">
                    <w:pPr>
                      <w:pStyle w:val="Footer"/>
                    </w:pPr>
                    <w:r w:rsidRPr="005B13C8">
                      <w:rPr>
                        <w:b/>
                        <w:sz w:val="18"/>
                      </w:rPr>
                      <w:fldChar w:fldCharType="begin"/>
                    </w:r>
                    <w:r w:rsidRPr="005B13C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5B13C8">
                      <w:rPr>
                        <w:b/>
                        <w:sz w:val="18"/>
                      </w:rPr>
                      <w:fldChar w:fldCharType="separate"/>
                    </w:r>
                    <w:r w:rsidR="00DB0F11">
                      <w:rPr>
                        <w:b/>
                        <w:noProof/>
                        <w:sz w:val="18"/>
                      </w:rPr>
                      <w:t>4</w:t>
                    </w:r>
                    <w:r w:rsidRPr="005B13C8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GE.18-09609</w:t>
                    </w:r>
                  </w:p>
                  <w:p w:rsidR="003C7EFA" w:rsidRDefault="003C7EF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EFA" w:rsidRPr="003C7EFA" w:rsidRDefault="003C7EFA" w:rsidP="003C7EFA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3C7EFA" w:rsidRPr="005B13C8" w:rsidRDefault="003C7EFA" w:rsidP="003C7EFA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GE.18-09609</w:t>
                          </w:r>
                          <w:r>
                            <w:tab/>
                          </w:r>
                          <w:r w:rsidRPr="005B13C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5B13C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5B13C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B0F11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 w:rsidRPr="005B13C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3C7EFA" w:rsidRDefault="003C7EF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R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tss2uZqS6u0UlWg+GgmDN8UiPlY+b8GbMYQDjEUPWnWEqpQQ69liiptH3/u/Ogn9Owgk0YaCDq&#10;uzmz4JZ8rTAxYNJ3gu2EaSeoeXOo0TNZjCaKeGC97MTS6uYSs3Y/eMEVUxyR5BTeWvHQt2MVs5qL&#10;/f2ohBlnmD9W54YH04GXobQXy0tmzbrDPdA70d2oY+MHjd7qhpdK78+9Lus4BQKuLYpAPmwwH2MN&#10;1rM8DOBf91Hr7o+z+x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Okr9R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3C7EFA" w:rsidRPr="005B13C8" w:rsidRDefault="003C7EFA" w:rsidP="003C7EFA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GE.18-09609</w:t>
                    </w:r>
                    <w:r>
                      <w:tab/>
                    </w:r>
                    <w:r w:rsidRPr="005B13C8">
                      <w:rPr>
                        <w:b/>
                        <w:sz w:val="18"/>
                      </w:rPr>
                      <w:fldChar w:fldCharType="begin"/>
                    </w:r>
                    <w:r w:rsidRPr="005B13C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5B13C8">
                      <w:rPr>
                        <w:b/>
                        <w:sz w:val="18"/>
                      </w:rPr>
                      <w:fldChar w:fldCharType="separate"/>
                    </w:r>
                    <w:r w:rsidR="00DB0F11">
                      <w:rPr>
                        <w:b/>
                        <w:noProof/>
                        <w:sz w:val="18"/>
                      </w:rPr>
                      <w:t>5</w:t>
                    </w:r>
                    <w:r w:rsidRPr="005B13C8">
                      <w:rPr>
                        <w:b/>
                        <w:sz w:val="18"/>
                      </w:rPr>
                      <w:fldChar w:fldCharType="end"/>
                    </w:r>
                  </w:p>
                  <w:p w:rsidR="003C7EFA" w:rsidRDefault="003C7EFA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56" w:rsidRPr="001075E9" w:rsidRDefault="00D904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0456" w:rsidRDefault="00D904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B13C8" w:rsidRPr="00973220" w:rsidRDefault="005B13C8" w:rsidP="005B13C8">
      <w:pPr>
        <w:pStyle w:val="FootnoteText"/>
      </w:pPr>
      <w:r>
        <w:tab/>
        <w:t>*</w:t>
      </w:r>
      <w:r>
        <w:tab/>
        <w:t>Распространено на немецком языке Центральной комиссией судоходства по Рейну под условным обозначением CCNR/ZKR/ADN/WP.15/AC.2/2018/45.</w:t>
      </w:r>
    </w:p>
  </w:footnote>
  <w:footnote w:id="2">
    <w:p w:rsidR="005B13C8" w:rsidRPr="00973220" w:rsidRDefault="005B13C8" w:rsidP="00C355F6">
      <w:pPr>
        <w:pStyle w:val="FootnoteText"/>
        <w:spacing w:after="240"/>
      </w:pPr>
      <w:r>
        <w:tab/>
        <w:t xml:space="preserve">** 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C8" w:rsidRPr="005B13C8" w:rsidRDefault="005B13C8">
    <w:pPr>
      <w:pStyle w:val="Header"/>
    </w:pPr>
    <w:fldSimple w:instr=" TITLE  \* MERGEFORMAT ">
      <w:r w:rsidR="00FD180B">
        <w:t>ECE/TRANS/WP.15/AC.2/2018/45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C8" w:rsidRPr="005B13C8" w:rsidRDefault="005B13C8" w:rsidP="005B13C8">
    <w:pPr>
      <w:pStyle w:val="Header"/>
      <w:jc w:val="right"/>
    </w:pPr>
    <w:fldSimple w:instr=" TITLE  \* MERGEFORMAT ">
      <w:r w:rsidR="00FD180B">
        <w:t>ECE/TRANS/WP.15/AC.2/2018/45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EFA" w:rsidRPr="003C7EFA" w:rsidRDefault="003C7EFA" w:rsidP="003C7EFA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7EFA" w:rsidRPr="005B13C8" w:rsidRDefault="003C7EFA" w:rsidP="003C7EFA">
                          <w:pPr>
                            <w:pStyle w:val="Header"/>
                          </w:pPr>
                          <w:fldSimple w:instr=" TITLE  \* MERGEFORMAT ">
                            <w:r w:rsidR="00FD180B">
                              <w:t>ECE/TRANS/WP.15/AC.2/2018/45</w:t>
                            </w:r>
                          </w:fldSimple>
                        </w:p>
                        <w:p w:rsidR="003C7EFA" w:rsidRDefault="003C7EF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To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hj1n&#10;Fqp4AMoYBRWD6lpNZxx8z4l1V8RAp8ElTA93CUspFGCrNhJGlTIf/nTv9XPsV4wa6Nwc2/dLYhhG&#10;4q2E1gCTrhdMLyx6QS7rMwUcSEI0QYQPxoleLI2qb2GoTL0XeCKSQiQ5Bm+deOa6+QFDibLpNChB&#10;M2vi5vJa074zPMY37S0xesNYB+hdqL6nSfaCuJ2uZ45U06VTJQ+s9rh2KALy/gCDINRgM7T8pHl+&#10;DlpPo3XyCw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BWfnTo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3C7EFA" w:rsidRPr="005B13C8" w:rsidRDefault="003C7EFA" w:rsidP="003C7EF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proofErr w:type="spellStart"/>
                    <w:r w:rsidR="00FD180B">
                      <w:t>ECE</w:t>
                    </w:r>
                    <w:proofErr w:type="spellEnd"/>
                    <w:r w:rsidR="00FD180B">
                      <w:t>/TRANS/</w:t>
                    </w:r>
                    <w:proofErr w:type="spellStart"/>
                    <w:r w:rsidR="00FD180B">
                      <w:t>WP.15</w:t>
                    </w:r>
                    <w:proofErr w:type="spellEnd"/>
                    <w:r w:rsidR="00FD180B">
                      <w:t>/</w:t>
                    </w:r>
                    <w:proofErr w:type="spellStart"/>
                    <w:r w:rsidR="00FD180B">
                      <w:t>AC.2</w:t>
                    </w:r>
                    <w:proofErr w:type="spellEnd"/>
                    <w:r w:rsidR="00FD180B">
                      <w:t>/2018/45</w:t>
                    </w:r>
                    <w:r>
                      <w:fldChar w:fldCharType="end"/>
                    </w:r>
                  </w:p>
                  <w:p w:rsidR="003C7EFA" w:rsidRDefault="003C7EFA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EFA" w:rsidRPr="003C7EFA" w:rsidRDefault="003C7EFA" w:rsidP="003C7EFA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3C7EFA" w:rsidRPr="005B13C8" w:rsidRDefault="003C7EFA" w:rsidP="003C7EFA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FD180B">
                              <w:t>ECE/TRANS/WP.15/AC.2/2018/45</w:t>
                            </w:r>
                          </w:fldSimple>
                        </w:p>
                        <w:p w:rsidR="003C7EFA" w:rsidRDefault="003C7EF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3C7EFA" w:rsidRPr="005B13C8" w:rsidRDefault="003C7EFA" w:rsidP="003C7EFA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proofErr w:type="spellStart"/>
                    <w:r w:rsidR="00FD180B">
                      <w:t>ECE</w:t>
                    </w:r>
                    <w:proofErr w:type="spellEnd"/>
                    <w:r w:rsidR="00FD180B">
                      <w:t>/TRANS/</w:t>
                    </w:r>
                    <w:proofErr w:type="spellStart"/>
                    <w:r w:rsidR="00FD180B">
                      <w:t>WP.15</w:t>
                    </w:r>
                    <w:proofErr w:type="spellEnd"/>
                    <w:r w:rsidR="00FD180B">
                      <w:t>/</w:t>
                    </w:r>
                    <w:proofErr w:type="spellStart"/>
                    <w:r w:rsidR="00FD180B">
                      <w:t>AC.2</w:t>
                    </w:r>
                    <w:proofErr w:type="spellEnd"/>
                    <w:r w:rsidR="00FD180B">
                      <w:t>/2018/45</w:t>
                    </w:r>
                    <w:r>
                      <w:fldChar w:fldCharType="end"/>
                    </w:r>
                  </w:p>
                  <w:p w:rsidR="003C7EFA" w:rsidRDefault="003C7EFA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5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0332"/>
    <w:rsid w:val="0014152F"/>
    <w:rsid w:val="00180183"/>
    <w:rsid w:val="0018024D"/>
    <w:rsid w:val="0018649F"/>
    <w:rsid w:val="00196389"/>
    <w:rsid w:val="001B3EF6"/>
    <w:rsid w:val="001C7A89"/>
    <w:rsid w:val="00255343"/>
    <w:rsid w:val="0026763F"/>
    <w:rsid w:val="0027151D"/>
    <w:rsid w:val="0027545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EFA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13C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0B21"/>
    <w:rsid w:val="00B10CC7"/>
    <w:rsid w:val="00B36DF7"/>
    <w:rsid w:val="00B539E7"/>
    <w:rsid w:val="00B62458"/>
    <w:rsid w:val="00BC18B2"/>
    <w:rsid w:val="00BD33EE"/>
    <w:rsid w:val="00BE1CC7"/>
    <w:rsid w:val="00BE78E5"/>
    <w:rsid w:val="00C106D6"/>
    <w:rsid w:val="00C119AE"/>
    <w:rsid w:val="00C355F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0456"/>
    <w:rsid w:val="00DB0F1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180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987E2C-2BEA-4565-9D27-7603F03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5B13C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FR"/>
    </w:rPr>
  </w:style>
  <w:style w:type="paragraph" w:customStyle="1" w:styleId="H1G">
    <w:name w:val="_ H_1_G"/>
    <w:basedOn w:val="Normal"/>
    <w:next w:val="Normal"/>
    <w:link w:val="H1GChar"/>
    <w:rsid w:val="005B13C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FR"/>
    </w:rPr>
  </w:style>
  <w:style w:type="character" w:customStyle="1" w:styleId="H1GChar">
    <w:name w:val="_ H_1_G Char"/>
    <w:link w:val="H1G"/>
    <w:locked/>
    <w:rsid w:val="005B13C8"/>
    <w:rPr>
      <w:b/>
      <w:sz w:val="24"/>
      <w:lang w:val="fr-FR" w:eastAsia="en-US"/>
    </w:rPr>
  </w:style>
  <w:style w:type="character" w:customStyle="1" w:styleId="HChGChar">
    <w:name w:val="_ H _Ch_G Char"/>
    <w:link w:val="HChG"/>
    <w:locked/>
    <w:rsid w:val="005B13C8"/>
    <w:rPr>
      <w:b/>
      <w:sz w:val="28"/>
      <w:lang w:val="fr-FR" w:eastAsia="en-US"/>
    </w:rPr>
  </w:style>
  <w:style w:type="paragraph" w:customStyle="1" w:styleId="SingleTxtG">
    <w:name w:val="_ Single Txt_G"/>
    <w:basedOn w:val="Normal"/>
    <w:link w:val="SingleTxtGChar"/>
    <w:rsid w:val="005B13C8"/>
    <w:pPr>
      <w:spacing w:after="120"/>
      <w:ind w:left="1134" w:right="1134"/>
      <w:jc w:val="both"/>
    </w:pPr>
    <w:rPr>
      <w:rFonts w:eastAsia="Times New Roman" w:cs="Times New Roman"/>
      <w:szCs w:val="20"/>
      <w:lang w:val="fr-FR"/>
    </w:rPr>
  </w:style>
  <w:style w:type="paragraph" w:customStyle="1" w:styleId="SMG">
    <w:name w:val="__S_M_G"/>
    <w:basedOn w:val="Normal"/>
    <w:next w:val="Normal"/>
    <w:rsid w:val="005B13C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fr-FR"/>
    </w:rPr>
  </w:style>
  <w:style w:type="character" w:customStyle="1" w:styleId="SingleTxtGChar">
    <w:name w:val="_ Single Txt_G Char"/>
    <w:link w:val="SingleTxtG"/>
    <w:locked/>
    <w:rsid w:val="005B13C8"/>
    <w:rPr>
      <w:lang w:val="fr-FR" w:eastAsia="en-US"/>
    </w:rPr>
  </w:style>
  <w:style w:type="table" w:customStyle="1" w:styleId="TableGrid1">
    <w:name w:val="Table Grid1"/>
    <w:basedOn w:val="TableNormal"/>
    <w:next w:val="TableGrid"/>
    <w:uiPriority w:val="39"/>
    <w:rsid w:val="003C7EFA"/>
    <w:pPr>
      <w:tabs>
        <w:tab w:val="left" w:pos="425"/>
        <w:tab w:val="left" w:pos="851"/>
        <w:tab w:val="left" w:pos="1276"/>
      </w:tabs>
      <w:jc w:val="both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ECE/TRANS/WP.15/AC.2/2018/45</vt:lpstr>
      <vt:lpstr>ECE/TRANS/WP.15/AC.2/2018/45</vt:lpstr>
      <vt:lpstr>A/</vt:lpstr>
    </vt:vector>
  </TitlesOfParts>
  <Company>DCM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ECE/TRANS/WP.15/AC.2/2018/45</dc:title>
  <dc:subject/>
  <dc:creator>Anna KISSELEVA</dc:creator>
  <cp:keywords/>
  <cp:lastModifiedBy>Caillot</cp:lastModifiedBy>
  <cp:revision>2</cp:revision>
  <cp:lastPrinted>2018-06-20T12:22:00Z</cp:lastPrinted>
  <dcterms:created xsi:type="dcterms:W3CDTF">2018-07-24T09:33:00Z</dcterms:created>
  <dcterms:modified xsi:type="dcterms:W3CDTF">2018-07-24T09:33:00Z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