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447BF" w:rsidRPr="002A2B42" w:rsidTr="00F01516">
        <w:trPr>
          <w:trHeight w:hRule="exact" w:val="851"/>
        </w:trPr>
        <w:tc>
          <w:tcPr>
            <w:tcW w:w="1277" w:type="dxa"/>
            <w:tcBorders>
              <w:bottom w:val="single" w:sz="4" w:space="0" w:color="auto"/>
            </w:tcBorders>
          </w:tcPr>
          <w:p w:rsidR="003447BF" w:rsidRPr="00367E6A" w:rsidRDefault="003447BF" w:rsidP="00F01516"/>
        </w:tc>
        <w:tc>
          <w:tcPr>
            <w:tcW w:w="2268" w:type="dxa"/>
            <w:tcBorders>
              <w:bottom w:val="single" w:sz="4" w:space="0" w:color="auto"/>
            </w:tcBorders>
            <w:vAlign w:val="bottom"/>
          </w:tcPr>
          <w:p w:rsidR="003447BF" w:rsidRPr="00367E6A" w:rsidRDefault="003447BF" w:rsidP="00F01516">
            <w:pPr>
              <w:spacing w:after="80" w:line="300" w:lineRule="exact"/>
              <w:rPr>
                <w:sz w:val="28"/>
              </w:rPr>
            </w:pPr>
            <w:r w:rsidRPr="00367E6A">
              <w:rPr>
                <w:sz w:val="28"/>
              </w:rPr>
              <w:t>Nations Unies</w:t>
            </w:r>
          </w:p>
        </w:tc>
        <w:tc>
          <w:tcPr>
            <w:tcW w:w="6094" w:type="dxa"/>
            <w:gridSpan w:val="2"/>
            <w:tcBorders>
              <w:bottom w:val="single" w:sz="4" w:space="0" w:color="auto"/>
            </w:tcBorders>
            <w:vAlign w:val="bottom"/>
          </w:tcPr>
          <w:p w:rsidR="003447BF" w:rsidRPr="002A2B42" w:rsidRDefault="003447BF" w:rsidP="002B56D7">
            <w:pPr>
              <w:jc w:val="right"/>
              <w:rPr>
                <w:lang w:val="en-GB"/>
              </w:rPr>
            </w:pPr>
            <w:r w:rsidRPr="002A2B42">
              <w:rPr>
                <w:sz w:val="40"/>
                <w:lang w:val="en-GB"/>
              </w:rPr>
              <w:t>ECE</w:t>
            </w:r>
            <w:r w:rsidRPr="002A2B42">
              <w:rPr>
                <w:lang w:val="en-GB"/>
              </w:rPr>
              <w:t>/TRANS/WP.15/AC.2/201</w:t>
            </w:r>
            <w:r w:rsidR="00D70305" w:rsidRPr="002A2B42">
              <w:rPr>
                <w:lang w:val="en-GB"/>
              </w:rPr>
              <w:t>8</w:t>
            </w:r>
            <w:r w:rsidRPr="002A2B42">
              <w:rPr>
                <w:lang w:val="en-GB"/>
              </w:rPr>
              <w:t>/</w:t>
            </w:r>
            <w:r w:rsidR="002A2B42" w:rsidRPr="002A2B42">
              <w:rPr>
                <w:lang w:val="en-GB"/>
              </w:rPr>
              <w:t>41</w:t>
            </w:r>
          </w:p>
        </w:tc>
      </w:tr>
      <w:tr w:rsidR="003447BF" w:rsidRPr="00367E6A" w:rsidTr="00F01516">
        <w:trPr>
          <w:trHeight w:hRule="exact" w:val="2835"/>
        </w:trPr>
        <w:tc>
          <w:tcPr>
            <w:tcW w:w="1276" w:type="dxa"/>
            <w:tcBorders>
              <w:top w:val="single" w:sz="4" w:space="0" w:color="auto"/>
              <w:bottom w:val="single" w:sz="12" w:space="0" w:color="auto"/>
            </w:tcBorders>
          </w:tcPr>
          <w:p w:rsidR="003447BF" w:rsidRPr="00367E6A" w:rsidRDefault="00874728" w:rsidP="00F01516">
            <w:pPr>
              <w:spacing w:before="120"/>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1pt;height:46.4pt;visibility:visible">
                  <v:imagedata r:id="rId7" o:title=""/>
                </v:shape>
              </w:pict>
            </w:r>
          </w:p>
        </w:tc>
        <w:tc>
          <w:tcPr>
            <w:tcW w:w="5528" w:type="dxa"/>
            <w:gridSpan w:val="2"/>
            <w:tcBorders>
              <w:top w:val="single" w:sz="4" w:space="0" w:color="auto"/>
              <w:bottom w:val="single" w:sz="12" w:space="0" w:color="auto"/>
            </w:tcBorders>
          </w:tcPr>
          <w:p w:rsidR="003447BF" w:rsidRPr="00367E6A" w:rsidRDefault="003447BF" w:rsidP="00F01516">
            <w:pPr>
              <w:spacing w:before="120" w:line="420" w:lineRule="exact"/>
              <w:rPr>
                <w:b/>
                <w:sz w:val="40"/>
                <w:szCs w:val="40"/>
              </w:rPr>
            </w:pPr>
            <w:r w:rsidRPr="00367E6A">
              <w:rPr>
                <w:b/>
                <w:sz w:val="40"/>
                <w:szCs w:val="40"/>
              </w:rPr>
              <w:t>Conseil économique et social</w:t>
            </w:r>
          </w:p>
        </w:tc>
        <w:tc>
          <w:tcPr>
            <w:tcW w:w="2835" w:type="dxa"/>
            <w:tcBorders>
              <w:top w:val="single" w:sz="4" w:space="0" w:color="auto"/>
              <w:bottom w:val="single" w:sz="12" w:space="0" w:color="auto"/>
            </w:tcBorders>
          </w:tcPr>
          <w:p w:rsidR="003447BF" w:rsidRDefault="003447BF" w:rsidP="00C4302B">
            <w:pPr>
              <w:spacing w:before="240" w:line="240" w:lineRule="exact"/>
            </w:pPr>
            <w:proofErr w:type="spellStart"/>
            <w:r>
              <w:t>Distr</w:t>
            </w:r>
            <w:proofErr w:type="spellEnd"/>
            <w:r>
              <w:t xml:space="preserve">. </w:t>
            </w:r>
            <w:proofErr w:type="gramStart"/>
            <w:r>
              <w:t>générale</w:t>
            </w:r>
            <w:proofErr w:type="gramEnd"/>
          </w:p>
          <w:p w:rsidR="003447BF" w:rsidRPr="00E7310A" w:rsidRDefault="00706BEF" w:rsidP="00E7310A">
            <w:pPr>
              <w:spacing w:line="240" w:lineRule="exact"/>
            </w:pPr>
            <w:r>
              <w:t>4 juin</w:t>
            </w:r>
            <w:r w:rsidR="007E29D3" w:rsidRPr="00E7310A">
              <w:t xml:space="preserve"> 2018</w:t>
            </w:r>
          </w:p>
          <w:p w:rsidR="003447BF" w:rsidRPr="00E7310A" w:rsidRDefault="003447BF" w:rsidP="00C4302B">
            <w:pPr>
              <w:spacing w:line="240" w:lineRule="exact"/>
            </w:pPr>
          </w:p>
          <w:p w:rsidR="003447BF" w:rsidRPr="00367E6A" w:rsidRDefault="003447BF" w:rsidP="00B30CFB">
            <w:pPr>
              <w:spacing w:line="240" w:lineRule="exact"/>
            </w:pPr>
            <w:r>
              <w:t xml:space="preserve">Original: </w:t>
            </w:r>
            <w:r w:rsidR="00874728">
              <w:t>f</w:t>
            </w:r>
            <w:bookmarkStart w:id="0" w:name="_GoBack"/>
            <w:bookmarkEnd w:id="0"/>
            <w:r>
              <w:t xml:space="preserve">rançais </w:t>
            </w:r>
          </w:p>
        </w:tc>
      </w:tr>
    </w:tbl>
    <w:p w:rsidR="003447BF" w:rsidRPr="00367E6A" w:rsidRDefault="003447BF" w:rsidP="000312C0">
      <w:pPr>
        <w:spacing w:before="120"/>
        <w:rPr>
          <w:b/>
          <w:sz w:val="28"/>
          <w:szCs w:val="28"/>
        </w:rPr>
      </w:pPr>
      <w:r w:rsidRPr="00367E6A">
        <w:rPr>
          <w:b/>
          <w:sz w:val="28"/>
          <w:szCs w:val="28"/>
        </w:rPr>
        <w:t>Commission économique pour l’Europe</w:t>
      </w:r>
    </w:p>
    <w:p w:rsidR="003447BF" w:rsidRPr="00367E6A" w:rsidRDefault="003447BF" w:rsidP="00B93E72">
      <w:pPr>
        <w:spacing w:before="120"/>
        <w:rPr>
          <w:sz w:val="28"/>
          <w:szCs w:val="28"/>
        </w:rPr>
      </w:pPr>
      <w:r w:rsidRPr="00367E6A">
        <w:rPr>
          <w:sz w:val="28"/>
          <w:szCs w:val="28"/>
        </w:rPr>
        <w:t>Comité des transports intérieurs</w:t>
      </w:r>
    </w:p>
    <w:p w:rsidR="003447BF" w:rsidRPr="00367E6A" w:rsidRDefault="003447BF" w:rsidP="00B93E72">
      <w:pPr>
        <w:spacing w:before="120"/>
        <w:rPr>
          <w:b/>
          <w:sz w:val="24"/>
          <w:szCs w:val="24"/>
        </w:rPr>
      </w:pPr>
      <w:r w:rsidRPr="00367E6A">
        <w:rPr>
          <w:b/>
          <w:sz w:val="24"/>
          <w:szCs w:val="24"/>
        </w:rPr>
        <w:t>Groupe de travail des transports de marchandises dangereuses</w:t>
      </w:r>
    </w:p>
    <w:p w:rsidR="003447BF" w:rsidRPr="00A17EEC" w:rsidRDefault="003447BF" w:rsidP="0049374F">
      <w:pPr>
        <w:spacing w:before="120"/>
        <w:rPr>
          <w:b/>
        </w:rPr>
      </w:pPr>
      <w:r w:rsidRPr="00A17EEC">
        <w:rPr>
          <w:b/>
        </w:rPr>
        <w:t>Réunion commune d’experts sur le Règlement annexé</w:t>
      </w:r>
      <w:r w:rsidRPr="00A17EEC">
        <w:rPr>
          <w:b/>
        </w:rPr>
        <w:br/>
        <w:t>à l’Accord européen relatif au transport international</w:t>
      </w:r>
      <w:r w:rsidRPr="00A17EEC">
        <w:rPr>
          <w:b/>
        </w:rPr>
        <w:br/>
        <w:t xml:space="preserve">des marchandises </w:t>
      </w:r>
      <w:r w:rsidRPr="00A17EEC">
        <w:rPr>
          <w:b/>
          <w:bCs/>
          <w:iCs/>
        </w:rPr>
        <w:t>dangereuses par voies de navigation</w:t>
      </w:r>
      <w:r w:rsidRPr="00A17EEC">
        <w:rPr>
          <w:b/>
          <w:bCs/>
          <w:iCs/>
        </w:rPr>
        <w:br/>
        <w:t xml:space="preserve">intérieures (ADN) </w:t>
      </w:r>
      <w:r w:rsidRPr="00A17EEC">
        <w:rPr>
          <w:b/>
          <w:bCs/>
        </w:rPr>
        <w:t>(Comité de sécurité de l’ADN)</w:t>
      </w:r>
    </w:p>
    <w:p w:rsidR="003447BF" w:rsidRPr="00234E40" w:rsidRDefault="00D70305" w:rsidP="007E29D3">
      <w:pPr>
        <w:spacing w:before="120"/>
        <w:rPr>
          <w:b/>
        </w:rPr>
      </w:pPr>
      <w:r>
        <w:rPr>
          <w:b/>
        </w:rPr>
        <w:t>Trente-</w:t>
      </w:r>
      <w:r w:rsidR="007E29D3">
        <w:rPr>
          <w:b/>
        </w:rPr>
        <w:t>troisi</w:t>
      </w:r>
      <w:r>
        <w:rPr>
          <w:b/>
        </w:rPr>
        <w:t>ème</w:t>
      </w:r>
      <w:r w:rsidR="003447BF">
        <w:rPr>
          <w:b/>
        </w:rPr>
        <w:t xml:space="preserve"> </w:t>
      </w:r>
      <w:r w:rsidR="003447BF" w:rsidRPr="00234E40">
        <w:rPr>
          <w:b/>
        </w:rPr>
        <w:t>session</w:t>
      </w:r>
    </w:p>
    <w:p w:rsidR="003447BF" w:rsidRDefault="003447BF" w:rsidP="007E29D3">
      <w:r>
        <w:t xml:space="preserve">Genève, </w:t>
      </w:r>
      <w:r w:rsidR="007E29D3">
        <w:t>27-31 août</w:t>
      </w:r>
      <w:r>
        <w:t xml:space="preserve"> 201</w:t>
      </w:r>
      <w:r w:rsidR="00745866">
        <w:t>8</w:t>
      </w:r>
    </w:p>
    <w:p w:rsidR="003447BF" w:rsidRDefault="003447BF" w:rsidP="009646D6">
      <w:r w:rsidRPr="00B93E72">
        <w:t xml:space="preserve">Point </w:t>
      </w:r>
      <w:r w:rsidR="009646D6">
        <w:t>4 b)</w:t>
      </w:r>
      <w:r w:rsidRPr="00B93E72">
        <w:t xml:space="preserve"> de l</w:t>
      </w:r>
      <w:r>
        <w:t>’</w:t>
      </w:r>
      <w:r w:rsidRPr="00B93E72">
        <w:t>ordre du jour provisoire</w:t>
      </w:r>
    </w:p>
    <w:p w:rsidR="00E02222" w:rsidRDefault="00E02222" w:rsidP="00E02222">
      <w:pPr>
        <w:rPr>
          <w:b/>
        </w:rPr>
      </w:pPr>
      <w:r w:rsidRPr="00E02222">
        <w:rPr>
          <w:b/>
        </w:rPr>
        <w:t>Propositions d’amendements au Règlement annexé à l’ADN :</w:t>
      </w:r>
    </w:p>
    <w:p w:rsidR="00E02222" w:rsidRPr="00E02222" w:rsidRDefault="00550462" w:rsidP="00E02222">
      <w:pPr>
        <w:rPr>
          <w:b/>
        </w:rPr>
      </w:pPr>
      <w:proofErr w:type="gramStart"/>
      <w:r>
        <w:rPr>
          <w:b/>
        </w:rPr>
        <w:t>a</w:t>
      </w:r>
      <w:r w:rsidR="00E02222">
        <w:rPr>
          <w:b/>
        </w:rPr>
        <w:t>utres</w:t>
      </w:r>
      <w:proofErr w:type="gramEnd"/>
      <w:r w:rsidR="00E02222">
        <w:rPr>
          <w:b/>
        </w:rPr>
        <w:t xml:space="preserve"> propositions</w:t>
      </w:r>
    </w:p>
    <w:p w:rsidR="003447BF" w:rsidRPr="00EA0C87" w:rsidRDefault="003447BF" w:rsidP="00550462">
      <w:pPr>
        <w:pStyle w:val="HChG"/>
      </w:pPr>
      <w:r w:rsidRPr="00C63AC1">
        <w:tab/>
      </w:r>
      <w:r w:rsidRPr="00C63AC1">
        <w:tab/>
      </w:r>
      <w:r w:rsidR="00E02222">
        <w:t>Propositions de modifications aux tableaux A, B et C du Règlement annexé à l’ADN</w:t>
      </w:r>
    </w:p>
    <w:p w:rsidR="003447BF" w:rsidRDefault="003447BF" w:rsidP="00550462">
      <w:pPr>
        <w:pStyle w:val="H1G"/>
      </w:pPr>
      <w:r w:rsidRPr="00EA0C87">
        <w:tab/>
      </w:r>
      <w:r w:rsidRPr="00EA0C87">
        <w:tab/>
      </w:r>
      <w:r w:rsidR="00E73D98">
        <w:t>Communication du</w:t>
      </w:r>
      <w:r w:rsidR="00147C56">
        <w:t xml:space="preserve"> Gouvernement de la France</w:t>
      </w:r>
      <w:r w:rsidR="00550462" w:rsidRPr="00550462">
        <w:rPr>
          <w:rStyle w:val="FootnoteReference"/>
          <w:b w:val="0"/>
          <w:bCs/>
          <w:sz w:val="24"/>
          <w:szCs w:val="24"/>
        </w:rPr>
        <w:footnoteReference w:customMarkFollows="1" w:id="2"/>
        <w:t>*</w:t>
      </w:r>
      <w:r w:rsidR="00550462" w:rsidRPr="00550462">
        <w:rPr>
          <w:b w:val="0"/>
          <w:bCs/>
          <w:szCs w:val="24"/>
          <w:vertAlign w:val="superscript"/>
        </w:rPr>
        <w:t>,</w:t>
      </w:r>
      <w:r w:rsidR="00550462" w:rsidRPr="002B64A7">
        <w:rPr>
          <w:b w:val="0"/>
          <w:bCs/>
          <w:szCs w:val="24"/>
          <w:vertAlign w:val="superscript"/>
          <w:lang w:val="fr-CH"/>
        </w:rPr>
        <w:footnoteReference w:customMarkFollows="1" w:id="3"/>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550462" w:rsidRPr="00A87087" w:rsidTr="00607E56">
        <w:trPr>
          <w:jc w:val="center"/>
        </w:trPr>
        <w:tc>
          <w:tcPr>
            <w:tcW w:w="2330" w:type="dxa"/>
            <w:tcBorders>
              <w:bottom w:val="nil"/>
            </w:tcBorders>
          </w:tcPr>
          <w:p w:rsidR="00550462" w:rsidRPr="00A87087" w:rsidRDefault="00550462" w:rsidP="00607E56">
            <w:pPr>
              <w:widowControl w:val="0"/>
              <w:tabs>
                <w:tab w:val="left" w:pos="284"/>
              </w:tabs>
              <w:suppressAutoHyphens w:val="0"/>
              <w:overflowPunct w:val="0"/>
              <w:autoSpaceDE w:val="0"/>
              <w:autoSpaceDN w:val="0"/>
              <w:adjustRightInd w:val="0"/>
              <w:spacing w:before="120" w:after="120" w:line="240" w:lineRule="auto"/>
              <w:ind w:left="1134" w:hanging="1134"/>
              <w:jc w:val="both"/>
              <w:textAlignment w:val="baseline"/>
              <w:rPr>
                <w:i/>
                <w:lang w:eastAsia="fr-FR"/>
              </w:rPr>
            </w:pPr>
            <w:r w:rsidRPr="002B64A7">
              <w:rPr>
                <w:rFonts w:eastAsia="Arial"/>
                <w:i/>
                <w:sz w:val="24"/>
                <w:szCs w:val="24"/>
                <w:lang w:eastAsia="fr-FR"/>
              </w:rPr>
              <w:t>Résumé</w:t>
            </w:r>
          </w:p>
        </w:tc>
        <w:tc>
          <w:tcPr>
            <w:tcW w:w="7309" w:type="dxa"/>
            <w:tcBorders>
              <w:bottom w:val="nil"/>
            </w:tcBorders>
          </w:tcPr>
          <w:p w:rsidR="00550462" w:rsidRPr="00A87087" w:rsidRDefault="00550462" w:rsidP="00607E56">
            <w:pPr>
              <w:widowControl w:val="0"/>
              <w:suppressAutoHyphens w:val="0"/>
              <w:overflowPunct w:val="0"/>
              <w:autoSpaceDE w:val="0"/>
              <w:autoSpaceDN w:val="0"/>
              <w:adjustRightInd w:val="0"/>
              <w:spacing w:before="120" w:after="120" w:line="240" w:lineRule="auto"/>
              <w:ind w:left="1134" w:hanging="1134"/>
              <w:jc w:val="both"/>
              <w:textAlignment w:val="baseline"/>
              <w:rPr>
                <w:lang w:eastAsia="fr-FR"/>
              </w:rPr>
            </w:pPr>
          </w:p>
        </w:tc>
      </w:tr>
      <w:tr w:rsidR="00550462" w:rsidRPr="00A87087" w:rsidTr="00607E56">
        <w:trPr>
          <w:jc w:val="center"/>
        </w:trPr>
        <w:tc>
          <w:tcPr>
            <w:tcW w:w="2330" w:type="dxa"/>
            <w:tcBorders>
              <w:top w:val="nil"/>
              <w:bottom w:val="nil"/>
            </w:tcBorders>
          </w:tcPr>
          <w:p w:rsidR="00550462" w:rsidRPr="00A87087" w:rsidRDefault="00550462" w:rsidP="00607E56">
            <w:pPr>
              <w:widowControl w:val="0"/>
              <w:suppressAutoHyphens w:val="0"/>
              <w:overflowPunct w:val="0"/>
              <w:autoSpaceDE w:val="0"/>
              <w:autoSpaceDN w:val="0"/>
              <w:adjustRightInd w:val="0"/>
              <w:spacing w:before="40" w:after="120" w:line="240" w:lineRule="auto"/>
              <w:textAlignment w:val="baseline"/>
              <w:rPr>
                <w:b/>
                <w:lang w:eastAsia="fr-FR"/>
              </w:rPr>
            </w:pPr>
            <w:r w:rsidRPr="00A87087">
              <w:rPr>
                <w:b/>
                <w:lang w:eastAsia="fr-FR"/>
              </w:rPr>
              <w:br/>
            </w:r>
          </w:p>
        </w:tc>
        <w:tc>
          <w:tcPr>
            <w:tcW w:w="7309" w:type="dxa"/>
            <w:tcBorders>
              <w:top w:val="nil"/>
              <w:bottom w:val="nil"/>
            </w:tcBorders>
          </w:tcPr>
          <w:p w:rsidR="00550462" w:rsidRPr="00A87087" w:rsidRDefault="00550462" w:rsidP="00607E56">
            <w:pPr>
              <w:suppressAutoHyphens w:val="0"/>
              <w:autoSpaceDE w:val="0"/>
              <w:autoSpaceDN w:val="0"/>
              <w:adjustRightInd w:val="0"/>
              <w:spacing w:before="40" w:after="120" w:line="240" w:lineRule="auto"/>
              <w:rPr>
                <w:rFonts w:cs="Arial"/>
                <w:lang w:eastAsia="fr-FR"/>
              </w:rPr>
            </w:pPr>
            <w:r w:rsidRPr="00E7310A">
              <w:t>Ce document présente un certain nombre de propositions de modifications à apporter aux Tableaux A, B et C du Règlement annexé à l’ADN.</w:t>
            </w:r>
          </w:p>
        </w:tc>
      </w:tr>
      <w:tr w:rsidR="00550462" w:rsidRPr="00A87087" w:rsidTr="00607E56">
        <w:trPr>
          <w:jc w:val="center"/>
        </w:trPr>
        <w:tc>
          <w:tcPr>
            <w:tcW w:w="2330" w:type="dxa"/>
            <w:tcBorders>
              <w:top w:val="nil"/>
              <w:bottom w:val="nil"/>
            </w:tcBorders>
          </w:tcPr>
          <w:p w:rsidR="00550462" w:rsidRPr="00A87087" w:rsidRDefault="00983CCB" w:rsidP="00607E56">
            <w:pPr>
              <w:widowControl w:val="0"/>
              <w:suppressAutoHyphens w:val="0"/>
              <w:overflowPunct w:val="0"/>
              <w:autoSpaceDE w:val="0"/>
              <w:autoSpaceDN w:val="0"/>
              <w:adjustRightInd w:val="0"/>
              <w:spacing w:before="40" w:after="120" w:line="240" w:lineRule="auto"/>
              <w:textAlignment w:val="baseline"/>
              <w:rPr>
                <w:b/>
                <w:lang w:eastAsia="fr-FR"/>
              </w:rPr>
            </w:pPr>
            <w:r>
              <w:rPr>
                <w:b/>
                <w:lang w:eastAsia="fr-FR"/>
              </w:rPr>
              <w:t>Mesure à prendre :</w:t>
            </w:r>
          </w:p>
        </w:tc>
        <w:tc>
          <w:tcPr>
            <w:tcW w:w="7309" w:type="dxa"/>
            <w:tcBorders>
              <w:top w:val="nil"/>
              <w:bottom w:val="nil"/>
            </w:tcBorders>
          </w:tcPr>
          <w:p w:rsidR="00550462" w:rsidRPr="00A87087" w:rsidRDefault="00550462" w:rsidP="00607E56">
            <w:pPr>
              <w:widowControl w:val="0"/>
              <w:suppressAutoHyphens w:val="0"/>
              <w:overflowPunct w:val="0"/>
              <w:autoSpaceDE w:val="0"/>
              <w:autoSpaceDN w:val="0"/>
              <w:adjustRightInd w:val="0"/>
              <w:spacing w:before="40" w:after="120" w:line="240" w:lineRule="auto"/>
              <w:ind w:left="11"/>
              <w:jc w:val="both"/>
              <w:textAlignment w:val="baseline"/>
              <w:rPr>
                <w:lang w:eastAsia="fr-FR"/>
              </w:rPr>
            </w:pPr>
            <w:r w:rsidRPr="00E7310A">
              <w:t>Voir paragraphes 1</w:t>
            </w:r>
            <w:r w:rsidR="00983CCB">
              <w:t>4</w:t>
            </w:r>
            <w:r w:rsidRPr="00E7310A">
              <w:t xml:space="preserve"> à 1</w:t>
            </w:r>
            <w:r w:rsidR="00983CCB">
              <w:t>6</w:t>
            </w:r>
          </w:p>
        </w:tc>
      </w:tr>
      <w:tr w:rsidR="00550462" w:rsidRPr="00A87087" w:rsidTr="00607E56">
        <w:trPr>
          <w:jc w:val="center"/>
        </w:trPr>
        <w:tc>
          <w:tcPr>
            <w:tcW w:w="2330" w:type="dxa"/>
            <w:tcBorders>
              <w:top w:val="nil"/>
            </w:tcBorders>
          </w:tcPr>
          <w:p w:rsidR="00550462" w:rsidRPr="00A87087" w:rsidRDefault="00550462" w:rsidP="00607E56">
            <w:pPr>
              <w:widowControl w:val="0"/>
              <w:tabs>
                <w:tab w:val="left" w:pos="284"/>
              </w:tabs>
              <w:suppressAutoHyphens w:val="0"/>
              <w:overflowPunct w:val="0"/>
              <w:autoSpaceDE w:val="0"/>
              <w:autoSpaceDN w:val="0"/>
              <w:adjustRightInd w:val="0"/>
              <w:spacing w:before="40" w:after="120" w:line="240" w:lineRule="auto"/>
              <w:textAlignment w:val="baseline"/>
              <w:rPr>
                <w:b/>
                <w:lang w:eastAsia="fr-FR"/>
              </w:rPr>
            </w:pPr>
            <w:r w:rsidRPr="00A87087">
              <w:rPr>
                <w:b/>
                <w:lang w:eastAsia="fr-FR"/>
              </w:rPr>
              <w:t>Documents connexes :</w:t>
            </w:r>
          </w:p>
        </w:tc>
        <w:tc>
          <w:tcPr>
            <w:tcW w:w="7309" w:type="dxa"/>
            <w:tcBorders>
              <w:top w:val="nil"/>
            </w:tcBorders>
          </w:tcPr>
          <w:p w:rsidR="00550462" w:rsidRPr="00A87087" w:rsidRDefault="00983CCB" w:rsidP="00607E56">
            <w:pPr>
              <w:widowControl w:val="0"/>
              <w:suppressAutoHyphens w:val="0"/>
              <w:overflowPunct w:val="0"/>
              <w:autoSpaceDE w:val="0"/>
              <w:autoSpaceDN w:val="0"/>
              <w:adjustRightInd w:val="0"/>
              <w:spacing w:before="40" w:after="120" w:line="240" w:lineRule="auto"/>
              <w:ind w:left="11"/>
              <w:jc w:val="both"/>
              <w:textAlignment w:val="baseline"/>
              <w:rPr>
                <w:lang w:val="en-US" w:eastAsia="fr-FR"/>
              </w:rPr>
            </w:pPr>
            <w:r>
              <w:rPr>
                <w:lang w:eastAsia="de-DE"/>
              </w:rPr>
              <w:t>Document informel INF.18 de la trente-deuxième session</w:t>
            </w:r>
          </w:p>
        </w:tc>
      </w:tr>
    </w:tbl>
    <w:p w:rsidR="003447BF" w:rsidRPr="00FF1E43" w:rsidRDefault="003447BF" w:rsidP="00983CCB">
      <w:pPr>
        <w:pStyle w:val="HChG"/>
      </w:pPr>
      <w:r>
        <w:lastRenderedPageBreak/>
        <w:tab/>
      </w:r>
      <w:r>
        <w:tab/>
      </w:r>
      <w:r w:rsidRPr="00FF1E43">
        <w:t>Introduction</w:t>
      </w:r>
    </w:p>
    <w:p w:rsidR="00E02222" w:rsidRDefault="003447BF" w:rsidP="00983CCB">
      <w:pPr>
        <w:pStyle w:val="SingleTxtG"/>
        <w:keepNext/>
        <w:keepLines/>
      </w:pPr>
      <w:r w:rsidRPr="008B6FD8">
        <w:t>1.</w:t>
      </w:r>
      <w:r w:rsidRPr="008B6FD8">
        <w:tab/>
      </w:r>
      <w:r w:rsidR="008B6FD8" w:rsidRPr="008B6FD8">
        <w:t xml:space="preserve">A l’occasion de la session de janvier 2018 du Comité de sécurité, la France, </w:t>
      </w:r>
      <w:r w:rsidR="008B6FD8">
        <w:t>par</w:t>
      </w:r>
      <w:r w:rsidR="008B6FD8" w:rsidRPr="008B6FD8">
        <w:t xml:space="preserve"> le </w:t>
      </w:r>
      <w:r w:rsidR="00983CCB">
        <w:t>d</w:t>
      </w:r>
      <w:r w:rsidR="00983CCB" w:rsidRPr="00983CCB">
        <w:t>ocument informel INF.18 de la trente-deuxième session</w:t>
      </w:r>
      <w:r w:rsidR="008B6FD8" w:rsidRPr="008B6FD8">
        <w:t>, avait proposé une modification de la version française de la désignation officielle de transport</w:t>
      </w:r>
      <w:r w:rsidR="008B6FD8">
        <w:t xml:space="preserve"> des matières de N°</w:t>
      </w:r>
      <w:r w:rsidR="00493099">
        <w:t> </w:t>
      </w:r>
      <w:r w:rsidR="008B6FD8">
        <w:t>ONU</w:t>
      </w:r>
      <w:r w:rsidR="00493099">
        <w:t> </w:t>
      </w:r>
      <w:r w:rsidR="008B6FD8">
        <w:t>1203</w:t>
      </w:r>
      <w:r w:rsidR="008B6FD8" w:rsidRPr="008B6FD8">
        <w:t xml:space="preserve"> (ESSENCE POUR MOTEURS D’AUTOMOBILES</w:t>
      </w:r>
      <w:r w:rsidR="008B6FD8">
        <w:t xml:space="preserve"> au lieu </w:t>
      </w:r>
      <w:proofErr w:type="gramStart"/>
      <w:r w:rsidR="008B6FD8">
        <w:t>de ESSENCE</w:t>
      </w:r>
      <w:proofErr w:type="gramEnd"/>
      <w:r w:rsidR="008B6FD8">
        <w:t>), en s’appuyant sur la désignation officielle de transport telle qu’elle figure dans le Tableau C</w:t>
      </w:r>
      <w:r w:rsidR="00820CAD">
        <w:t xml:space="preserve"> du 3.2.3.2</w:t>
      </w:r>
      <w:r w:rsidR="008B6FD8">
        <w:t>.</w:t>
      </w:r>
    </w:p>
    <w:p w:rsidR="00DD14AC" w:rsidRDefault="00DD38E9" w:rsidP="00DD14AC">
      <w:pPr>
        <w:pStyle w:val="SingleTxtG"/>
      </w:pPr>
      <w:r>
        <w:t>2</w:t>
      </w:r>
      <w:r w:rsidRPr="00DD38E9">
        <w:t>.</w:t>
      </w:r>
      <w:r w:rsidRPr="00DD38E9">
        <w:tab/>
      </w:r>
      <w:r w:rsidR="00DD14AC">
        <w:t>Après analyse par le Secrétariat, il apparaît que la désignation officielle de transport correcte est "ESSENCE", et non "</w:t>
      </w:r>
      <w:r w:rsidR="00DD14AC" w:rsidRPr="008B6FD8">
        <w:t>ESSENCE POUR MOTEURS D’AUTOMOBILES</w:t>
      </w:r>
      <w:r w:rsidR="00DD14AC">
        <w:t>".</w:t>
      </w:r>
    </w:p>
    <w:p w:rsidR="00DD14AC" w:rsidRDefault="00DD38E9" w:rsidP="00820CAD">
      <w:pPr>
        <w:pStyle w:val="SingleTxtG"/>
      </w:pPr>
      <w:r>
        <w:t>3</w:t>
      </w:r>
      <w:r w:rsidRPr="00DD38E9">
        <w:t>.</w:t>
      </w:r>
      <w:r w:rsidRPr="00DD38E9">
        <w:tab/>
      </w:r>
      <w:r w:rsidR="00DD14AC">
        <w:t xml:space="preserve">De ce fait, il convient de rectifier la désignation officielle de transport pour les 5 rubriques assignées au N° ONU 1203 dans la version française du </w:t>
      </w:r>
      <w:r w:rsidR="00820CAD">
        <w:t>Tableau C du 3.2.3.2</w:t>
      </w:r>
      <w:r w:rsidR="00DD14AC">
        <w:t>.</w:t>
      </w:r>
    </w:p>
    <w:p w:rsidR="00DD14AC" w:rsidRDefault="00DD14AC" w:rsidP="00DD14AC">
      <w:pPr>
        <w:pStyle w:val="SingleTxtG"/>
      </w:pPr>
      <w:r>
        <w:t>4</w:t>
      </w:r>
      <w:r w:rsidRPr="00DD38E9">
        <w:t>.</w:t>
      </w:r>
      <w:r w:rsidRPr="00DD38E9">
        <w:tab/>
      </w:r>
      <w:r>
        <w:t xml:space="preserve">Il conviendra également de rectifier </w:t>
      </w:r>
      <w:r w:rsidR="00820CAD">
        <w:t xml:space="preserve">comme suit </w:t>
      </w:r>
      <w:r>
        <w:t>la nouvelle rubrique assignée au N°</w:t>
      </w:r>
      <w:r w:rsidR="00493099">
        <w:t> </w:t>
      </w:r>
      <w:r>
        <w:t>ONU 1203</w:t>
      </w:r>
      <w:r w:rsidR="00820CAD">
        <w:t xml:space="preserve"> telle qu’elle est prévue dans les amendements 2019 du Règlement annexé :</w:t>
      </w:r>
    </w:p>
    <w:p w:rsidR="00820CAD" w:rsidRDefault="00820CAD" w:rsidP="00DD14AC">
      <w:pPr>
        <w:pStyle w:val="SingleTxtG"/>
      </w:pPr>
      <w:r>
        <w:t>"</w:t>
      </w:r>
      <w:r w:rsidRPr="00820CAD">
        <w:t xml:space="preserve">ESSENCE </w:t>
      </w:r>
      <w:r w:rsidRPr="00820CAD">
        <w:rPr>
          <w:rFonts w:ascii="(Utiliser une police de caractè" w:hAnsi="(Utiliser une police de caractè"/>
          <w:dstrike/>
        </w:rPr>
        <w:t>POUR MOTEURS D’AUTOMOBILES</w:t>
      </w:r>
      <w:r w:rsidRPr="00820CAD">
        <w:t xml:space="preserve"> CONTENANT PLUS DE 10 % DE BENZÈNE</w:t>
      </w:r>
      <w:r>
        <w:t>".</w:t>
      </w:r>
    </w:p>
    <w:p w:rsidR="004B4325" w:rsidRPr="00FF1E43" w:rsidRDefault="004B4325" w:rsidP="004B06A1">
      <w:pPr>
        <w:pStyle w:val="HChG"/>
        <w:keepNext w:val="0"/>
      </w:pPr>
      <w:r>
        <w:tab/>
      </w:r>
      <w:r>
        <w:tab/>
      </w:r>
      <w:r w:rsidR="004B06A1">
        <w:t>Compléments</w:t>
      </w:r>
    </w:p>
    <w:p w:rsidR="004B06A1" w:rsidRDefault="004B06A1" w:rsidP="004B06A1">
      <w:pPr>
        <w:pStyle w:val="SingleTxtG"/>
      </w:pPr>
      <w:r>
        <w:t>5</w:t>
      </w:r>
      <w:r w:rsidR="00DD38E9" w:rsidRPr="00DD38E9">
        <w:t>.</w:t>
      </w:r>
      <w:r w:rsidR="00DD38E9" w:rsidRPr="00DD38E9">
        <w:tab/>
      </w:r>
      <w:r>
        <w:t>Les paragraphes qui précèdent ont conduit la délégation française à opérer une comparaison exhaustive du Tableaux A du 3.2.1 et du Tableau C du 3.2.3.2.</w:t>
      </w:r>
    </w:p>
    <w:p w:rsidR="004B06A1" w:rsidRDefault="004B06A1" w:rsidP="00F852CB">
      <w:pPr>
        <w:pStyle w:val="SingleTxtG"/>
      </w:pPr>
      <w:r>
        <w:t>6.</w:t>
      </w:r>
      <w:r>
        <w:tab/>
      </w:r>
      <w:r w:rsidR="00C64B56">
        <w:t>Cet</w:t>
      </w:r>
      <w:r w:rsidR="00F852CB">
        <w:t>te comparaison</w:t>
      </w:r>
      <w:r w:rsidR="00C64B56">
        <w:t xml:space="preserve"> a permis de détecter une incohérence </w:t>
      </w:r>
      <w:r w:rsidR="00A02EF2">
        <w:t xml:space="preserve">de même nature </w:t>
      </w:r>
      <w:r w:rsidR="00C64B56">
        <w:t>dans</w:t>
      </w:r>
      <w:r w:rsidR="00C64B56" w:rsidRPr="002308A6">
        <w:rPr>
          <w:b/>
          <w:bCs/>
          <w:u w:val="single"/>
        </w:rPr>
        <w:t xml:space="preserve"> la version française</w:t>
      </w:r>
      <w:r w:rsidR="00C64B56">
        <w:t xml:space="preserve"> du Règlement annexé pour la rubrique assignée au </w:t>
      </w:r>
      <w:r w:rsidR="00493099">
        <w:t>N</w:t>
      </w:r>
      <w:r w:rsidR="00C64B56">
        <w:t>° ONU 1177, comme suit :</w:t>
      </w:r>
    </w:p>
    <w:p w:rsidR="004B06A1" w:rsidRDefault="00C64B56" w:rsidP="00E73D98">
      <w:pPr>
        <w:pStyle w:val="Bullet1G"/>
      </w:pPr>
      <w:r>
        <w:t xml:space="preserve">Tableau A : N° ONU 1177 : </w:t>
      </w:r>
      <w:r w:rsidRPr="00C64B56">
        <w:t>"ACÉTATE DE 2-ÉTHYLBUTYLE"</w:t>
      </w:r>
      <w:r>
        <w:t> ;</w:t>
      </w:r>
    </w:p>
    <w:p w:rsidR="004B06A1" w:rsidRDefault="00C64B56" w:rsidP="00E73D98">
      <w:pPr>
        <w:pStyle w:val="Bullet1G"/>
      </w:pPr>
      <w:r>
        <w:t xml:space="preserve">Tableau C : N° ONU 1177 : </w:t>
      </w:r>
      <w:r w:rsidRPr="00C64B56">
        <w:t>"ACÉTATE D</w:t>
      </w:r>
      <w:r>
        <w:t>’</w:t>
      </w:r>
      <w:r w:rsidRPr="00C64B56">
        <w:t>ÉTHYLBUTYLE"</w:t>
      </w:r>
      <w:r>
        <w:t>.</w:t>
      </w:r>
    </w:p>
    <w:p w:rsidR="00C64B56" w:rsidRDefault="00FC628F" w:rsidP="00FC628F">
      <w:pPr>
        <w:pStyle w:val="SingleTxtG"/>
      </w:pPr>
      <w:r>
        <w:t>7.</w:t>
      </w:r>
      <w:r>
        <w:tab/>
      </w:r>
      <w:r w:rsidR="00A02EF2">
        <w:t>La désignation officielle de transport correcte semble être celle figurant dans le Tableau A.</w:t>
      </w:r>
    </w:p>
    <w:p w:rsidR="00C64B56" w:rsidRDefault="00FC628F" w:rsidP="00F852CB">
      <w:pPr>
        <w:pStyle w:val="SingleTxtG"/>
      </w:pPr>
      <w:r>
        <w:t>8</w:t>
      </w:r>
      <w:r w:rsidR="00F852CB">
        <w:t>.</w:t>
      </w:r>
      <w:r w:rsidR="00F852CB">
        <w:tab/>
        <w:t xml:space="preserve">L’examen conjoint </w:t>
      </w:r>
      <w:r w:rsidR="00F852CB" w:rsidRPr="002308A6">
        <w:rPr>
          <w:b/>
          <w:bCs/>
          <w:u w:val="single"/>
        </w:rPr>
        <w:t>des versions française et anglaise</w:t>
      </w:r>
      <w:r w:rsidR="00F852CB" w:rsidRPr="002308A6">
        <w:t xml:space="preserve"> des Tableaux A et C</w:t>
      </w:r>
      <w:r w:rsidR="00F852CB">
        <w:t xml:space="preserve"> a permis de mettre en évidence un certain nombre d’incohérences entre ces deux tableaux. Ces incohérences sont listées dans les paragraphes </w:t>
      </w:r>
      <w:r w:rsidR="00A02426">
        <w:t>9</w:t>
      </w:r>
      <w:r w:rsidR="00F852CB">
        <w:t xml:space="preserve"> et </w:t>
      </w:r>
      <w:r w:rsidR="00A02426">
        <w:t>10</w:t>
      </w:r>
      <w:r w:rsidR="00F852CB">
        <w:t xml:space="preserve"> ci-après.</w:t>
      </w:r>
    </w:p>
    <w:p w:rsidR="00F852CB" w:rsidRPr="00550462" w:rsidRDefault="00FC628F" w:rsidP="00550462">
      <w:pPr>
        <w:pStyle w:val="SingleTxtG"/>
      </w:pPr>
      <w:r>
        <w:t>9</w:t>
      </w:r>
      <w:r w:rsidR="00F852CB">
        <w:t>.</w:t>
      </w:r>
      <w:r w:rsidR="00F852CB">
        <w:tab/>
        <w:t xml:space="preserve">Pour les entrées du tableau ci-dessous, on trouve un "T" dans la colonne (8) du Tableau A, bien que ces entrées ne se retrouvent pas dans le Tableau C : </w:t>
      </w:r>
    </w:p>
    <w:tbl>
      <w:tblPr>
        <w:tblStyle w:val="TableGrid"/>
        <w:tblW w:w="9072" w:type="dxa"/>
        <w:jc w:val="center"/>
        <w:tblLayout w:type="fixed"/>
        <w:tblLook w:val="01E0" w:firstRow="1" w:lastRow="1" w:firstColumn="1" w:lastColumn="1" w:noHBand="0" w:noVBand="0"/>
      </w:tblPr>
      <w:tblGrid>
        <w:gridCol w:w="1277"/>
        <w:gridCol w:w="6237"/>
        <w:gridCol w:w="1558"/>
      </w:tblGrid>
      <w:tr w:rsidR="00F852CB" w:rsidTr="002308A6">
        <w:trPr>
          <w:jc w:val="center"/>
        </w:trPr>
        <w:tc>
          <w:tcPr>
            <w:tcW w:w="1277" w:type="dxa"/>
            <w:vAlign w:val="center"/>
          </w:tcPr>
          <w:p w:rsidR="00F852CB" w:rsidRDefault="00F852CB" w:rsidP="00F852CB">
            <w:pPr>
              <w:pStyle w:val="SingleTxtG"/>
              <w:ind w:left="0" w:right="13"/>
              <w:jc w:val="center"/>
            </w:pPr>
            <w:r>
              <w:t>N° ONU</w:t>
            </w:r>
          </w:p>
        </w:tc>
        <w:tc>
          <w:tcPr>
            <w:tcW w:w="6237" w:type="dxa"/>
            <w:vAlign w:val="center"/>
          </w:tcPr>
          <w:p w:rsidR="00F852CB" w:rsidRDefault="00F852CB" w:rsidP="001350D7">
            <w:pPr>
              <w:pStyle w:val="SingleTxtG"/>
              <w:ind w:left="0" w:right="136"/>
              <w:jc w:val="center"/>
            </w:pPr>
            <w:r>
              <w:t>Désignation officielle de transport</w:t>
            </w:r>
          </w:p>
        </w:tc>
        <w:tc>
          <w:tcPr>
            <w:tcW w:w="1558" w:type="dxa"/>
            <w:vAlign w:val="center"/>
          </w:tcPr>
          <w:p w:rsidR="00F852CB" w:rsidRDefault="00F852CB" w:rsidP="001350D7">
            <w:pPr>
              <w:pStyle w:val="SingleTxtG"/>
              <w:ind w:left="0" w:right="136"/>
              <w:jc w:val="center"/>
            </w:pPr>
            <w:r>
              <w:t>Observations</w:t>
            </w:r>
          </w:p>
        </w:tc>
      </w:tr>
      <w:tr w:rsidR="00F852CB" w:rsidTr="002308A6">
        <w:trPr>
          <w:jc w:val="center"/>
        </w:trPr>
        <w:tc>
          <w:tcPr>
            <w:tcW w:w="1277" w:type="dxa"/>
            <w:vAlign w:val="center"/>
          </w:tcPr>
          <w:p w:rsidR="00F852CB" w:rsidRDefault="00F852CB" w:rsidP="00F852CB">
            <w:pPr>
              <w:pStyle w:val="SingleTxtG"/>
              <w:ind w:left="0" w:right="29"/>
              <w:jc w:val="center"/>
            </w:pPr>
            <w:r>
              <w:t>1153, GE II</w:t>
            </w:r>
          </w:p>
        </w:tc>
        <w:tc>
          <w:tcPr>
            <w:tcW w:w="6237" w:type="dxa"/>
            <w:vAlign w:val="center"/>
          </w:tcPr>
          <w:p w:rsidR="00F852CB" w:rsidRDefault="00F852CB" w:rsidP="001350D7">
            <w:pPr>
              <w:pStyle w:val="SingleTxtG"/>
              <w:ind w:left="0" w:right="136"/>
              <w:jc w:val="left"/>
            </w:pPr>
            <w:r w:rsidRPr="00F852CB">
              <w:t>ÉTHER DIÉTHYLIQUE DE L'ÉTHYLÈNEGLYCOL</w:t>
            </w:r>
          </w:p>
        </w:tc>
        <w:tc>
          <w:tcPr>
            <w:tcW w:w="1558" w:type="dxa"/>
            <w:vAlign w:val="center"/>
          </w:tcPr>
          <w:p w:rsidR="00F852CB" w:rsidRPr="00F852CB" w:rsidRDefault="00F852CB" w:rsidP="001350D7">
            <w:pPr>
              <w:pStyle w:val="SingleTxtG"/>
              <w:ind w:left="0" w:right="136"/>
              <w:jc w:val="left"/>
            </w:pPr>
          </w:p>
        </w:tc>
      </w:tr>
      <w:tr w:rsidR="001350D7" w:rsidTr="002308A6">
        <w:trPr>
          <w:jc w:val="center"/>
        </w:trPr>
        <w:tc>
          <w:tcPr>
            <w:tcW w:w="1277" w:type="dxa"/>
            <w:vAlign w:val="center"/>
          </w:tcPr>
          <w:p w:rsidR="001350D7" w:rsidRDefault="007C360D" w:rsidP="00F852CB">
            <w:pPr>
              <w:pStyle w:val="SingleTxtG"/>
              <w:ind w:left="0" w:right="29"/>
              <w:jc w:val="center"/>
            </w:pPr>
            <w:r>
              <w:t>2074</w:t>
            </w:r>
          </w:p>
        </w:tc>
        <w:tc>
          <w:tcPr>
            <w:tcW w:w="6237" w:type="dxa"/>
            <w:vAlign w:val="center"/>
          </w:tcPr>
          <w:p w:rsidR="001350D7" w:rsidRPr="001350D7" w:rsidRDefault="002308A6" w:rsidP="001350D7">
            <w:pPr>
              <w:pStyle w:val="SingleTxtG"/>
              <w:ind w:left="0" w:right="136"/>
              <w:jc w:val="left"/>
            </w:pPr>
            <w:r>
              <w:t>ACRYLAMIDE SOLIDE</w:t>
            </w:r>
          </w:p>
        </w:tc>
        <w:tc>
          <w:tcPr>
            <w:tcW w:w="1558" w:type="dxa"/>
            <w:vAlign w:val="center"/>
          </w:tcPr>
          <w:p w:rsidR="001350D7" w:rsidRDefault="001350D7" w:rsidP="001350D7">
            <w:pPr>
              <w:pStyle w:val="SingleTxtG"/>
              <w:ind w:left="0" w:right="136"/>
              <w:jc w:val="left"/>
            </w:pPr>
          </w:p>
        </w:tc>
      </w:tr>
      <w:tr w:rsidR="00F852CB" w:rsidTr="002308A6">
        <w:trPr>
          <w:trHeight w:val="1467"/>
          <w:jc w:val="center"/>
        </w:trPr>
        <w:tc>
          <w:tcPr>
            <w:tcW w:w="1277" w:type="dxa"/>
            <w:vAlign w:val="center"/>
          </w:tcPr>
          <w:p w:rsidR="00F852CB" w:rsidRDefault="00F852CB" w:rsidP="00F852CB">
            <w:pPr>
              <w:pStyle w:val="SingleTxtG"/>
              <w:ind w:left="0" w:right="29"/>
              <w:jc w:val="center"/>
            </w:pPr>
            <w:r>
              <w:t>3468</w:t>
            </w:r>
          </w:p>
        </w:tc>
        <w:tc>
          <w:tcPr>
            <w:tcW w:w="6237" w:type="dxa"/>
            <w:vAlign w:val="center"/>
          </w:tcPr>
          <w:p w:rsidR="00F852CB" w:rsidRDefault="001350D7" w:rsidP="001350D7">
            <w:pPr>
              <w:pStyle w:val="SingleTxtG"/>
              <w:ind w:left="0" w:right="136"/>
              <w:jc w:val="left"/>
            </w:pPr>
            <w:r w:rsidRPr="001350D7">
              <w:t>HYDROGÈNE DANS UN DISPOSITIF DE STOCKAGE À HYDRURE MÉTALLIQUE ou</w:t>
            </w:r>
            <w:r>
              <w:t xml:space="preserve"> </w:t>
            </w:r>
            <w:r w:rsidRPr="001350D7">
              <w:t>HYDROGÈNE DANS UN DISPOSITIF DE STOCKAGE À HYDRURE MÉTALLIQUE CONTENU DANS</w:t>
            </w:r>
            <w:r>
              <w:t xml:space="preserve"> </w:t>
            </w:r>
            <w:r w:rsidRPr="001350D7">
              <w:t>UN ÉQUIPEMENT ou HYDROGÈNE DANS UN DISPOSITIF DE STOCKAGE À HYDRURE</w:t>
            </w:r>
            <w:r>
              <w:t xml:space="preserve"> </w:t>
            </w:r>
            <w:r w:rsidRPr="001350D7">
              <w:t>MÉTALLIQUE EMBALLÉ AVEC UN ÉQUIPEMENT</w:t>
            </w:r>
          </w:p>
        </w:tc>
        <w:tc>
          <w:tcPr>
            <w:tcW w:w="1558" w:type="dxa"/>
            <w:vAlign w:val="center"/>
          </w:tcPr>
          <w:p w:rsidR="00F852CB" w:rsidRDefault="001350D7" w:rsidP="001350D7">
            <w:pPr>
              <w:pStyle w:val="SingleTxtG"/>
              <w:ind w:left="0" w:right="136"/>
              <w:jc w:val="left"/>
            </w:pPr>
            <w:r>
              <w:t>La notation "T" dans la colonne (8) du Tableau A semble incohérente</w:t>
            </w:r>
          </w:p>
        </w:tc>
      </w:tr>
    </w:tbl>
    <w:p w:rsidR="001350D7" w:rsidRDefault="00FC628F" w:rsidP="00493099">
      <w:pPr>
        <w:pStyle w:val="SingleTxtG"/>
        <w:keepNext/>
        <w:keepLines/>
        <w:spacing w:before="120"/>
      </w:pPr>
      <w:r>
        <w:lastRenderedPageBreak/>
        <w:t>10</w:t>
      </w:r>
      <w:r w:rsidR="001350D7">
        <w:t>.</w:t>
      </w:r>
      <w:r w:rsidR="001350D7">
        <w:tab/>
        <w:t>Pour les entrées du tableau ci-dessous, il n’y a pas la notation "T" dans la colonne (8) du Tableau A, bien que ces entrées soient présentes dans le Tableau C :</w:t>
      </w:r>
    </w:p>
    <w:tbl>
      <w:tblPr>
        <w:tblStyle w:val="TableGrid"/>
        <w:tblW w:w="8983" w:type="dxa"/>
        <w:jc w:val="center"/>
        <w:tblLayout w:type="fixed"/>
        <w:tblLook w:val="01E0" w:firstRow="1" w:lastRow="1" w:firstColumn="1" w:lastColumn="1" w:noHBand="0" w:noVBand="0"/>
      </w:tblPr>
      <w:tblGrid>
        <w:gridCol w:w="1232"/>
        <w:gridCol w:w="7751"/>
      </w:tblGrid>
      <w:tr w:rsidR="001350D7" w:rsidTr="002308A6">
        <w:trPr>
          <w:jc w:val="center"/>
        </w:trPr>
        <w:tc>
          <w:tcPr>
            <w:tcW w:w="1232" w:type="dxa"/>
            <w:vAlign w:val="center"/>
          </w:tcPr>
          <w:p w:rsidR="001350D7" w:rsidRDefault="001350D7" w:rsidP="00493099">
            <w:pPr>
              <w:pStyle w:val="SingleTxtG"/>
              <w:keepNext/>
              <w:keepLines/>
              <w:ind w:left="0" w:right="13"/>
              <w:jc w:val="center"/>
            </w:pPr>
            <w:r>
              <w:t>N° ONU</w:t>
            </w:r>
          </w:p>
        </w:tc>
        <w:tc>
          <w:tcPr>
            <w:tcW w:w="7751" w:type="dxa"/>
            <w:vAlign w:val="center"/>
          </w:tcPr>
          <w:p w:rsidR="001350D7" w:rsidRDefault="001350D7" w:rsidP="00493099">
            <w:pPr>
              <w:pStyle w:val="SingleTxtG"/>
              <w:keepNext/>
              <w:keepLines/>
              <w:ind w:left="0" w:right="136"/>
              <w:jc w:val="center"/>
            </w:pPr>
            <w:r>
              <w:t>Désignation officielle de transport</w:t>
            </w:r>
          </w:p>
        </w:tc>
      </w:tr>
      <w:tr w:rsidR="001350D7" w:rsidTr="002308A6">
        <w:trPr>
          <w:jc w:val="center"/>
        </w:trPr>
        <w:tc>
          <w:tcPr>
            <w:tcW w:w="1232" w:type="dxa"/>
            <w:vAlign w:val="center"/>
          </w:tcPr>
          <w:p w:rsidR="001350D7" w:rsidRDefault="001350D7" w:rsidP="00493099">
            <w:pPr>
              <w:pStyle w:val="SingleTxtG"/>
              <w:keepNext/>
              <w:keepLines/>
              <w:ind w:left="0" w:right="29"/>
              <w:jc w:val="center"/>
            </w:pPr>
            <w:r>
              <w:t>2288</w:t>
            </w:r>
          </w:p>
        </w:tc>
        <w:tc>
          <w:tcPr>
            <w:tcW w:w="7751" w:type="dxa"/>
            <w:vAlign w:val="center"/>
          </w:tcPr>
          <w:p w:rsidR="001350D7" w:rsidRDefault="001350D7" w:rsidP="00493099">
            <w:pPr>
              <w:pStyle w:val="SingleTxtG"/>
              <w:keepNext/>
              <w:keepLines/>
              <w:ind w:left="0" w:right="136"/>
              <w:jc w:val="left"/>
            </w:pPr>
            <w:r w:rsidRPr="001350D7">
              <w:t>ISOHEXÈNES</w:t>
            </w:r>
          </w:p>
        </w:tc>
      </w:tr>
      <w:tr w:rsidR="001350D7" w:rsidTr="002308A6">
        <w:trPr>
          <w:jc w:val="center"/>
        </w:trPr>
        <w:tc>
          <w:tcPr>
            <w:tcW w:w="1232" w:type="dxa"/>
            <w:vAlign w:val="center"/>
          </w:tcPr>
          <w:p w:rsidR="001350D7" w:rsidRDefault="001350D7" w:rsidP="00FC0E86">
            <w:pPr>
              <w:pStyle w:val="SingleTxtG"/>
              <w:ind w:left="0" w:right="29"/>
              <w:jc w:val="center"/>
            </w:pPr>
            <w:r>
              <w:t>2582</w:t>
            </w:r>
          </w:p>
        </w:tc>
        <w:tc>
          <w:tcPr>
            <w:tcW w:w="7751" w:type="dxa"/>
            <w:vAlign w:val="center"/>
          </w:tcPr>
          <w:p w:rsidR="001350D7" w:rsidRDefault="001350D7" w:rsidP="00FC0E86">
            <w:pPr>
              <w:pStyle w:val="SingleTxtG"/>
              <w:ind w:left="0" w:right="136"/>
              <w:jc w:val="left"/>
            </w:pPr>
            <w:r w:rsidRPr="001350D7">
              <w:t>CHLORURE DE FER III EN SOLUTION</w:t>
            </w:r>
          </w:p>
        </w:tc>
      </w:tr>
      <w:tr w:rsidR="001350D7" w:rsidTr="002308A6">
        <w:trPr>
          <w:jc w:val="center"/>
        </w:trPr>
        <w:tc>
          <w:tcPr>
            <w:tcW w:w="1232" w:type="dxa"/>
            <w:vAlign w:val="center"/>
          </w:tcPr>
          <w:p w:rsidR="001350D7" w:rsidRDefault="001350D7" w:rsidP="00FC0E86">
            <w:pPr>
              <w:pStyle w:val="SingleTxtG"/>
              <w:ind w:left="0" w:right="29"/>
              <w:jc w:val="center"/>
            </w:pPr>
            <w:r w:rsidRPr="001350D7">
              <w:t>2785</w:t>
            </w:r>
          </w:p>
        </w:tc>
        <w:tc>
          <w:tcPr>
            <w:tcW w:w="7751" w:type="dxa"/>
            <w:vAlign w:val="center"/>
          </w:tcPr>
          <w:p w:rsidR="001350D7" w:rsidRPr="001350D7" w:rsidRDefault="001350D7" w:rsidP="00FC0E86">
            <w:pPr>
              <w:pStyle w:val="SingleTxtG"/>
              <w:ind w:left="0" w:right="136"/>
              <w:jc w:val="left"/>
            </w:pPr>
            <w:r w:rsidRPr="001350D7">
              <w:t>4-THIAPENTANAL (MÉTHYLTHIO-3 PROPANAL)</w:t>
            </w:r>
          </w:p>
        </w:tc>
      </w:tr>
      <w:tr w:rsidR="001350D7" w:rsidTr="002308A6">
        <w:trPr>
          <w:jc w:val="center"/>
        </w:trPr>
        <w:tc>
          <w:tcPr>
            <w:tcW w:w="1232" w:type="dxa"/>
            <w:vAlign w:val="center"/>
          </w:tcPr>
          <w:p w:rsidR="001350D7" w:rsidRDefault="001350D7" w:rsidP="00FC0E86">
            <w:pPr>
              <w:pStyle w:val="SingleTxtG"/>
              <w:ind w:left="0" w:right="29"/>
              <w:jc w:val="center"/>
            </w:pPr>
            <w:r w:rsidRPr="001350D7">
              <w:t>2984</w:t>
            </w:r>
          </w:p>
        </w:tc>
        <w:tc>
          <w:tcPr>
            <w:tcW w:w="7751" w:type="dxa"/>
            <w:vAlign w:val="center"/>
          </w:tcPr>
          <w:p w:rsidR="001350D7" w:rsidRPr="001350D7" w:rsidRDefault="001350D7" w:rsidP="00FC0E86">
            <w:pPr>
              <w:pStyle w:val="SingleTxtG"/>
              <w:ind w:left="0" w:right="136"/>
              <w:jc w:val="left"/>
            </w:pPr>
            <w:r w:rsidRPr="001350D7">
              <w:t>PEROXYDE D'HYDROGÈNE EN SOLUTION AQUEUSE contenant au minimum 8 %, mais</w:t>
            </w:r>
            <w:r>
              <w:t xml:space="preserve"> </w:t>
            </w:r>
            <w:r w:rsidRPr="001350D7">
              <w:t>moins de 20 % de peroxyde d'hydrogène (stabilisée selon les besoins)</w:t>
            </w:r>
          </w:p>
        </w:tc>
      </w:tr>
      <w:tr w:rsidR="001350D7" w:rsidTr="002308A6">
        <w:trPr>
          <w:jc w:val="center"/>
        </w:trPr>
        <w:tc>
          <w:tcPr>
            <w:tcW w:w="1232" w:type="dxa"/>
            <w:vAlign w:val="center"/>
          </w:tcPr>
          <w:p w:rsidR="001350D7" w:rsidRPr="001350D7" w:rsidRDefault="001350D7" w:rsidP="00FC0E86">
            <w:pPr>
              <w:pStyle w:val="SingleTxtG"/>
              <w:ind w:left="0" w:right="29"/>
              <w:jc w:val="center"/>
            </w:pPr>
            <w:r w:rsidRPr="001350D7">
              <w:t>3429</w:t>
            </w:r>
          </w:p>
        </w:tc>
        <w:tc>
          <w:tcPr>
            <w:tcW w:w="7751" w:type="dxa"/>
            <w:vAlign w:val="center"/>
          </w:tcPr>
          <w:p w:rsidR="001350D7" w:rsidRPr="001350D7" w:rsidRDefault="001350D7" w:rsidP="00FC0E86">
            <w:pPr>
              <w:pStyle w:val="SingleTxtG"/>
              <w:ind w:left="0" w:right="136"/>
              <w:jc w:val="left"/>
            </w:pPr>
            <w:r w:rsidRPr="001350D7">
              <w:t>CHLOROTOLUIDINES LIQUIDES</w:t>
            </w:r>
          </w:p>
        </w:tc>
      </w:tr>
    </w:tbl>
    <w:p w:rsidR="001350D7" w:rsidRDefault="002308A6" w:rsidP="00550462">
      <w:pPr>
        <w:pStyle w:val="SingleTxtG"/>
        <w:spacing w:before="120"/>
      </w:pPr>
      <w:r>
        <w:t>1</w:t>
      </w:r>
      <w:r w:rsidR="00FC628F">
        <w:t>1</w:t>
      </w:r>
      <w:r>
        <w:t>.</w:t>
      </w:r>
      <w:r>
        <w:tab/>
      </w:r>
      <w:r>
        <w:rPr>
          <w:b/>
          <w:bCs/>
          <w:u w:val="single"/>
        </w:rPr>
        <w:t>L</w:t>
      </w:r>
      <w:r w:rsidRPr="002308A6">
        <w:rPr>
          <w:b/>
          <w:bCs/>
          <w:u w:val="single"/>
        </w:rPr>
        <w:t>es versions française et anglaise</w:t>
      </w:r>
      <w:r w:rsidRPr="002308A6">
        <w:t xml:space="preserve"> d</w:t>
      </w:r>
      <w:r>
        <w:t>e la colonne (8) du</w:t>
      </w:r>
      <w:r w:rsidRPr="002308A6">
        <w:t xml:space="preserve"> Tableau A</w:t>
      </w:r>
      <w:r>
        <w:t xml:space="preserve"> comportent</w:t>
      </w:r>
      <w:r w:rsidR="004D254F">
        <w:t>, pour la matière assignée au N° ONU 3456, HYDROGÉNATE DE NITROSYLE SOLIDE</w:t>
      </w:r>
      <w:r>
        <w:t xml:space="preserve"> une indication "T3" qui semble </w:t>
      </w:r>
      <w:r w:rsidR="004D254F">
        <w:t xml:space="preserve">ne </w:t>
      </w:r>
      <w:r>
        <w:t xml:space="preserve">pas </w:t>
      </w:r>
      <w:r w:rsidR="004D254F">
        <w:t>posséder</w:t>
      </w:r>
      <w:r>
        <w:t xml:space="preserve"> de signification.</w:t>
      </w:r>
    </w:p>
    <w:p w:rsidR="001350D7" w:rsidRDefault="00315D1C" w:rsidP="00315D1C">
      <w:pPr>
        <w:pStyle w:val="SingleTxtG"/>
      </w:pPr>
      <w:r>
        <w:t>1</w:t>
      </w:r>
      <w:r w:rsidR="00FC628F">
        <w:t>2</w:t>
      </w:r>
      <w:r>
        <w:t>.</w:t>
      </w:r>
      <w:r>
        <w:tab/>
        <w:t>Enfin, l’entrée assignée au numéro d’identification 9000 pose le problème suivant, que l’on trouve dans les version</w:t>
      </w:r>
      <w:r w:rsidR="00422151">
        <w:t>s</w:t>
      </w:r>
      <w:r>
        <w:t xml:space="preserve"> française, anglaise et allemande (version 2015) du Règlement annexé :</w:t>
      </w:r>
    </w:p>
    <w:p w:rsidR="00315D1C" w:rsidRDefault="00315D1C" w:rsidP="00E73D98">
      <w:pPr>
        <w:pStyle w:val="Bullet1G"/>
      </w:pPr>
      <w:r>
        <w:t xml:space="preserve">Dans les Tableaux A et B, </w:t>
      </w:r>
      <w:r w:rsidR="00422151">
        <w:t>on trouve : 9000, AMMONIAC, FORTEMENT RÉFRIGÉRÉ ;</w:t>
      </w:r>
    </w:p>
    <w:p w:rsidR="00422151" w:rsidRDefault="00422151" w:rsidP="00E73D98">
      <w:pPr>
        <w:pStyle w:val="Bullet1G"/>
      </w:pPr>
      <w:r>
        <w:t>Dans le Tableau C, on trouve : 9000, AMMONIAC ANHYDRE, FORTEMENT RÉFRIGÉRÉ.</w:t>
      </w:r>
    </w:p>
    <w:p w:rsidR="00422151" w:rsidRDefault="00FC628F" w:rsidP="00FC628F">
      <w:pPr>
        <w:pStyle w:val="SingleTxtG"/>
      </w:pPr>
      <w:r>
        <w:t>13.</w:t>
      </w:r>
      <w:r>
        <w:tab/>
      </w:r>
      <w:r w:rsidR="00422151">
        <w:t>Il semble que la désignation officielle de transport correcte soit celle figurant dans le Tableau C. On peut noter en effet que, dans l’ADNR 2007, la désignation officielle de transport était homogène dans les trois tableaux : AMMONIAC ANHYDRE, FORTEMENT RÉFRIGÉRÉ.</w:t>
      </w:r>
    </w:p>
    <w:p w:rsidR="00AE1716" w:rsidRPr="00AE1716" w:rsidRDefault="00AE1716" w:rsidP="00AE1716">
      <w:pPr>
        <w:pStyle w:val="HChG"/>
      </w:pPr>
      <w:r>
        <w:tab/>
      </w:r>
      <w:r>
        <w:tab/>
      </w:r>
      <w:r w:rsidRPr="00AE1716">
        <w:t>Suites à donner</w:t>
      </w:r>
    </w:p>
    <w:p w:rsidR="00422151" w:rsidRDefault="00422151" w:rsidP="00E7310A">
      <w:pPr>
        <w:pStyle w:val="SingleTxtG"/>
      </w:pPr>
      <w:r>
        <w:t>1</w:t>
      </w:r>
      <w:r w:rsidR="00FC628F">
        <w:t>4</w:t>
      </w:r>
      <w:r w:rsidR="00AE1716" w:rsidRPr="00AE1716">
        <w:t>.</w:t>
      </w:r>
      <w:r w:rsidR="00AE1716" w:rsidRPr="00AE1716">
        <w:tab/>
      </w:r>
      <w:r>
        <w:t xml:space="preserve">Le Comité est invité à se prononcer sur les suites à donner aux remarques et propositions figurant aux paragraphes 3, 4, 6, </w:t>
      </w:r>
      <w:r w:rsidR="00A02426">
        <w:t>7</w:t>
      </w:r>
      <w:r>
        <w:t xml:space="preserve">, </w:t>
      </w:r>
      <w:r w:rsidR="00A02426">
        <w:t>9</w:t>
      </w:r>
      <w:r>
        <w:t xml:space="preserve">, </w:t>
      </w:r>
      <w:r w:rsidR="001158C4">
        <w:t xml:space="preserve">10, </w:t>
      </w:r>
      <w:r>
        <w:t>1</w:t>
      </w:r>
      <w:r w:rsidR="00A02426">
        <w:t>1, 12</w:t>
      </w:r>
      <w:r>
        <w:t xml:space="preserve"> et 1</w:t>
      </w:r>
      <w:r w:rsidR="00A02426">
        <w:t>3</w:t>
      </w:r>
      <w:r>
        <w:t xml:space="preserve"> ci-dessus.</w:t>
      </w:r>
    </w:p>
    <w:p w:rsidR="00422151" w:rsidRDefault="00422151" w:rsidP="00422151">
      <w:pPr>
        <w:pStyle w:val="SingleTxtG"/>
      </w:pPr>
      <w:r>
        <w:t>1</w:t>
      </w:r>
      <w:r w:rsidR="00FC628F">
        <w:t>5</w:t>
      </w:r>
      <w:r>
        <w:t>.</w:t>
      </w:r>
      <w:r>
        <w:tab/>
        <w:t>Le Comité souhaitera peut-être s’entourer au préalable de l’avis du Groupe Informel "Matières".</w:t>
      </w:r>
    </w:p>
    <w:p w:rsidR="00422151" w:rsidRDefault="00422151" w:rsidP="00550462">
      <w:pPr>
        <w:pStyle w:val="SingleTxtG"/>
      </w:pPr>
      <w:r>
        <w:t>1</w:t>
      </w:r>
      <w:r w:rsidR="00FC628F">
        <w:t>6</w:t>
      </w:r>
      <w:r>
        <w:t>.</w:t>
      </w:r>
      <w:r>
        <w:tab/>
        <w:t>Sous réserve de l’acceptation des modifications proposées, le Secrétariat est invité à déterminer quelles sont les modifications qui relèvent d’un simple correctif, et celles qui relèvent d’un amendement.</w:t>
      </w:r>
    </w:p>
    <w:p w:rsidR="00AE1716" w:rsidRPr="00D866A8" w:rsidRDefault="00AE1716" w:rsidP="00AE1716">
      <w:pPr>
        <w:pStyle w:val="SingleTxtG"/>
        <w:spacing w:before="240" w:after="0"/>
        <w:jc w:val="center"/>
      </w:pPr>
      <w:r w:rsidRPr="00D71CA8">
        <w:rPr>
          <w:u w:val="single"/>
          <w:lang w:val="x-none" w:eastAsia="de-DE"/>
        </w:rPr>
        <w:tab/>
      </w:r>
      <w:r w:rsidRPr="00D71CA8">
        <w:rPr>
          <w:u w:val="single"/>
          <w:lang w:val="x-none" w:eastAsia="de-DE"/>
        </w:rPr>
        <w:tab/>
      </w:r>
      <w:r w:rsidRPr="00D71CA8">
        <w:rPr>
          <w:u w:val="single"/>
          <w:lang w:val="x-none" w:eastAsia="de-DE"/>
        </w:rPr>
        <w:tab/>
      </w:r>
    </w:p>
    <w:sectPr w:rsidR="00AE1716" w:rsidRPr="00D866A8" w:rsidSect="00550462">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289" w:rsidRDefault="007C1289"/>
  </w:endnote>
  <w:endnote w:type="continuationSeparator" w:id="0">
    <w:p w:rsidR="007C1289" w:rsidRDefault="007C1289"/>
  </w:endnote>
  <w:endnote w:type="continuationNotice" w:id="1">
    <w:p w:rsidR="007C1289" w:rsidRDefault="007C1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tiliser une police de caractè">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9776B" w:rsidRDefault="00413C00"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874728">
      <w:rPr>
        <w:b/>
        <w:noProof/>
        <w:sz w:val="18"/>
      </w:rPr>
      <w:t>2</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9776B" w:rsidRDefault="00413C00"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874728">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289" w:rsidRPr="00D27D5E" w:rsidRDefault="007C1289" w:rsidP="00D27D5E">
      <w:pPr>
        <w:tabs>
          <w:tab w:val="right" w:pos="2155"/>
        </w:tabs>
        <w:spacing w:after="80"/>
        <w:ind w:left="680"/>
        <w:rPr>
          <w:u w:val="single"/>
        </w:rPr>
      </w:pPr>
      <w:r>
        <w:rPr>
          <w:u w:val="single"/>
        </w:rPr>
        <w:tab/>
      </w:r>
    </w:p>
  </w:footnote>
  <w:footnote w:type="continuationSeparator" w:id="0">
    <w:p w:rsidR="007C1289" w:rsidRPr="00A80554" w:rsidRDefault="007C1289" w:rsidP="00A80554">
      <w:pPr>
        <w:tabs>
          <w:tab w:val="left" w:pos="2155"/>
        </w:tabs>
        <w:spacing w:after="80"/>
        <w:ind w:left="680"/>
        <w:rPr>
          <w:u w:val="single"/>
        </w:rPr>
      </w:pPr>
      <w:r w:rsidRPr="00A80554">
        <w:rPr>
          <w:u w:val="single"/>
        </w:rPr>
        <w:tab/>
      </w:r>
    </w:p>
  </w:footnote>
  <w:footnote w:type="continuationNotice" w:id="1">
    <w:p w:rsidR="007C1289" w:rsidRDefault="007C1289"/>
  </w:footnote>
  <w:footnote w:id="2">
    <w:p w:rsidR="00550462" w:rsidRPr="00550462" w:rsidRDefault="00550462" w:rsidP="00550462">
      <w:pPr>
        <w:pStyle w:val="FootnoteText"/>
        <w:rPr>
          <w:lang w:val="fr-CH"/>
        </w:rPr>
      </w:pPr>
      <w:r>
        <w:rPr>
          <w:rStyle w:val="FootnoteReference"/>
        </w:rPr>
        <w:tab/>
      </w:r>
      <w:r w:rsidRPr="00550462">
        <w:rPr>
          <w:rStyle w:val="FootnoteReference"/>
          <w:sz w:val="20"/>
          <w:vertAlign w:val="baseline"/>
        </w:rPr>
        <w:t>*</w:t>
      </w:r>
      <w:r>
        <w:rPr>
          <w:rStyle w:val="FootnoteReference"/>
          <w:sz w:val="20"/>
          <w:vertAlign w:val="baseline"/>
        </w:rPr>
        <w:tab/>
      </w:r>
      <w:r w:rsidRPr="00550462">
        <w:t>Diffusé en langue allemande par la Commission centrale pour la navigation du Rhin sous la cote CCNR/ZKR/ADN/WP.15/AC.2/2018/</w:t>
      </w:r>
      <w:r>
        <w:t>41</w:t>
      </w:r>
      <w:r w:rsidRPr="00550462">
        <w:t>.</w:t>
      </w:r>
    </w:p>
  </w:footnote>
  <w:footnote w:id="3">
    <w:p w:rsidR="00550462" w:rsidRDefault="00550462" w:rsidP="00550462">
      <w:pPr>
        <w:pStyle w:val="FootnoteText"/>
      </w:pPr>
      <w:r>
        <w:tab/>
      </w:r>
      <w:r w:rsidRPr="00905A77">
        <w:rPr>
          <w:rStyle w:val="FootnoteReference"/>
          <w:sz w:val="20"/>
          <w:szCs w:val="22"/>
          <w:vertAlign w:val="baseline"/>
          <w:lang w:eastAsia="en-US"/>
        </w:rPr>
        <w:t>**</w:t>
      </w:r>
      <w:r w:rsidRPr="00905A77">
        <w:rPr>
          <w:sz w:val="20"/>
          <w:szCs w:val="22"/>
        </w:rPr>
        <w:t xml:space="preserve"> </w:t>
      </w:r>
      <w:r>
        <w:tab/>
      </w:r>
      <w:r w:rsidRPr="00905A77">
        <w:t>Conformément au programme de travail du Comité de</w:t>
      </w:r>
      <w:r w:rsidRPr="00EF5998">
        <w:t>s</w:t>
      </w:r>
      <w:r>
        <w:t xml:space="preserve"> transports intérieurs pour 2018-2019 </w:t>
      </w:r>
      <w:r w:rsidRPr="00EF5998">
        <w:t>(</w:t>
      </w:r>
      <w:r w:rsidRPr="00ED5F4B">
        <w:t xml:space="preserve">ECE/TRANS/2018/21/Add.1, </w:t>
      </w:r>
      <w:r>
        <w:t>(</w:t>
      </w:r>
      <w:r w:rsidRPr="00ED5F4B">
        <w:t>9.3</w:t>
      </w:r>
      <w:r>
        <w:t>)</w:t>
      </w:r>
      <w:r w:rsidRPr="00EF5998">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A2B42" w:rsidRDefault="002A2B42" w:rsidP="00F07C2C">
    <w:pPr>
      <w:pStyle w:val="Header"/>
      <w:rPr>
        <w:lang w:val="en-GB"/>
      </w:rPr>
    </w:pPr>
    <w:r>
      <w:rPr>
        <w:lang w:val="en-GB"/>
      </w:rPr>
      <w:t>ECE/TRANS/WP.15/AC.2/2018/41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A2B42" w:rsidRDefault="002A2B42" w:rsidP="00F07C2C">
    <w:pPr>
      <w:pStyle w:val="Header"/>
      <w:jc w:val="right"/>
      <w:rPr>
        <w:lang w:val="en-GB"/>
      </w:rPr>
    </w:pPr>
    <w:r w:rsidRPr="002A2B42">
      <w:rPr>
        <w:lang w:val="en-GB"/>
      </w:rPr>
      <w:t>ECE/TRANS/WP.15/AC.2/2018/41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BB30E1B"/>
    <w:multiLevelType w:val="hybridMultilevel"/>
    <w:tmpl w:val="BC0A6D6A"/>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61070BF4"/>
    <w:multiLevelType w:val="hybridMultilevel"/>
    <w:tmpl w:val="55E226D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F1B7FF4"/>
    <w:multiLevelType w:val="hybridMultilevel"/>
    <w:tmpl w:val="83F6D60A"/>
    <w:lvl w:ilvl="0" w:tplc="B7A266B4">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num w:numId="1">
    <w:abstractNumId w:val="6"/>
  </w:num>
  <w:num w:numId="2">
    <w:abstractNumId w:val="3"/>
  </w:num>
  <w:num w:numId="3">
    <w:abstractNumId w:val="0"/>
  </w:num>
  <w:num w:numId="4">
    <w:abstractNumId w:val="5"/>
  </w:num>
  <w:num w:numId="5">
    <w:abstractNumId w:val="7"/>
  </w:num>
  <w:num w:numId="6">
    <w:abstractNumId w:val="2"/>
  </w:num>
  <w:num w:numId="7">
    <w:abstractNumId w:val="1"/>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41A"/>
    <w:rsid w:val="0000195C"/>
    <w:rsid w:val="00003FFB"/>
    <w:rsid w:val="0000754C"/>
    <w:rsid w:val="000121D3"/>
    <w:rsid w:val="000131A5"/>
    <w:rsid w:val="00014328"/>
    <w:rsid w:val="0001457A"/>
    <w:rsid w:val="00016AC5"/>
    <w:rsid w:val="00022BD7"/>
    <w:rsid w:val="00030ADE"/>
    <w:rsid w:val="000312C0"/>
    <w:rsid w:val="00033A63"/>
    <w:rsid w:val="0004058B"/>
    <w:rsid w:val="000472A1"/>
    <w:rsid w:val="000507A8"/>
    <w:rsid w:val="0006085A"/>
    <w:rsid w:val="0006415C"/>
    <w:rsid w:val="000643B7"/>
    <w:rsid w:val="00066716"/>
    <w:rsid w:val="00071432"/>
    <w:rsid w:val="00072E86"/>
    <w:rsid w:val="000758B9"/>
    <w:rsid w:val="00076465"/>
    <w:rsid w:val="00081790"/>
    <w:rsid w:val="000828C8"/>
    <w:rsid w:val="00094EF2"/>
    <w:rsid w:val="000963EA"/>
    <w:rsid w:val="000964C7"/>
    <w:rsid w:val="000A49E0"/>
    <w:rsid w:val="000A7DE0"/>
    <w:rsid w:val="000A7EC2"/>
    <w:rsid w:val="000B34CA"/>
    <w:rsid w:val="000C0699"/>
    <w:rsid w:val="000C75D6"/>
    <w:rsid w:val="000D7E12"/>
    <w:rsid w:val="000E40A8"/>
    <w:rsid w:val="000E68FB"/>
    <w:rsid w:val="000F41F2"/>
    <w:rsid w:val="00104ADE"/>
    <w:rsid w:val="00114764"/>
    <w:rsid w:val="00114946"/>
    <w:rsid w:val="00114DAF"/>
    <w:rsid w:val="001158C4"/>
    <w:rsid w:val="00115943"/>
    <w:rsid w:val="00127A72"/>
    <w:rsid w:val="0013180D"/>
    <w:rsid w:val="001350D7"/>
    <w:rsid w:val="00135C0D"/>
    <w:rsid w:val="0013653F"/>
    <w:rsid w:val="00143574"/>
    <w:rsid w:val="00147C56"/>
    <w:rsid w:val="00154636"/>
    <w:rsid w:val="001551B7"/>
    <w:rsid w:val="001568BB"/>
    <w:rsid w:val="00156A92"/>
    <w:rsid w:val="00160540"/>
    <w:rsid w:val="00162132"/>
    <w:rsid w:val="00162E33"/>
    <w:rsid w:val="0016419C"/>
    <w:rsid w:val="00164FB7"/>
    <w:rsid w:val="001703B7"/>
    <w:rsid w:val="0017182C"/>
    <w:rsid w:val="00171EA3"/>
    <w:rsid w:val="00177007"/>
    <w:rsid w:val="001850B8"/>
    <w:rsid w:val="00185EBF"/>
    <w:rsid w:val="00186EE9"/>
    <w:rsid w:val="00190399"/>
    <w:rsid w:val="00192EEB"/>
    <w:rsid w:val="0019546F"/>
    <w:rsid w:val="00197152"/>
    <w:rsid w:val="001A20FB"/>
    <w:rsid w:val="001A37C7"/>
    <w:rsid w:val="001A73B7"/>
    <w:rsid w:val="001B6AF6"/>
    <w:rsid w:val="001B6F40"/>
    <w:rsid w:val="001C08A0"/>
    <w:rsid w:val="001C4BBB"/>
    <w:rsid w:val="001C64DD"/>
    <w:rsid w:val="001D7DF9"/>
    <w:rsid w:val="001D7F8A"/>
    <w:rsid w:val="001E3FEB"/>
    <w:rsid w:val="001E4A02"/>
    <w:rsid w:val="001F3CC1"/>
    <w:rsid w:val="001F412D"/>
    <w:rsid w:val="001F5816"/>
    <w:rsid w:val="002023CD"/>
    <w:rsid w:val="00203B6A"/>
    <w:rsid w:val="002041A8"/>
    <w:rsid w:val="0020607F"/>
    <w:rsid w:val="002069D5"/>
    <w:rsid w:val="00212D4F"/>
    <w:rsid w:val="00216861"/>
    <w:rsid w:val="0022098E"/>
    <w:rsid w:val="00221E7E"/>
    <w:rsid w:val="00223B89"/>
    <w:rsid w:val="00225A8C"/>
    <w:rsid w:val="002308A6"/>
    <w:rsid w:val="00232C61"/>
    <w:rsid w:val="00234E40"/>
    <w:rsid w:val="002403AA"/>
    <w:rsid w:val="00241AAF"/>
    <w:rsid w:val="00260A9C"/>
    <w:rsid w:val="00261C6B"/>
    <w:rsid w:val="00263C23"/>
    <w:rsid w:val="002659F1"/>
    <w:rsid w:val="00265FE8"/>
    <w:rsid w:val="0027037E"/>
    <w:rsid w:val="00271C7C"/>
    <w:rsid w:val="00287E79"/>
    <w:rsid w:val="0029101B"/>
    <w:rsid w:val="002928F9"/>
    <w:rsid w:val="0029776B"/>
    <w:rsid w:val="002A1905"/>
    <w:rsid w:val="002A29C3"/>
    <w:rsid w:val="002A2B42"/>
    <w:rsid w:val="002A5D07"/>
    <w:rsid w:val="002A5F7F"/>
    <w:rsid w:val="002B2881"/>
    <w:rsid w:val="002B56D7"/>
    <w:rsid w:val="002C555D"/>
    <w:rsid w:val="002D0474"/>
    <w:rsid w:val="002D7928"/>
    <w:rsid w:val="002F2735"/>
    <w:rsid w:val="003016B7"/>
    <w:rsid w:val="00304272"/>
    <w:rsid w:val="00306511"/>
    <w:rsid w:val="00315D1C"/>
    <w:rsid w:val="00321245"/>
    <w:rsid w:val="0032270A"/>
    <w:rsid w:val="00327E03"/>
    <w:rsid w:val="00330F9C"/>
    <w:rsid w:val="003338E5"/>
    <w:rsid w:val="00335202"/>
    <w:rsid w:val="003371E0"/>
    <w:rsid w:val="00340C35"/>
    <w:rsid w:val="00343859"/>
    <w:rsid w:val="003447BF"/>
    <w:rsid w:val="003470CB"/>
    <w:rsid w:val="003515AA"/>
    <w:rsid w:val="00351AD9"/>
    <w:rsid w:val="003540B3"/>
    <w:rsid w:val="00367E6A"/>
    <w:rsid w:val="00370E0F"/>
    <w:rsid w:val="00372345"/>
    <w:rsid w:val="00374106"/>
    <w:rsid w:val="00374296"/>
    <w:rsid w:val="00391403"/>
    <w:rsid w:val="00394D72"/>
    <w:rsid w:val="00397250"/>
    <w:rsid w:val="003974E1"/>
    <w:rsid w:val="003976D5"/>
    <w:rsid w:val="003A1FEF"/>
    <w:rsid w:val="003A462C"/>
    <w:rsid w:val="003A656C"/>
    <w:rsid w:val="003B5981"/>
    <w:rsid w:val="003B6B20"/>
    <w:rsid w:val="003C322F"/>
    <w:rsid w:val="003C5A95"/>
    <w:rsid w:val="003C5C5B"/>
    <w:rsid w:val="003D0BCD"/>
    <w:rsid w:val="003D1DF3"/>
    <w:rsid w:val="003D46A7"/>
    <w:rsid w:val="003D6C68"/>
    <w:rsid w:val="003D76E4"/>
    <w:rsid w:val="003F118A"/>
    <w:rsid w:val="003F6E0A"/>
    <w:rsid w:val="004005D0"/>
    <w:rsid w:val="00406E74"/>
    <w:rsid w:val="00413736"/>
    <w:rsid w:val="00413C00"/>
    <w:rsid w:val="00414425"/>
    <w:rsid w:val="004159D0"/>
    <w:rsid w:val="00421AC2"/>
    <w:rsid w:val="00422151"/>
    <w:rsid w:val="00423D55"/>
    <w:rsid w:val="004249E7"/>
    <w:rsid w:val="00426DA1"/>
    <w:rsid w:val="00430C92"/>
    <w:rsid w:val="0043277B"/>
    <w:rsid w:val="00434168"/>
    <w:rsid w:val="0044289E"/>
    <w:rsid w:val="00454017"/>
    <w:rsid w:val="00461870"/>
    <w:rsid w:val="00470793"/>
    <w:rsid w:val="00471DA9"/>
    <w:rsid w:val="00475DD2"/>
    <w:rsid w:val="00486E96"/>
    <w:rsid w:val="00491EC7"/>
    <w:rsid w:val="00493099"/>
    <w:rsid w:val="0049374F"/>
    <w:rsid w:val="00497A70"/>
    <w:rsid w:val="00497E7A"/>
    <w:rsid w:val="004A29A3"/>
    <w:rsid w:val="004A324B"/>
    <w:rsid w:val="004A331B"/>
    <w:rsid w:val="004A3778"/>
    <w:rsid w:val="004A5C90"/>
    <w:rsid w:val="004B06A1"/>
    <w:rsid w:val="004B154F"/>
    <w:rsid w:val="004B4325"/>
    <w:rsid w:val="004C3B4F"/>
    <w:rsid w:val="004D0EB7"/>
    <w:rsid w:val="004D254F"/>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50462"/>
    <w:rsid w:val="005611FF"/>
    <w:rsid w:val="005622F9"/>
    <w:rsid w:val="00563346"/>
    <w:rsid w:val="00565A49"/>
    <w:rsid w:val="005669DD"/>
    <w:rsid w:val="00571F41"/>
    <w:rsid w:val="00575335"/>
    <w:rsid w:val="00576C84"/>
    <w:rsid w:val="00585A6B"/>
    <w:rsid w:val="00593132"/>
    <w:rsid w:val="0059410B"/>
    <w:rsid w:val="00595BE4"/>
    <w:rsid w:val="00595C56"/>
    <w:rsid w:val="005A041A"/>
    <w:rsid w:val="005B5E67"/>
    <w:rsid w:val="005B738F"/>
    <w:rsid w:val="005B76A3"/>
    <w:rsid w:val="005C6014"/>
    <w:rsid w:val="005E5D1F"/>
    <w:rsid w:val="005E5E79"/>
    <w:rsid w:val="005F25D1"/>
    <w:rsid w:val="005F302D"/>
    <w:rsid w:val="005F59DB"/>
    <w:rsid w:val="00603391"/>
    <w:rsid w:val="006049FD"/>
    <w:rsid w:val="00605683"/>
    <w:rsid w:val="006071E2"/>
    <w:rsid w:val="00611D43"/>
    <w:rsid w:val="00612D48"/>
    <w:rsid w:val="00616B45"/>
    <w:rsid w:val="0061708F"/>
    <w:rsid w:val="006210B6"/>
    <w:rsid w:val="00625F01"/>
    <w:rsid w:val="00630D9B"/>
    <w:rsid w:val="00631953"/>
    <w:rsid w:val="0063675E"/>
    <w:rsid w:val="006439EC"/>
    <w:rsid w:val="00654B07"/>
    <w:rsid w:val="00665D5C"/>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D7511"/>
    <w:rsid w:val="006E0743"/>
    <w:rsid w:val="006E19BA"/>
    <w:rsid w:val="006E3296"/>
    <w:rsid w:val="006E32C5"/>
    <w:rsid w:val="006E3B48"/>
    <w:rsid w:val="006E5FC7"/>
    <w:rsid w:val="006E7722"/>
    <w:rsid w:val="006F151C"/>
    <w:rsid w:val="00700CF9"/>
    <w:rsid w:val="0070347C"/>
    <w:rsid w:val="00706BEF"/>
    <w:rsid w:val="007176C1"/>
    <w:rsid w:val="00737BCE"/>
    <w:rsid w:val="0074123A"/>
    <w:rsid w:val="00742FD7"/>
    <w:rsid w:val="007450F8"/>
    <w:rsid w:val="00745866"/>
    <w:rsid w:val="00745CA1"/>
    <w:rsid w:val="007514EF"/>
    <w:rsid w:val="007527B6"/>
    <w:rsid w:val="00753BDA"/>
    <w:rsid w:val="00766A94"/>
    <w:rsid w:val="007673E8"/>
    <w:rsid w:val="00780EAE"/>
    <w:rsid w:val="007811F7"/>
    <w:rsid w:val="007817A1"/>
    <w:rsid w:val="007820F2"/>
    <w:rsid w:val="00783F37"/>
    <w:rsid w:val="00786EF4"/>
    <w:rsid w:val="007904AF"/>
    <w:rsid w:val="00790F2F"/>
    <w:rsid w:val="00795138"/>
    <w:rsid w:val="007A6076"/>
    <w:rsid w:val="007C1289"/>
    <w:rsid w:val="007C1A44"/>
    <w:rsid w:val="007C360D"/>
    <w:rsid w:val="007D78D5"/>
    <w:rsid w:val="007E29D3"/>
    <w:rsid w:val="007E2F66"/>
    <w:rsid w:val="007F0F13"/>
    <w:rsid w:val="007F55CB"/>
    <w:rsid w:val="00812C1A"/>
    <w:rsid w:val="00816FA8"/>
    <w:rsid w:val="0081704B"/>
    <w:rsid w:val="00820CAD"/>
    <w:rsid w:val="00831329"/>
    <w:rsid w:val="008317F6"/>
    <w:rsid w:val="00835193"/>
    <w:rsid w:val="008353E4"/>
    <w:rsid w:val="00835BFB"/>
    <w:rsid w:val="00836924"/>
    <w:rsid w:val="00844750"/>
    <w:rsid w:val="00851438"/>
    <w:rsid w:val="00860C9D"/>
    <w:rsid w:val="00871051"/>
    <w:rsid w:val="00874728"/>
    <w:rsid w:val="00883D70"/>
    <w:rsid w:val="00884E9C"/>
    <w:rsid w:val="008A7152"/>
    <w:rsid w:val="008B44C4"/>
    <w:rsid w:val="008B6FD8"/>
    <w:rsid w:val="008B7879"/>
    <w:rsid w:val="008C1BBA"/>
    <w:rsid w:val="008C2211"/>
    <w:rsid w:val="008C7684"/>
    <w:rsid w:val="008D0723"/>
    <w:rsid w:val="008D0C3F"/>
    <w:rsid w:val="008D1AC7"/>
    <w:rsid w:val="008D3919"/>
    <w:rsid w:val="008E0B16"/>
    <w:rsid w:val="008E3F2C"/>
    <w:rsid w:val="008E5107"/>
    <w:rsid w:val="008E7FAE"/>
    <w:rsid w:val="008F1725"/>
    <w:rsid w:val="008F60FF"/>
    <w:rsid w:val="009066AE"/>
    <w:rsid w:val="00911BF7"/>
    <w:rsid w:val="00922301"/>
    <w:rsid w:val="00922FBA"/>
    <w:rsid w:val="00926E87"/>
    <w:rsid w:val="00932D7A"/>
    <w:rsid w:val="009416C9"/>
    <w:rsid w:val="00952247"/>
    <w:rsid w:val="00952FDB"/>
    <w:rsid w:val="00953DE0"/>
    <w:rsid w:val="009566B0"/>
    <w:rsid w:val="009646D6"/>
    <w:rsid w:val="00970F62"/>
    <w:rsid w:val="00977EC8"/>
    <w:rsid w:val="009817BD"/>
    <w:rsid w:val="009837CB"/>
    <w:rsid w:val="00983C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02426"/>
    <w:rsid w:val="00A02EF2"/>
    <w:rsid w:val="00A11C63"/>
    <w:rsid w:val="00A134EB"/>
    <w:rsid w:val="00A1547F"/>
    <w:rsid w:val="00A17EEC"/>
    <w:rsid w:val="00A2492E"/>
    <w:rsid w:val="00A31F07"/>
    <w:rsid w:val="00A41235"/>
    <w:rsid w:val="00A44CBA"/>
    <w:rsid w:val="00A45EBB"/>
    <w:rsid w:val="00A6502C"/>
    <w:rsid w:val="00A70163"/>
    <w:rsid w:val="00A71439"/>
    <w:rsid w:val="00A73DB7"/>
    <w:rsid w:val="00A778A5"/>
    <w:rsid w:val="00A80554"/>
    <w:rsid w:val="00A86837"/>
    <w:rsid w:val="00A92C6B"/>
    <w:rsid w:val="00A963DD"/>
    <w:rsid w:val="00AA0176"/>
    <w:rsid w:val="00AA3C96"/>
    <w:rsid w:val="00AA5B1E"/>
    <w:rsid w:val="00AA72C3"/>
    <w:rsid w:val="00AA77E5"/>
    <w:rsid w:val="00AB6447"/>
    <w:rsid w:val="00AC67A1"/>
    <w:rsid w:val="00AC7977"/>
    <w:rsid w:val="00AD1E14"/>
    <w:rsid w:val="00AD3F23"/>
    <w:rsid w:val="00AE1716"/>
    <w:rsid w:val="00AE352C"/>
    <w:rsid w:val="00AE4F08"/>
    <w:rsid w:val="00AE5E87"/>
    <w:rsid w:val="00AE69A8"/>
    <w:rsid w:val="00AE7BCA"/>
    <w:rsid w:val="00AF1446"/>
    <w:rsid w:val="00AF2F6F"/>
    <w:rsid w:val="00AF52DB"/>
    <w:rsid w:val="00B07C19"/>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A6916"/>
    <w:rsid w:val="00BC5D40"/>
    <w:rsid w:val="00BD0B53"/>
    <w:rsid w:val="00BD50B3"/>
    <w:rsid w:val="00BD5B50"/>
    <w:rsid w:val="00BE3741"/>
    <w:rsid w:val="00BF0556"/>
    <w:rsid w:val="00BF06B0"/>
    <w:rsid w:val="00BF47BD"/>
    <w:rsid w:val="00BF505B"/>
    <w:rsid w:val="00C00C2A"/>
    <w:rsid w:val="00C107FA"/>
    <w:rsid w:val="00C1607E"/>
    <w:rsid w:val="00C218FD"/>
    <w:rsid w:val="00C2232D"/>
    <w:rsid w:val="00C24B53"/>
    <w:rsid w:val="00C261F8"/>
    <w:rsid w:val="00C33100"/>
    <w:rsid w:val="00C34C11"/>
    <w:rsid w:val="00C358CC"/>
    <w:rsid w:val="00C4302B"/>
    <w:rsid w:val="00C45121"/>
    <w:rsid w:val="00C51BB4"/>
    <w:rsid w:val="00C63AC1"/>
    <w:rsid w:val="00C64B56"/>
    <w:rsid w:val="00C732D1"/>
    <w:rsid w:val="00C836BC"/>
    <w:rsid w:val="00C940E9"/>
    <w:rsid w:val="00CA047F"/>
    <w:rsid w:val="00CA3500"/>
    <w:rsid w:val="00CA5CBD"/>
    <w:rsid w:val="00CB2BEA"/>
    <w:rsid w:val="00CB6267"/>
    <w:rsid w:val="00CD1A71"/>
    <w:rsid w:val="00CD1FBB"/>
    <w:rsid w:val="00CD4C90"/>
    <w:rsid w:val="00CF4311"/>
    <w:rsid w:val="00CF6435"/>
    <w:rsid w:val="00D016B5"/>
    <w:rsid w:val="00D034F1"/>
    <w:rsid w:val="00D10BD3"/>
    <w:rsid w:val="00D11B17"/>
    <w:rsid w:val="00D218FC"/>
    <w:rsid w:val="00D27297"/>
    <w:rsid w:val="00D27D5E"/>
    <w:rsid w:val="00D31640"/>
    <w:rsid w:val="00D34270"/>
    <w:rsid w:val="00D40906"/>
    <w:rsid w:val="00D41B47"/>
    <w:rsid w:val="00D428F9"/>
    <w:rsid w:val="00D440EE"/>
    <w:rsid w:val="00D47F24"/>
    <w:rsid w:val="00D52A86"/>
    <w:rsid w:val="00D60301"/>
    <w:rsid w:val="00D64213"/>
    <w:rsid w:val="00D70305"/>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14AC"/>
    <w:rsid w:val="00DD38E9"/>
    <w:rsid w:val="00DD5D73"/>
    <w:rsid w:val="00DE01E3"/>
    <w:rsid w:val="00DE0AF7"/>
    <w:rsid w:val="00DE24A4"/>
    <w:rsid w:val="00DE6D90"/>
    <w:rsid w:val="00DF002F"/>
    <w:rsid w:val="00DF1BEA"/>
    <w:rsid w:val="00DF1F03"/>
    <w:rsid w:val="00DF3492"/>
    <w:rsid w:val="00DF4DCE"/>
    <w:rsid w:val="00DF6551"/>
    <w:rsid w:val="00E02222"/>
    <w:rsid w:val="00E0244D"/>
    <w:rsid w:val="00E02CE0"/>
    <w:rsid w:val="00E11BBC"/>
    <w:rsid w:val="00E1236D"/>
    <w:rsid w:val="00E15EC6"/>
    <w:rsid w:val="00E22F40"/>
    <w:rsid w:val="00E23C0F"/>
    <w:rsid w:val="00E30A6C"/>
    <w:rsid w:val="00E53D77"/>
    <w:rsid w:val="00E5407C"/>
    <w:rsid w:val="00E55D71"/>
    <w:rsid w:val="00E60E30"/>
    <w:rsid w:val="00E6288C"/>
    <w:rsid w:val="00E653A2"/>
    <w:rsid w:val="00E65B70"/>
    <w:rsid w:val="00E6627D"/>
    <w:rsid w:val="00E7310A"/>
    <w:rsid w:val="00E73AEE"/>
    <w:rsid w:val="00E73D98"/>
    <w:rsid w:val="00E74F8B"/>
    <w:rsid w:val="00E81E94"/>
    <w:rsid w:val="00E82607"/>
    <w:rsid w:val="00E87C4C"/>
    <w:rsid w:val="00E90A2D"/>
    <w:rsid w:val="00E93CE6"/>
    <w:rsid w:val="00E95AF8"/>
    <w:rsid w:val="00E97EE2"/>
    <w:rsid w:val="00EA0C87"/>
    <w:rsid w:val="00EA2677"/>
    <w:rsid w:val="00EA31C2"/>
    <w:rsid w:val="00EA4D5A"/>
    <w:rsid w:val="00EA5169"/>
    <w:rsid w:val="00EA7AF9"/>
    <w:rsid w:val="00EB16FF"/>
    <w:rsid w:val="00EB4C54"/>
    <w:rsid w:val="00EC0734"/>
    <w:rsid w:val="00EC3132"/>
    <w:rsid w:val="00EC3FA6"/>
    <w:rsid w:val="00EC60C5"/>
    <w:rsid w:val="00ED0008"/>
    <w:rsid w:val="00ED1849"/>
    <w:rsid w:val="00ED265E"/>
    <w:rsid w:val="00ED7BEB"/>
    <w:rsid w:val="00EE2EA3"/>
    <w:rsid w:val="00EE43A7"/>
    <w:rsid w:val="00EF041A"/>
    <w:rsid w:val="00F01516"/>
    <w:rsid w:val="00F0189E"/>
    <w:rsid w:val="00F07C2C"/>
    <w:rsid w:val="00F12577"/>
    <w:rsid w:val="00F14D09"/>
    <w:rsid w:val="00F2271B"/>
    <w:rsid w:val="00F227C9"/>
    <w:rsid w:val="00F337B3"/>
    <w:rsid w:val="00F35A1F"/>
    <w:rsid w:val="00F37523"/>
    <w:rsid w:val="00F524AA"/>
    <w:rsid w:val="00F560CD"/>
    <w:rsid w:val="00F57129"/>
    <w:rsid w:val="00F852CB"/>
    <w:rsid w:val="00F90CFE"/>
    <w:rsid w:val="00F96586"/>
    <w:rsid w:val="00FA40A9"/>
    <w:rsid w:val="00FA43E0"/>
    <w:rsid w:val="00FA5A79"/>
    <w:rsid w:val="00FA6422"/>
    <w:rsid w:val="00FB00CB"/>
    <w:rsid w:val="00FB0BFE"/>
    <w:rsid w:val="00FB2419"/>
    <w:rsid w:val="00FB31A1"/>
    <w:rsid w:val="00FB4C51"/>
    <w:rsid w:val="00FB6AC1"/>
    <w:rsid w:val="00FB72A4"/>
    <w:rsid w:val="00FC0CDC"/>
    <w:rsid w:val="00FC0E86"/>
    <w:rsid w:val="00FC628F"/>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4070F1"/>
  <w15:chartTrackingRefBased/>
  <w15:docId w15:val="{396790DD-1228-40DE-9482-E3BBD48A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FR"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basedOn w:val="DefaultParagraphFont"/>
    <w:rsid w:val="000964C7"/>
    <w:rPr>
      <w:rFonts w:ascii="Times New Roman" w:hAnsi="Times New Roman"/>
      <w:sz w:val="18"/>
      <w:vertAlign w:val="superscript"/>
      <w:lang w:val="fr-CH" w:eastAsia="x-none"/>
    </w:rPr>
  </w:style>
  <w:style w:type="character" w:styleId="EndnoteReference">
    <w:name w:val="endnote reference"/>
    <w:aliases w:val="1_G"/>
    <w:basedOn w:val="DefaultParagraphFont"/>
    <w:rsid w:val="000964C7"/>
    <w:rPr>
      <w:rFonts w:ascii="Times New Roman" w:hAnsi="Times New Roman"/>
      <w:sz w:val="18"/>
      <w:vertAlign w:val="superscript"/>
      <w:lang w:val="fr-CH" w:eastAsia="x-none"/>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eastAsia="x-none"/>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H1GChar">
    <w:name w:val="_ H_1_G Char"/>
    <w:link w:val="H1G"/>
    <w:locked/>
    <w:rsid w:val="006B09E0"/>
    <w:rPr>
      <w:b/>
      <w:sz w:val="24"/>
      <w:lang w:val="fr-CH" w:eastAsia="en-US"/>
    </w:rPr>
  </w:style>
  <w:style w:type="character" w:customStyle="1" w:styleId="H23GChar">
    <w:name w:val="_ H_2/3_G Char"/>
    <w:link w:val="H23G"/>
    <w:locked/>
    <w:rsid w:val="006B09E0"/>
    <w:rPr>
      <w:b/>
      <w:lang w:val="fr-CH" w:eastAsia="en-US"/>
    </w:rPr>
  </w:style>
  <w:style w:type="character" w:customStyle="1" w:styleId="SingleTxtGChar">
    <w:name w:val="_ Single Txt_G Char"/>
    <w:link w:val="SingleTxtG"/>
    <w:locked/>
    <w:rsid w:val="006B09E0"/>
    <w:rPr>
      <w:lang w:val="fr-CH" w:eastAsia="en-US"/>
    </w:rPr>
  </w:style>
  <w:style w:type="character" w:customStyle="1" w:styleId="FootnoteTextChar">
    <w:name w:val="Footnote Text Char"/>
    <w:aliases w:val="5_G Char"/>
    <w:link w:val="FootnoteText"/>
    <w:locked/>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basedOn w:val="DefaultParagraphFont"/>
    <w:rsid w:val="000963EA"/>
    <w:rPr>
      <w:sz w:val="16"/>
    </w:rPr>
  </w:style>
  <w:style w:type="paragraph" w:styleId="CommentText">
    <w:name w:val="annotation text"/>
    <w:basedOn w:val="Normal"/>
    <w:link w:val="CommentTextChar"/>
    <w:rsid w:val="000963EA"/>
  </w:style>
  <w:style w:type="character" w:customStyle="1" w:styleId="CommentTextChar">
    <w:name w:val="Comment Text Char"/>
    <w:link w:val="CommentText"/>
    <w:locked/>
    <w:rsid w:val="000963EA"/>
    <w:rPr>
      <w:lang w:val="fr-CH" w:eastAsia="en-US"/>
    </w:rPr>
  </w:style>
  <w:style w:type="paragraph" w:styleId="BalloonText">
    <w:name w:val="Balloon Text"/>
    <w:basedOn w:val="Normal"/>
    <w:link w:val="BalloonTextChar"/>
    <w:rsid w:val="001A37C7"/>
    <w:pPr>
      <w:spacing w:line="240" w:lineRule="auto"/>
    </w:pPr>
    <w:rPr>
      <w:rFonts w:ascii="Tahoma" w:hAnsi="Tahoma"/>
      <w:sz w:val="16"/>
      <w:szCs w:val="16"/>
    </w:rPr>
  </w:style>
  <w:style w:type="character" w:customStyle="1" w:styleId="BalloonTextChar">
    <w:name w:val="Balloon Text Char"/>
    <w:link w:val="BalloonText"/>
    <w:locked/>
    <w:rsid w:val="001A37C7"/>
    <w:rPr>
      <w:rFonts w:ascii="Tahoma" w:hAnsi="Tahoma"/>
      <w:sz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rPr>
  </w:style>
  <w:style w:type="character" w:customStyle="1" w:styleId="Heading1Char">
    <w:name w:val="Heading 1 Char"/>
    <w:aliases w:val="Table_G Char"/>
    <w:link w:val="Heading1"/>
    <w:locked/>
    <w:rsid w:val="00742FD7"/>
    <w:rPr>
      <w:lang w:val="fr-CH" w:eastAsia="en-US"/>
    </w:rPr>
  </w:style>
  <w:style w:type="character" w:customStyle="1" w:styleId="SingleTxtGCar">
    <w:name w:val="_ Single Txt_G Car"/>
    <w:rsid w:val="00742FD7"/>
    <w:rPr>
      <w:lang w:val="fr-CH" w:eastAsia="en-US"/>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locked/>
    <w:rsid w:val="00742FD7"/>
    <w:rPr>
      <w:b/>
      <w:lang w:val="fr-CH" w:eastAsia="en-US"/>
    </w:rPr>
  </w:style>
  <w:style w:type="paragraph" w:styleId="Revision">
    <w:name w:val="Revision"/>
    <w:hidden/>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eastAsia="en-US"/>
    </w:rPr>
  </w:style>
  <w:style w:type="character" w:customStyle="1" w:styleId="ParNoGCar">
    <w:name w:val="_ParNo_G Car"/>
    <w:link w:val="ParNoG"/>
    <w:locked/>
    <w:rsid w:val="0052158A"/>
    <w:rPr>
      <w:lang w:val="fr-CH" w:eastAsia="en-US"/>
    </w:rPr>
  </w:style>
  <w:style w:type="paragraph" w:customStyle="1" w:styleId="SingleTxt">
    <w:name w:val="__Single Txt"/>
    <w:basedOn w:val="Normal"/>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TRANS_WP15_AC1_F.dotm</Template>
  <TotalTime>20</TotalTime>
  <Pages>3</Pages>
  <Words>785</Words>
  <Characters>4477</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ECE-TRANS-WP.15-AC.2-2018-XYf.doc</vt:lpstr>
      <vt:lpstr>ECE-TRANS-WP.15-AC.2-2018-XYf.doc</vt:lpstr>
    </vt:vector>
  </TitlesOfParts>
  <Company>CSD</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ECE-TRANS-WP.15-AC.2-2018-XYf.doc</dc:title>
  <dc:subject/>
  <dc:creator>UNECE</dc:creator>
  <cp:keywords/>
  <dc:description/>
  <cp:lastModifiedBy>ECE/ADN/45</cp:lastModifiedBy>
  <cp:revision>14</cp:revision>
  <cp:lastPrinted>2018-06-04T09:20:00Z</cp:lastPrinted>
  <dcterms:created xsi:type="dcterms:W3CDTF">2018-05-25T08:56:00Z</dcterms:created>
  <dcterms:modified xsi:type="dcterms:W3CDTF">2018-06-04T09:39:00Z</dcterms:modified>
</cp:coreProperties>
</file>