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447BF" w:rsidRPr="00D70305" w:rsidTr="00F01516">
        <w:trPr>
          <w:trHeight w:hRule="exact" w:val="851"/>
        </w:trPr>
        <w:tc>
          <w:tcPr>
            <w:tcW w:w="1277" w:type="dxa"/>
            <w:tcBorders>
              <w:bottom w:val="single" w:sz="4" w:space="0" w:color="auto"/>
            </w:tcBorders>
          </w:tcPr>
          <w:p w:rsidR="003447BF" w:rsidRPr="00367E6A" w:rsidRDefault="003447BF" w:rsidP="00F01516">
            <w:pPr>
              <w:rPr>
                <w:lang w:val="fr-FR"/>
              </w:rPr>
            </w:pPr>
          </w:p>
        </w:tc>
        <w:tc>
          <w:tcPr>
            <w:tcW w:w="2268" w:type="dxa"/>
            <w:tcBorders>
              <w:bottom w:val="single" w:sz="4" w:space="0" w:color="auto"/>
            </w:tcBorders>
            <w:vAlign w:val="bottom"/>
          </w:tcPr>
          <w:p w:rsidR="003447BF" w:rsidRPr="00367E6A" w:rsidRDefault="003447BF"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rsidR="003447BF" w:rsidRPr="006D7AA7" w:rsidRDefault="003447BF" w:rsidP="00DC45A6">
            <w:pPr>
              <w:jc w:val="right"/>
              <w:rPr>
                <w:lang w:val="en-GB"/>
              </w:rPr>
            </w:pPr>
            <w:r w:rsidRPr="006D7AA7">
              <w:rPr>
                <w:sz w:val="40"/>
                <w:lang w:val="en-GB"/>
              </w:rPr>
              <w:t>ECE</w:t>
            </w:r>
            <w:r w:rsidRPr="006D7AA7">
              <w:rPr>
                <w:lang w:val="en-GB"/>
              </w:rPr>
              <w:t>/TRANS/WP.15/AC.2/201</w:t>
            </w:r>
            <w:r w:rsidR="00D70305" w:rsidRPr="006D7AA7">
              <w:rPr>
                <w:lang w:val="en-GB"/>
              </w:rPr>
              <w:t>8</w:t>
            </w:r>
            <w:r w:rsidRPr="006D7AA7">
              <w:rPr>
                <w:lang w:val="en-GB"/>
              </w:rPr>
              <w:t>/</w:t>
            </w:r>
            <w:r w:rsidR="00780335">
              <w:rPr>
                <w:lang w:val="en-GB"/>
              </w:rPr>
              <w:t>3</w:t>
            </w:r>
            <w:r w:rsidR="005A515D">
              <w:rPr>
                <w:lang w:val="en-GB"/>
              </w:rPr>
              <w:t>2</w:t>
            </w:r>
          </w:p>
        </w:tc>
      </w:tr>
      <w:tr w:rsidR="003447BF" w:rsidRPr="00367E6A" w:rsidTr="00F01516">
        <w:trPr>
          <w:trHeight w:hRule="exact" w:val="2835"/>
        </w:trPr>
        <w:tc>
          <w:tcPr>
            <w:tcW w:w="1276" w:type="dxa"/>
            <w:tcBorders>
              <w:top w:val="single" w:sz="4" w:space="0" w:color="auto"/>
              <w:bottom w:val="single" w:sz="12" w:space="0" w:color="auto"/>
            </w:tcBorders>
          </w:tcPr>
          <w:p w:rsidR="003447BF" w:rsidRPr="00367E6A" w:rsidRDefault="0049520B" w:rsidP="00F01516">
            <w:pPr>
              <w:spacing w:before="120"/>
              <w:jc w:val="center"/>
              <w:rPr>
                <w:lang w:val="fr-FR"/>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1pt;height:46.8pt;visibility:visible">
                  <v:imagedata r:id="rId8" o:title=""/>
                </v:shape>
              </w:pict>
            </w:r>
          </w:p>
        </w:tc>
        <w:tc>
          <w:tcPr>
            <w:tcW w:w="5528" w:type="dxa"/>
            <w:gridSpan w:val="2"/>
            <w:tcBorders>
              <w:top w:val="single" w:sz="4" w:space="0" w:color="auto"/>
              <w:bottom w:val="single" w:sz="12" w:space="0" w:color="auto"/>
            </w:tcBorders>
          </w:tcPr>
          <w:p w:rsidR="003447BF" w:rsidRPr="00367E6A" w:rsidRDefault="003447BF"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447BF" w:rsidRDefault="003447BF" w:rsidP="00C4302B">
            <w:pPr>
              <w:spacing w:before="240" w:line="240" w:lineRule="exact"/>
              <w:rPr>
                <w:lang w:val="fr-FR"/>
              </w:rPr>
            </w:pPr>
            <w:proofErr w:type="spellStart"/>
            <w:r>
              <w:rPr>
                <w:lang w:val="fr-FR"/>
              </w:rPr>
              <w:t>Distr</w:t>
            </w:r>
            <w:proofErr w:type="spellEnd"/>
            <w:r>
              <w:rPr>
                <w:lang w:val="fr-FR"/>
              </w:rPr>
              <w:t xml:space="preserve">. </w:t>
            </w:r>
            <w:proofErr w:type="gramStart"/>
            <w:r>
              <w:rPr>
                <w:lang w:val="fr-FR"/>
              </w:rPr>
              <w:t>générale</w:t>
            </w:r>
            <w:proofErr w:type="gramEnd"/>
          </w:p>
          <w:p w:rsidR="003447BF" w:rsidRDefault="00B03AD8" w:rsidP="00072E86">
            <w:pPr>
              <w:spacing w:line="240" w:lineRule="exact"/>
              <w:rPr>
                <w:lang w:val="fr-FR"/>
              </w:rPr>
            </w:pPr>
            <w:r>
              <w:rPr>
                <w:lang w:val="fr-FR"/>
              </w:rPr>
              <w:t>4 juin</w:t>
            </w:r>
            <w:r w:rsidR="00D70305">
              <w:rPr>
                <w:lang w:val="fr-FR"/>
              </w:rPr>
              <w:t xml:space="preserve"> 201</w:t>
            </w:r>
            <w:r w:rsidR="0028112F">
              <w:rPr>
                <w:lang w:val="fr-FR"/>
              </w:rPr>
              <w:t>8</w:t>
            </w:r>
          </w:p>
          <w:p w:rsidR="003447BF" w:rsidRDefault="003447BF" w:rsidP="00C4302B">
            <w:pPr>
              <w:spacing w:line="240" w:lineRule="exact"/>
              <w:rPr>
                <w:lang w:val="fr-FR"/>
              </w:rPr>
            </w:pPr>
          </w:p>
          <w:p w:rsidR="003447BF" w:rsidRPr="00367E6A" w:rsidRDefault="003447BF" w:rsidP="00B30CFB">
            <w:pPr>
              <w:spacing w:line="240" w:lineRule="exact"/>
              <w:rPr>
                <w:lang w:val="fr-FR"/>
              </w:rPr>
            </w:pPr>
            <w:r>
              <w:rPr>
                <w:lang w:val="fr-FR"/>
              </w:rPr>
              <w:t>Original</w:t>
            </w:r>
            <w:r w:rsidR="00AD545E">
              <w:rPr>
                <w:lang w:val="fr-FR"/>
              </w:rPr>
              <w:t xml:space="preserve"> </w:t>
            </w:r>
            <w:r>
              <w:rPr>
                <w:lang w:val="fr-FR"/>
              </w:rPr>
              <w:t xml:space="preserve">: </w:t>
            </w:r>
            <w:r w:rsidR="00D319BE">
              <w:rPr>
                <w:lang w:val="fr-FR"/>
              </w:rPr>
              <w:t>f</w:t>
            </w:r>
            <w:r>
              <w:rPr>
                <w:lang w:val="fr-FR"/>
              </w:rPr>
              <w:t xml:space="preserve">rançais </w:t>
            </w:r>
          </w:p>
        </w:tc>
      </w:tr>
    </w:tbl>
    <w:p w:rsidR="003447BF" w:rsidRPr="00367E6A" w:rsidRDefault="003447BF" w:rsidP="000312C0">
      <w:pPr>
        <w:spacing w:before="120"/>
        <w:rPr>
          <w:b/>
          <w:sz w:val="28"/>
          <w:szCs w:val="28"/>
          <w:lang w:val="fr-FR"/>
        </w:rPr>
      </w:pPr>
      <w:r w:rsidRPr="00367E6A">
        <w:rPr>
          <w:b/>
          <w:sz w:val="28"/>
          <w:szCs w:val="28"/>
          <w:lang w:val="fr-FR"/>
        </w:rPr>
        <w:t>Commission économique pour l’Europe</w:t>
      </w:r>
    </w:p>
    <w:p w:rsidR="003447BF" w:rsidRPr="00367E6A" w:rsidRDefault="003447BF" w:rsidP="00B93E72">
      <w:pPr>
        <w:spacing w:before="120"/>
        <w:rPr>
          <w:sz w:val="28"/>
          <w:szCs w:val="28"/>
          <w:lang w:val="fr-FR"/>
        </w:rPr>
      </w:pPr>
      <w:r w:rsidRPr="00367E6A">
        <w:rPr>
          <w:sz w:val="28"/>
          <w:szCs w:val="28"/>
          <w:lang w:val="fr-FR"/>
        </w:rPr>
        <w:t>Comité des transports intérieurs</w:t>
      </w:r>
    </w:p>
    <w:p w:rsidR="003447BF" w:rsidRPr="00367E6A" w:rsidRDefault="003447BF" w:rsidP="00B93E72">
      <w:pPr>
        <w:spacing w:before="120"/>
        <w:rPr>
          <w:b/>
          <w:sz w:val="24"/>
          <w:szCs w:val="24"/>
          <w:lang w:val="fr-FR"/>
        </w:rPr>
      </w:pPr>
      <w:r w:rsidRPr="00367E6A">
        <w:rPr>
          <w:b/>
          <w:sz w:val="24"/>
          <w:szCs w:val="24"/>
          <w:lang w:val="fr-FR"/>
        </w:rPr>
        <w:t>Groupe de travail des transports de marchandises dangereuses</w:t>
      </w:r>
    </w:p>
    <w:p w:rsidR="003447BF" w:rsidRPr="00A17EEC" w:rsidRDefault="003447BF" w:rsidP="0049374F">
      <w:pPr>
        <w:spacing w:before="120"/>
        <w:rPr>
          <w:b/>
          <w:lang w:val="fr-FR"/>
        </w:rPr>
      </w:pPr>
      <w:r w:rsidRPr="00A17EEC">
        <w:rPr>
          <w:b/>
          <w:lang w:val="fr-FR"/>
        </w:rPr>
        <w:t>Réunion commune d’experts sur le Règlement annexé</w:t>
      </w:r>
      <w:r w:rsidRPr="00A17EEC">
        <w:rPr>
          <w:b/>
          <w:lang w:val="fr-FR"/>
        </w:rPr>
        <w:br/>
        <w:t>à l’Accord européen relatif au transport international</w:t>
      </w:r>
      <w:r w:rsidRPr="00A17EEC">
        <w:rPr>
          <w:b/>
          <w:lang w:val="fr-FR"/>
        </w:rPr>
        <w:br/>
        <w:t xml:space="preserve">des marchandises </w:t>
      </w:r>
      <w:r w:rsidRPr="00A17EEC">
        <w:rPr>
          <w:b/>
          <w:bCs/>
          <w:iCs/>
          <w:lang w:val="fr-FR"/>
        </w:rPr>
        <w:t>dangereuses par voies de navigation</w:t>
      </w:r>
      <w:r w:rsidRPr="00A17EEC">
        <w:rPr>
          <w:b/>
          <w:bCs/>
          <w:iCs/>
          <w:lang w:val="fr-FR"/>
        </w:rPr>
        <w:br/>
        <w:t xml:space="preserve">intérieures (ADN) </w:t>
      </w:r>
      <w:r w:rsidRPr="00A17EEC">
        <w:rPr>
          <w:b/>
          <w:bCs/>
          <w:lang w:val="fr-FR"/>
        </w:rPr>
        <w:t>(Comité de sécurité de l’ADN)</w:t>
      </w:r>
    </w:p>
    <w:p w:rsidR="003447BF" w:rsidRPr="00234E40" w:rsidRDefault="00D70305" w:rsidP="00D70305">
      <w:pPr>
        <w:spacing w:before="120"/>
        <w:rPr>
          <w:b/>
        </w:rPr>
      </w:pPr>
      <w:r>
        <w:rPr>
          <w:b/>
        </w:rPr>
        <w:t>Trente-</w:t>
      </w:r>
      <w:r w:rsidR="00770118">
        <w:rPr>
          <w:b/>
        </w:rPr>
        <w:t>troisième</w:t>
      </w:r>
      <w:r w:rsidR="003447BF">
        <w:rPr>
          <w:b/>
        </w:rPr>
        <w:t xml:space="preserve"> </w:t>
      </w:r>
      <w:r w:rsidR="003447BF" w:rsidRPr="00234E40">
        <w:rPr>
          <w:b/>
        </w:rPr>
        <w:t>session</w:t>
      </w:r>
    </w:p>
    <w:p w:rsidR="003447BF" w:rsidRDefault="003447BF" w:rsidP="00745866">
      <w:r>
        <w:t>Genève, 2</w:t>
      </w:r>
      <w:r w:rsidR="00770118">
        <w:t>7</w:t>
      </w:r>
      <w:r>
        <w:t>-</w:t>
      </w:r>
      <w:r w:rsidR="00770118">
        <w:t>31</w:t>
      </w:r>
      <w:r>
        <w:t xml:space="preserve"> </w:t>
      </w:r>
      <w:r w:rsidR="00770118">
        <w:t>août</w:t>
      </w:r>
      <w:r>
        <w:t xml:space="preserve"> 201</w:t>
      </w:r>
      <w:r w:rsidR="00745866">
        <w:t>8</w:t>
      </w:r>
    </w:p>
    <w:p w:rsidR="003447BF" w:rsidRDefault="003447BF" w:rsidP="0049374F">
      <w:r w:rsidRPr="00B93E72">
        <w:t xml:space="preserve">Point </w:t>
      </w:r>
      <w:r w:rsidR="00B03AD8">
        <w:t>4</w:t>
      </w:r>
      <w:r w:rsidRPr="0013653F">
        <w:t xml:space="preserve"> b)</w:t>
      </w:r>
      <w:r w:rsidRPr="00B93E72">
        <w:t xml:space="preserve"> de l</w:t>
      </w:r>
      <w:r>
        <w:t>’</w:t>
      </w:r>
      <w:r w:rsidRPr="00B93E72">
        <w:t>ordre du jour provisoire</w:t>
      </w:r>
    </w:p>
    <w:p w:rsidR="003447BF" w:rsidRPr="00B30CFB" w:rsidRDefault="003447BF" w:rsidP="001850B8">
      <w:pPr>
        <w:rPr>
          <w:b/>
          <w:lang w:val="fr-FR"/>
        </w:rPr>
      </w:pPr>
      <w:r w:rsidRPr="00B30CFB">
        <w:rPr>
          <w:b/>
          <w:lang w:val="fr-FR"/>
        </w:rPr>
        <w:t xml:space="preserve">Propositions </w:t>
      </w:r>
      <w:r>
        <w:rPr>
          <w:b/>
          <w:lang w:val="fr-FR"/>
        </w:rPr>
        <w:t>d'amendements au R</w:t>
      </w:r>
      <w:r w:rsidRPr="00B30CFB">
        <w:rPr>
          <w:b/>
          <w:lang w:val="fr-FR"/>
        </w:rPr>
        <w:t>èglement annexé à l'ADN</w:t>
      </w:r>
      <w:r w:rsidR="001850B8">
        <w:rPr>
          <w:b/>
          <w:lang w:val="fr-FR"/>
        </w:rPr>
        <w:t> :</w:t>
      </w:r>
    </w:p>
    <w:p w:rsidR="003447BF" w:rsidRPr="00C63AC1" w:rsidRDefault="006D7AA7" w:rsidP="00B30CFB">
      <w:proofErr w:type="gramStart"/>
      <w:r>
        <w:rPr>
          <w:b/>
          <w:lang w:val="fr-FR"/>
        </w:rPr>
        <w:t>a</w:t>
      </w:r>
      <w:r w:rsidR="00F37523">
        <w:rPr>
          <w:b/>
          <w:lang w:val="fr-FR"/>
        </w:rPr>
        <w:t>u</w:t>
      </w:r>
      <w:r w:rsidR="003447BF">
        <w:rPr>
          <w:b/>
          <w:lang w:val="fr-FR"/>
        </w:rPr>
        <w:t>tres</w:t>
      </w:r>
      <w:proofErr w:type="gramEnd"/>
      <w:r w:rsidR="003447BF">
        <w:rPr>
          <w:b/>
          <w:lang w:val="fr-FR"/>
        </w:rPr>
        <w:t xml:space="preserve"> propositions</w:t>
      </w:r>
    </w:p>
    <w:p w:rsidR="003447BF" w:rsidRPr="00EA0C87" w:rsidRDefault="00B83A66" w:rsidP="00A87087">
      <w:pPr>
        <w:pStyle w:val="HChG"/>
        <w:keepNext w:val="0"/>
      </w:pPr>
      <w:r>
        <w:tab/>
      </w:r>
      <w:r>
        <w:tab/>
      </w:r>
      <w:r w:rsidR="00A87087" w:rsidRPr="00A87087">
        <w:rPr>
          <w:bCs/>
          <w:lang w:val="fr-FR"/>
        </w:rPr>
        <w:t>Modifications concernant la protection contre l'explosion à bord de bateaux-citernes de la navigation intérieure</w:t>
      </w:r>
    </w:p>
    <w:p w:rsidR="003447BF" w:rsidRDefault="003447BF" w:rsidP="00D0029B">
      <w:pPr>
        <w:pStyle w:val="H1G"/>
        <w:keepNext w:val="0"/>
        <w:rPr>
          <w:b w:val="0"/>
          <w:bCs/>
          <w:szCs w:val="24"/>
        </w:rPr>
      </w:pPr>
      <w:r w:rsidRPr="00EA0C87">
        <w:tab/>
      </w:r>
      <w:r w:rsidRPr="00EA0C87">
        <w:tab/>
      </w:r>
      <w:r w:rsidR="00780335" w:rsidRPr="00780335">
        <w:rPr>
          <w:lang w:val="fr-FR"/>
        </w:rPr>
        <w:t>Communication du Gouvernement de l’</w:t>
      </w:r>
      <w:r w:rsidR="00D0029B" w:rsidRPr="00D0029B">
        <w:rPr>
          <w:lang w:val="fr-FR"/>
        </w:rPr>
        <w:t>Allemagne</w:t>
      </w:r>
      <w:r w:rsidR="00DB533B" w:rsidRPr="00905A77">
        <w:rPr>
          <w:rStyle w:val="FootnoteReference"/>
          <w:b w:val="0"/>
          <w:bCs/>
          <w:sz w:val="24"/>
          <w:szCs w:val="24"/>
        </w:rPr>
        <w:footnoteReference w:id="2"/>
      </w:r>
      <w:r w:rsidR="004D5258" w:rsidRPr="00905A77">
        <w:rPr>
          <w:b w:val="0"/>
          <w:bCs/>
          <w:szCs w:val="24"/>
          <w:vertAlign w:val="superscript"/>
          <w:lang w:val="fr-FR"/>
        </w:rPr>
        <w:t>,</w:t>
      </w:r>
      <w:r w:rsidR="00DB533B" w:rsidRPr="00905A77">
        <w:rPr>
          <w:rStyle w:val="FootnoteReference"/>
          <w:b w:val="0"/>
          <w:bCs/>
          <w:sz w:val="24"/>
          <w:szCs w:val="24"/>
        </w:rPr>
        <w:footnoteReference w:customMarkFollows="1" w:id="3"/>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A87087" w:rsidRPr="00A87087" w:rsidTr="009A0B0D">
        <w:trPr>
          <w:jc w:val="center"/>
        </w:trPr>
        <w:tc>
          <w:tcPr>
            <w:tcW w:w="2330" w:type="dxa"/>
          </w:tcPr>
          <w:p w:rsidR="00A87087" w:rsidRPr="00A87087" w:rsidRDefault="00A87087" w:rsidP="00A87087">
            <w:pPr>
              <w:widowControl w:val="0"/>
              <w:tabs>
                <w:tab w:val="left" w:pos="284"/>
              </w:tabs>
              <w:suppressAutoHyphens w:val="0"/>
              <w:overflowPunct w:val="0"/>
              <w:autoSpaceDE w:val="0"/>
              <w:autoSpaceDN w:val="0"/>
              <w:adjustRightInd w:val="0"/>
              <w:spacing w:before="120" w:after="120" w:line="240" w:lineRule="auto"/>
              <w:ind w:left="1134" w:hanging="1134"/>
              <w:jc w:val="both"/>
              <w:textAlignment w:val="baseline"/>
              <w:rPr>
                <w:i/>
                <w:lang w:val="fr-FR" w:eastAsia="fr-FR"/>
              </w:rPr>
            </w:pPr>
            <w:r w:rsidRPr="00A87087">
              <w:rPr>
                <w:rFonts w:eastAsia="Arial"/>
                <w:i/>
                <w:lang w:val="fr-FR" w:eastAsia="fr-FR"/>
              </w:rPr>
              <w:t>Résumé</w:t>
            </w:r>
          </w:p>
        </w:tc>
        <w:tc>
          <w:tcPr>
            <w:tcW w:w="7309" w:type="dxa"/>
          </w:tcPr>
          <w:p w:rsidR="00A87087" w:rsidRPr="00A87087" w:rsidRDefault="00A87087" w:rsidP="00A87087">
            <w:pPr>
              <w:widowControl w:val="0"/>
              <w:suppressAutoHyphens w:val="0"/>
              <w:overflowPunct w:val="0"/>
              <w:autoSpaceDE w:val="0"/>
              <w:autoSpaceDN w:val="0"/>
              <w:adjustRightInd w:val="0"/>
              <w:spacing w:before="120" w:after="120" w:line="240" w:lineRule="auto"/>
              <w:ind w:left="1134" w:hanging="1134"/>
              <w:jc w:val="both"/>
              <w:textAlignment w:val="baseline"/>
              <w:rPr>
                <w:lang w:val="fr-FR" w:eastAsia="fr-FR"/>
              </w:rPr>
            </w:pPr>
          </w:p>
        </w:tc>
      </w:tr>
      <w:tr w:rsidR="00A87087" w:rsidRPr="00A87087" w:rsidTr="009A0B0D">
        <w:trPr>
          <w:jc w:val="center"/>
        </w:trPr>
        <w:tc>
          <w:tcPr>
            <w:tcW w:w="2330" w:type="dxa"/>
            <w:tcBorders>
              <w:bottom w:val="single" w:sz="4" w:space="0" w:color="auto"/>
            </w:tcBorders>
          </w:tcPr>
          <w:p w:rsidR="00A87087" w:rsidRPr="00A87087" w:rsidRDefault="001F1563" w:rsidP="00A87087">
            <w:pPr>
              <w:widowControl w:val="0"/>
              <w:suppressAutoHyphens w:val="0"/>
              <w:overflowPunct w:val="0"/>
              <w:autoSpaceDE w:val="0"/>
              <w:autoSpaceDN w:val="0"/>
              <w:adjustRightInd w:val="0"/>
              <w:spacing w:before="120" w:after="120" w:line="240" w:lineRule="auto"/>
              <w:textAlignment w:val="baseline"/>
              <w:rPr>
                <w:b/>
                <w:lang w:val="fr-FR" w:eastAsia="fr-FR"/>
              </w:rPr>
            </w:pPr>
            <w:r>
              <w:rPr>
                <w:b/>
                <w:lang w:val="fr-FR" w:eastAsia="fr-FR"/>
              </w:rPr>
              <w:t>Résumé analytique :</w:t>
            </w:r>
          </w:p>
        </w:tc>
        <w:tc>
          <w:tcPr>
            <w:tcW w:w="7309" w:type="dxa"/>
          </w:tcPr>
          <w:p w:rsidR="00A87087" w:rsidRPr="00A87087" w:rsidRDefault="00A87087" w:rsidP="00A87087">
            <w:pPr>
              <w:suppressAutoHyphens w:val="0"/>
              <w:autoSpaceDE w:val="0"/>
              <w:autoSpaceDN w:val="0"/>
              <w:adjustRightInd w:val="0"/>
              <w:spacing w:line="240" w:lineRule="auto"/>
              <w:rPr>
                <w:rFonts w:cs="Arial"/>
                <w:lang w:val="fr-FR" w:eastAsia="fr-FR"/>
              </w:rPr>
            </w:pPr>
            <w:r w:rsidRPr="00A87087">
              <w:rPr>
                <w:rFonts w:cs="Arial"/>
                <w:lang w:val="fr-FR" w:eastAsia="fr-FR"/>
              </w:rPr>
              <w:t>Il a été constaté que les modifications de l'ADN concernant la protection contre l'explosion à bord de bateaux-citernes de la navigation intérieure qui ont été adoptées par le Comité de sécurité pour une entrée en vigueur au 1er janvier 2019 nécessitent des corrections.</w:t>
            </w:r>
          </w:p>
        </w:tc>
      </w:tr>
      <w:tr w:rsidR="00A87087" w:rsidRPr="00A87087" w:rsidTr="009A0B0D">
        <w:trPr>
          <w:jc w:val="center"/>
        </w:trPr>
        <w:tc>
          <w:tcPr>
            <w:tcW w:w="2330" w:type="dxa"/>
            <w:tcBorders>
              <w:bottom w:val="single" w:sz="4" w:space="0" w:color="auto"/>
            </w:tcBorders>
          </w:tcPr>
          <w:p w:rsidR="00A87087" w:rsidRPr="00A87087" w:rsidRDefault="00B03AD8" w:rsidP="00A87087">
            <w:pPr>
              <w:widowControl w:val="0"/>
              <w:suppressAutoHyphens w:val="0"/>
              <w:overflowPunct w:val="0"/>
              <w:autoSpaceDE w:val="0"/>
              <w:autoSpaceDN w:val="0"/>
              <w:adjustRightInd w:val="0"/>
              <w:spacing w:before="120" w:after="120" w:line="240" w:lineRule="auto"/>
              <w:textAlignment w:val="baseline"/>
              <w:rPr>
                <w:b/>
                <w:lang w:val="fr-FR" w:eastAsia="fr-FR"/>
              </w:rPr>
            </w:pPr>
            <w:r>
              <w:rPr>
                <w:b/>
                <w:lang w:val="fr-FR" w:eastAsia="fr-FR"/>
              </w:rPr>
              <w:t>Mesure à prendre :</w:t>
            </w:r>
          </w:p>
        </w:tc>
        <w:tc>
          <w:tcPr>
            <w:tcW w:w="7309" w:type="dxa"/>
          </w:tcPr>
          <w:p w:rsidR="00A87087" w:rsidRPr="00A87087" w:rsidRDefault="00A87087" w:rsidP="00A87087">
            <w:pPr>
              <w:widowControl w:val="0"/>
              <w:suppressAutoHyphens w:val="0"/>
              <w:overflowPunct w:val="0"/>
              <w:autoSpaceDE w:val="0"/>
              <w:autoSpaceDN w:val="0"/>
              <w:adjustRightInd w:val="0"/>
              <w:spacing w:before="120" w:after="120" w:line="240" w:lineRule="auto"/>
              <w:ind w:left="11"/>
              <w:jc w:val="both"/>
              <w:textAlignment w:val="baseline"/>
              <w:rPr>
                <w:lang w:val="fr-FR" w:eastAsia="fr-FR"/>
              </w:rPr>
            </w:pPr>
            <w:r w:rsidRPr="00A87087">
              <w:rPr>
                <w:lang w:val="fr-FR" w:eastAsia="fr-FR"/>
              </w:rPr>
              <w:t>Correction des modifications adoptées pour 1.6.7.2.2.2 et 9.3.2.22.4.</w:t>
            </w:r>
          </w:p>
        </w:tc>
      </w:tr>
      <w:tr w:rsidR="00A87087" w:rsidRPr="00A87087" w:rsidTr="009A0B0D">
        <w:trPr>
          <w:jc w:val="center"/>
        </w:trPr>
        <w:tc>
          <w:tcPr>
            <w:tcW w:w="2330" w:type="dxa"/>
            <w:tcBorders>
              <w:top w:val="single" w:sz="4" w:space="0" w:color="auto"/>
            </w:tcBorders>
          </w:tcPr>
          <w:p w:rsidR="00A87087" w:rsidRPr="00A87087" w:rsidRDefault="00A87087" w:rsidP="00A87087">
            <w:pPr>
              <w:widowControl w:val="0"/>
              <w:tabs>
                <w:tab w:val="left" w:pos="284"/>
              </w:tabs>
              <w:suppressAutoHyphens w:val="0"/>
              <w:overflowPunct w:val="0"/>
              <w:autoSpaceDE w:val="0"/>
              <w:autoSpaceDN w:val="0"/>
              <w:adjustRightInd w:val="0"/>
              <w:spacing w:before="120" w:after="120" w:line="240" w:lineRule="auto"/>
              <w:textAlignment w:val="baseline"/>
              <w:rPr>
                <w:b/>
                <w:lang w:val="fr-FR" w:eastAsia="fr-FR"/>
              </w:rPr>
            </w:pPr>
            <w:r w:rsidRPr="00A87087">
              <w:rPr>
                <w:b/>
                <w:lang w:val="fr-FR" w:eastAsia="fr-FR"/>
              </w:rPr>
              <w:t>Documents connexes :</w:t>
            </w:r>
          </w:p>
        </w:tc>
        <w:tc>
          <w:tcPr>
            <w:tcW w:w="7309" w:type="dxa"/>
          </w:tcPr>
          <w:p w:rsidR="00A87087" w:rsidRPr="00A87087" w:rsidRDefault="00A87087" w:rsidP="00A87087">
            <w:pPr>
              <w:widowControl w:val="0"/>
              <w:suppressAutoHyphens w:val="0"/>
              <w:overflowPunct w:val="0"/>
              <w:autoSpaceDE w:val="0"/>
              <w:autoSpaceDN w:val="0"/>
              <w:adjustRightInd w:val="0"/>
              <w:spacing w:line="240" w:lineRule="auto"/>
              <w:ind w:left="11"/>
              <w:jc w:val="both"/>
              <w:textAlignment w:val="baseline"/>
              <w:rPr>
                <w:rFonts w:eastAsia="Calibri"/>
                <w:lang w:val="fr-FR" w:eastAsia="fr-FR"/>
              </w:rPr>
            </w:pPr>
            <w:r w:rsidRPr="00A87087">
              <w:rPr>
                <w:rFonts w:eastAsia="Calibri"/>
                <w:lang w:val="fr-FR" w:eastAsia="fr-FR"/>
              </w:rPr>
              <w:t>ECE/TRANS/WP.15/AC.2/2018/</w:t>
            </w:r>
            <w:proofErr w:type="gramStart"/>
            <w:r w:rsidRPr="00A87087">
              <w:rPr>
                <w:rFonts w:eastAsia="Calibri"/>
                <w:lang w:val="fr-FR" w:eastAsia="fr-FR"/>
              </w:rPr>
              <w:t>11;</w:t>
            </w:r>
            <w:proofErr w:type="gramEnd"/>
          </w:p>
          <w:p w:rsidR="00A87087" w:rsidRPr="00A87087" w:rsidRDefault="00A87087" w:rsidP="00A87087">
            <w:pPr>
              <w:widowControl w:val="0"/>
              <w:suppressAutoHyphens w:val="0"/>
              <w:overflowPunct w:val="0"/>
              <w:autoSpaceDE w:val="0"/>
              <w:autoSpaceDN w:val="0"/>
              <w:adjustRightInd w:val="0"/>
              <w:spacing w:line="240" w:lineRule="auto"/>
              <w:ind w:left="11"/>
              <w:jc w:val="both"/>
              <w:textAlignment w:val="baseline"/>
              <w:rPr>
                <w:rFonts w:eastAsia="Calibri"/>
                <w:lang w:val="fr-FR" w:eastAsia="fr-FR"/>
              </w:rPr>
            </w:pPr>
            <w:r w:rsidRPr="00A87087">
              <w:rPr>
                <w:rFonts w:eastAsia="Calibri"/>
                <w:lang w:val="fr-FR" w:eastAsia="fr-FR"/>
              </w:rPr>
              <w:t>Do</w:t>
            </w:r>
            <w:bookmarkStart w:id="0" w:name="_GoBack"/>
            <w:bookmarkEnd w:id="0"/>
            <w:r w:rsidRPr="00A87087">
              <w:rPr>
                <w:rFonts w:eastAsia="Calibri"/>
                <w:lang w:val="fr-FR" w:eastAsia="fr-FR"/>
              </w:rPr>
              <w:t xml:space="preserve">cument informel INF.14 de la </w:t>
            </w:r>
            <w:r w:rsidR="00B03AD8">
              <w:rPr>
                <w:rFonts w:eastAsia="Calibri"/>
                <w:lang w:val="fr-FR" w:eastAsia="fr-FR"/>
              </w:rPr>
              <w:t>trente-deuxième</w:t>
            </w:r>
            <w:r w:rsidRPr="00A87087">
              <w:rPr>
                <w:rFonts w:eastAsia="Calibri"/>
                <w:lang w:val="fr-FR" w:eastAsia="fr-FR"/>
              </w:rPr>
              <w:t xml:space="preserve"> session ;</w:t>
            </w:r>
          </w:p>
          <w:p w:rsidR="00A87087" w:rsidRPr="00A87087" w:rsidRDefault="00FE642F" w:rsidP="00A87087">
            <w:pPr>
              <w:widowControl w:val="0"/>
              <w:suppressAutoHyphens w:val="0"/>
              <w:overflowPunct w:val="0"/>
              <w:autoSpaceDE w:val="0"/>
              <w:autoSpaceDN w:val="0"/>
              <w:adjustRightInd w:val="0"/>
              <w:spacing w:line="240" w:lineRule="auto"/>
              <w:ind w:left="11"/>
              <w:jc w:val="both"/>
              <w:textAlignment w:val="baseline"/>
              <w:rPr>
                <w:rFonts w:eastAsia="Calibri"/>
                <w:lang w:val="en-US" w:eastAsia="fr-FR"/>
              </w:rPr>
            </w:pPr>
            <w:r>
              <w:rPr>
                <w:rFonts w:eastAsia="Calibri"/>
                <w:lang w:val="en-US" w:eastAsia="fr-FR"/>
              </w:rPr>
              <w:t>ECE/TRANS/WP.15/AC.2/66, paras.</w:t>
            </w:r>
            <w:r w:rsidR="00A87087" w:rsidRPr="00A87087">
              <w:rPr>
                <w:rFonts w:eastAsia="Calibri"/>
                <w:lang w:val="en-US" w:eastAsia="fr-FR"/>
              </w:rPr>
              <w:t xml:space="preserve"> 61 – 66;</w:t>
            </w:r>
          </w:p>
          <w:p w:rsidR="00A87087" w:rsidRPr="00A87087" w:rsidRDefault="00A87087" w:rsidP="00A87087">
            <w:pPr>
              <w:widowControl w:val="0"/>
              <w:suppressAutoHyphens w:val="0"/>
              <w:overflowPunct w:val="0"/>
              <w:autoSpaceDE w:val="0"/>
              <w:autoSpaceDN w:val="0"/>
              <w:adjustRightInd w:val="0"/>
              <w:spacing w:line="240" w:lineRule="auto"/>
              <w:ind w:left="11"/>
              <w:jc w:val="both"/>
              <w:textAlignment w:val="baseline"/>
              <w:rPr>
                <w:lang w:val="en-US" w:eastAsia="fr-FR"/>
              </w:rPr>
            </w:pPr>
            <w:r w:rsidRPr="00A87087">
              <w:rPr>
                <w:rFonts w:eastAsia="Calibri"/>
                <w:lang w:val="en-US" w:eastAsia="fr-FR"/>
              </w:rPr>
              <w:t>ECE/TRANS/WP.15/AC.2/66/Add.1</w:t>
            </w:r>
          </w:p>
        </w:tc>
      </w:tr>
    </w:tbl>
    <w:p w:rsidR="00D0029B" w:rsidRPr="00B03AD8" w:rsidRDefault="00D0029B" w:rsidP="00D0029B">
      <w:pPr>
        <w:pStyle w:val="HChG"/>
        <w:rPr>
          <w:lang w:val="de-DE"/>
        </w:rPr>
      </w:pPr>
      <w:r>
        <w:rPr>
          <w:lang w:val="de-DE"/>
        </w:rPr>
        <w:lastRenderedPageBreak/>
        <w:tab/>
      </w:r>
      <w:r w:rsidRPr="00B03AD8">
        <w:rPr>
          <w:lang w:val="de-DE"/>
        </w:rPr>
        <w:tab/>
      </w:r>
      <w:proofErr w:type="spellStart"/>
      <w:r w:rsidRPr="00B03AD8">
        <w:rPr>
          <w:lang w:val="de-DE"/>
        </w:rPr>
        <w:t>Introduction</w:t>
      </w:r>
      <w:proofErr w:type="spellEnd"/>
    </w:p>
    <w:p w:rsidR="00A87087" w:rsidRPr="00B03AD8" w:rsidRDefault="00A87087" w:rsidP="00A87087">
      <w:pPr>
        <w:pStyle w:val="SingleTxtG"/>
        <w:rPr>
          <w:bCs/>
          <w:lang w:val="fr-FR"/>
        </w:rPr>
      </w:pPr>
      <w:r w:rsidRPr="00B03AD8">
        <w:rPr>
          <w:bCs/>
          <w:lang w:val="fr-FR"/>
        </w:rPr>
        <w:t>1.</w:t>
      </w:r>
      <w:r w:rsidRPr="00B03AD8">
        <w:rPr>
          <w:bCs/>
          <w:lang w:val="fr-FR"/>
        </w:rPr>
        <w:tab/>
        <w:t xml:space="preserve">Lors de sa </w:t>
      </w:r>
      <w:r w:rsidR="00B03AD8">
        <w:rPr>
          <w:bCs/>
          <w:lang w:val="fr-FR"/>
        </w:rPr>
        <w:t>trente-deuxième</w:t>
      </w:r>
      <w:r w:rsidRPr="00B03AD8">
        <w:rPr>
          <w:bCs/>
          <w:lang w:val="fr-FR"/>
        </w:rPr>
        <w:t xml:space="preserve"> session tenue en janvier 2018, le Comité de sécurité de l'ADN a examiné et adopté de nombreux amendements à l'ADN concernant la protection contre les explosions à bord de bateaux à marchandises sèches et de bateaux-citernes.</w:t>
      </w:r>
    </w:p>
    <w:p w:rsidR="00D0029B" w:rsidRPr="00B03AD8" w:rsidRDefault="00A87087" w:rsidP="00A87087">
      <w:pPr>
        <w:pStyle w:val="SingleTxtG"/>
        <w:rPr>
          <w:bCs/>
          <w:lang w:val="fr-FR"/>
        </w:rPr>
      </w:pPr>
      <w:r w:rsidRPr="00B03AD8">
        <w:rPr>
          <w:bCs/>
          <w:lang w:val="fr-FR"/>
        </w:rPr>
        <w:t>2.</w:t>
      </w:r>
      <w:r w:rsidRPr="00B03AD8">
        <w:rPr>
          <w:bCs/>
          <w:lang w:val="fr-FR"/>
        </w:rPr>
        <w:tab/>
        <w:t>L'examen d'une synthèse des demandes de modifications préparée par le Secrétariat de la CCNR en langue allemande ainsi que d’une information émanant du secteur de la navigation ont permis de constater que les amendements adoptés pour deux paragraphes de l'ADN comportent des erreurs rédactionnelles qu'il conviendrait de corriger avant l'entrée en vigueur le 1</w:t>
      </w:r>
      <w:r w:rsidRPr="00B03AD8">
        <w:rPr>
          <w:bCs/>
          <w:vertAlign w:val="superscript"/>
          <w:lang w:val="fr-FR"/>
        </w:rPr>
        <w:t>er</w:t>
      </w:r>
      <w:r w:rsidRPr="00B03AD8">
        <w:rPr>
          <w:bCs/>
          <w:lang w:val="fr-FR"/>
        </w:rPr>
        <w:t xml:space="preserve"> janvier 2019.</w:t>
      </w:r>
    </w:p>
    <w:p w:rsidR="00D0029B" w:rsidRPr="00B03AD8" w:rsidRDefault="00D0029B" w:rsidP="00A87087">
      <w:pPr>
        <w:pStyle w:val="HChG"/>
        <w:rPr>
          <w:lang w:val="fr-FR"/>
        </w:rPr>
      </w:pPr>
      <w:r w:rsidRPr="00B03AD8">
        <w:rPr>
          <w:lang w:val="fr-FR"/>
        </w:rPr>
        <w:tab/>
      </w:r>
      <w:r w:rsidR="00DB71B7">
        <w:rPr>
          <w:lang w:val="fr-FR"/>
        </w:rPr>
        <w:tab/>
      </w:r>
      <w:r w:rsidR="00A87087" w:rsidRPr="00B03AD8">
        <w:rPr>
          <w:lang w:val="fr-FR"/>
        </w:rPr>
        <w:t>Demandes et motifs</w:t>
      </w:r>
    </w:p>
    <w:p w:rsidR="00B83A66" w:rsidRPr="00B03AD8" w:rsidRDefault="00B83A66" w:rsidP="00B83A66">
      <w:pPr>
        <w:pStyle w:val="SingleTxtG"/>
        <w:rPr>
          <w:rFonts w:cs="Arial"/>
          <w:lang w:val="fr-FR" w:eastAsia="fr-FR"/>
        </w:rPr>
      </w:pPr>
      <w:r w:rsidRPr="00B03AD8">
        <w:rPr>
          <w:rFonts w:cs="Arial"/>
          <w:lang w:val="fr-FR" w:eastAsia="fr-FR"/>
        </w:rPr>
        <w:t xml:space="preserve">3. </w:t>
      </w:r>
      <w:r w:rsidRPr="00B03AD8">
        <w:rPr>
          <w:rFonts w:cs="Arial"/>
          <w:lang w:val="fr-FR" w:eastAsia="fr-FR"/>
        </w:rPr>
        <w:tab/>
        <w:t>Dans la définition du 1.2.1 de l'ADN</w:t>
      </w:r>
      <w:proofErr w:type="gramStart"/>
      <w:r w:rsidRPr="00B03AD8">
        <w:rPr>
          <w:rFonts w:cs="Arial"/>
          <w:lang w:val="fr-FR" w:eastAsia="fr-FR"/>
        </w:rPr>
        <w:t xml:space="preserve"> </w:t>
      </w:r>
      <w:r w:rsidRPr="00B03AD8">
        <w:rPr>
          <w:rFonts w:cs="Arial"/>
          <w:b/>
          <w:lang w:val="fr-FR" w:eastAsia="fr-FR"/>
        </w:rPr>
        <w:t>«Dispositif</w:t>
      </w:r>
      <w:proofErr w:type="gramEnd"/>
      <w:r w:rsidRPr="00B03AD8">
        <w:rPr>
          <w:rFonts w:cs="Arial"/>
          <w:b/>
          <w:lang w:val="fr-FR" w:eastAsia="fr-FR"/>
        </w:rPr>
        <w:t xml:space="preserve"> de décompression en toute sécurité des citernes à cargaison»</w:t>
      </w:r>
      <w:r w:rsidRPr="00B03AD8">
        <w:rPr>
          <w:rFonts w:cs="Arial"/>
          <w:lang w:val="fr-FR" w:eastAsia="fr-FR"/>
        </w:rPr>
        <w:t xml:space="preserve"> est mentionnée </w:t>
      </w:r>
      <w:proofErr w:type="spellStart"/>
      <w:r w:rsidRPr="00B03AD8">
        <w:rPr>
          <w:lang w:val="de-DE" w:eastAsia="fr-FR"/>
        </w:rPr>
        <w:t>exclusivement</w:t>
      </w:r>
      <w:proofErr w:type="spellEnd"/>
      <w:r w:rsidRPr="00B03AD8">
        <w:rPr>
          <w:rFonts w:cs="Arial"/>
          <w:lang w:val="fr-FR" w:eastAsia="fr-FR"/>
        </w:rPr>
        <w:t xml:space="preserve"> la norme ISO 16852:2016, contrairement à la version antérieure de la prescription transitoire, où était mentionnée la norme ISO 16852:2010 ou EN ISO 16852:2010.</w:t>
      </w:r>
    </w:p>
    <w:p w:rsidR="00B83A66" w:rsidRPr="00B03AD8" w:rsidRDefault="00B83A66" w:rsidP="00B83A66">
      <w:pPr>
        <w:pStyle w:val="SingleTxtG"/>
        <w:rPr>
          <w:rFonts w:eastAsia="Calibri"/>
          <w:lang w:val="fr-FR" w:eastAsia="fr-FR"/>
        </w:rPr>
      </w:pPr>
      <w:r w:rsidRPr="00B03AD8">
        <w:rPr>
          <w:lang w:val="fr-FR" w:eastAsia="fr-FR"/>
        </w:rPr>
        <w:t>4.</w:t>
      </w:r>
      <w:r w:rsidRPr="00B03AD8">
        <w:rPr>
          <w:lang w:val="fr-FR" w:eastAsia="fr-FR"/>
        </w:rPr>
        <w:tab/>
        <w:t>Dans les définitions nouvelles ou modifiées du 1.2.1 de l'ADN qui sont énoncées ci-après, pour les normes selon lesquelles peut être apportée la preuve de la conformité, il convient d'ajouter après l'indication «</w:t>
      </w:r>
      <w:r w:rsidRPr="00B03AD8">
        <w:rPr>
          <w:rFonts w:eastAsia="SimSun"/>
          <w:lang w:val="fr-FR" w:eastAsia="fr-FR"/>
        </w:rPr>
        <w:t>au sens de la directive 2014/34/</w:t>
      </w:r>
      <w:proofErr w:type="gramStart"/>
      <w:r w:rsidRPr="00B03AD8">
        <w:rPr>
          <w:rFonts w:eastAsia="SimSun"/>
          <w:lang w:val="fr-FR" w:eastAsia="fr-FR"/>
        </w:rPr>
        <w:t>UE</w:t>
      </w:r>
      <w:r w:rsidRPr="00B03AD8">
        <w:rPr>
          <w:lang w:val="fr-FR" w:eastAsia="fr-FR"/>
        </w:rPr>
        <w:t>»</w:t>
      </w:r>
      <w:proofErr w:type="gramEnd"/>
      <w:r w:rsidRPr="00B03AD8">
        <w:rPr>
          <w:lang w:val="fr-FR" w:eastAsia="fr-FR"/>
        </w:rPr>
        <w:t xml:space="preserve"> la norme «système </w:t>
      </w:r>
      <w:proofErr w:type="spellStart"/>
      <w:r w:rsidRPr="00B03AD8">
        <w:rPr>
          <w:lang w:val="fr-FR" w:eastAsia="fr-FR"/>
        </w:rPr>
        <w:t>IECEx</w:t>
      </w:r>
      <w:proofErr w:type="spellEnd"/>
      <w:r w:rsidRPr="00B03AD8">
        <w:rPr>
          <w:lang w:val="fr-FR" w:eastAsia="fr-FR"/>
        </w:rPr>
        <w:t>», assortie de la note de bas de page «</w:t>
      </w:r>
      <w:r w:rsidRPr="00B03AD8">
        <w:rPr>
          <w:rFonts w:eastAsia="Calibri"/>
          <w:b/>
          <w:lang w:val="fr-FR" w:eastAsia="fr-FR"/>
        </w:rPr>
        <w:t xml:space="preserve">x) </w:t>
      </w:r>
      <w:r w:rsidRPr="00B03AD8">
        <w:rPr>
          <w:rFonts w:eastAsia="Calibri"/>
          <w:lang w:val="fr-FR" w:eastAsia="fr-FR"/>
        </w:rPr>
        <w:t>http://iecex.com/rules» :</w:t>
      </w:r>
      <w:r w:rsidRPr="00B03AD8">
        <w:rPr>
          <w:rFonts w:eastAsia="Calibri"/>
          <w:color w:val="0000FF"/>
          <w:u w:val="single"/>
          <w:lang w:val="fr-FR" w:eastAsia="fr-FR"/>
        </w:rPr>
        <w:t xml:space="preserve"> </w:t>
      </w:r>
    </w:p>
    <w:p w:rsidR="00B83A66" w:rsidRPr="00B03AD8" w:rsidRDefault="000814B1" w:rsidP="00B83A66">
      <w:pPr>
        <w:pStyle w:val="SingleTxtG"/>
        <w:rPr>
          <w:rFonts w:eastAsia="Calibri"/>
          <w:i/>
          <w:iCs/>
          <w:lang w:val="fr-FR" w:eastAsia="fr-FR"/>
        </w:rPr>
      </w:pPr>
      <w:proofErr w:type="gramStart"/>
      <w:r w:rsidRPr="00B03AD8">
        <w:rPr>
          <w:i/>
          <w:iCs/>
          <w:lang w:val="fr-FR" w:eastAsia="fr-FR"/>
        </w:rPr>
        <w:t>«</w:t>
      </w:r>
      <w:proofErr w:type="spellStart"/>
      <w:r w:rsidR="00B83A66" w:rsidRPr="00B03AD8">
        <w:rPr>
          <w:i/>
          <w:iCs/>
          <w:lang w:val="fr-FR" w:eastAsia="fr-FR"/>
        </w:rPr>
        <w:t>Toximètre</w:t>
      </w:r>
      <w:proofErr w:type="spellEnd"/>
      <w:proofErr w:type="gramEnd"/>
      <w:r w:rsidR="00B83A66" w:rsidRPr="00B03AD8">
        <w:rPr>
          <w:i/>
          <w:iCs/>
          <w:lang w:val="fr-FR" w:eastAsia="fr-FR"/>
        </w:rPr>
        <w:t>», «Coupe-flammes», «Soupape de dégagement à grande vitesse», «Orifice de prise d'échantillons</w:t>
      </w:r>
      <w:r w:rsidRPr="00B03AD8">
        <w:rPr>
          <w:i/>
          <w:iCs/>
          <w:lang w:val="fr-FR" w:eastAsia="fr-FR"/>
        </w:rPr>
        <w:t>», «</w:t>
      </w:r>
      <w:r w:rsidR="00B83A66" w:rsidRPr="00B03AD8">
        <w:rPr>
          <w:i/>
          <w:iCs/>
          <w:lang w:val="fr-FR" w:eastAsia="fr-FR"/>
        </w:rPr>
        <w:t>Soupape de dépression», «Dispositif de décompression en toute sécurité des citernes à cargaison».</w:t>
      </w:r>
    </w:p>
    <w:p w:rsidR="00B83A66" w:rsidRPr="00B03AD8" w:rsidRDefault="00B03AD8" w:rsidP="00B83A66">
      <w:pPr>
        <w:pStyle w:val="SingleTxtG"/>
        <w:rPr>
          <w:lang w:val="fr-FR" w:eastAsia="fr-FR"/>
        </w:rPr>
      </w:pPr>
      <w:r>
        <w:rPr>
          <w:lang w:val="fr-FR" w:eastAsia="fr-FR"/>
        </w:rPr>
        <w:t>5.</w:t>
      </w:r>
      <w:r>
        <w:rPr>
          <w:lang w:val="fr-FR" w:eastAsia="fr-FR"/>
        </w:rPr>
        <w:tab/>
      </w:r>
      <w:r w:rsidR="00B83A66" w:rsidRPr="00B03AD8">
        <w:rPr>
          <w:lang w:val="fr-FR" w:eastAsia="fr-FR"/>
        </w:rPr>
        <w:t>Cette norme est applicable au même titre que pour les équipements et systèmes de protection autonomes tels que</w:t>
      </w:r>
      <w:proofErr w:type="gramStart"/>
      <w:r w:rsidR="00B83A66" w:rsidRPr="00B03AD8">
        <w:rPr>
          <w:lang w:val="fr-FR" w:eastAsia="fr-FR"/>
        </w:rPr>
        <w:t xml:space="preserve"> «Installation</w:t>
      </w:r>
      <w:proofErr w:type="gramEnd"/>
      <w:r w:rsidR="00B83A66" w:rsidRPr="00B03AD8">
        <w:rPr>
          <w:lang w:val="fr-FR" w:eastAsia="fr-FR"/>
        </w:rPr>
        <w:t xml:space="preserve"> de détection de gaz», «Déte</w:t>
      </w:r>
      <w:r w:rsidR="000814B1" w:rsidRPr="00B03AD8">
        <w:rPr>
          <w:lang w:val="fr-FR" w:eastAsia="fr-FR"/>
        </w:rPr>
        <w:t>cteur de gaz inflammable» et «</w:t>
      </w:r>
      <w:r w:rsidR="00B83A66" w:rsidRPr="00B03AD8">
        <w:rPr>
          <w:lang w:val="fr-FR" w:eastAsia="fr-FR"/>
        </w:rPr>
        <w:t>Oxygène-mètre» et, selon les experts allemands au sein du groupe de travail, avait simplement été oubliée lors de la rédaction de la demande de modification.</w:t>
      </w:r>
    </w:p>
    <w:p w:rsidR="00B83A66" w:rsidRPr="00B03AD8" w:rsidRDefault="00B03AD8" w:rsidP="00B83A66">
      <w:pPr>
        <w:pStyle w:val="SingleTxtG"/>
        <w:rPr>
          <w:lang w:val="fr-FR" w:eastAsia="fr-FR"/>
        </w:rPr>
      </w:pPr>
      <w:r>
        <w:rPr>
          <w:lang w:val="fr-FR" w:eastAsia="fr-FR"/>
        </w:rPr>
        <w:t>6</w:t>
      </w:r>
      <w:r w:rsidR="00B83A66" w:rsidRPr="00B03AD8">
        <w:rPr>
          <w:lang w:val="fr-FR" w:eastAsia="fr-FR"/>
        </w:rPr>
        <w:t>.</w:t>
      </w:r>
      <w:r w:rsidR="00B83A66" w:rsidRPr="00B03AD8">
        <w:rPr>
          <w:lang w:val="fr-FR" w:eastAsia="fr-FR"/>
        </w:rPr>
        <w:tab/>
        <w:t>La prescription transitoire adoptée pour l'ADN 2019, tableau 1.6.7.2.2.2 de l'ADN ad 1.2.1, définition de</w:t>
      </w:r>
      <w:proofErr w:type="gramStart"/>
      <w:r w:rsidR="00B83A66" w:rsidRPr="00B03AD8">
        <w:rPr>
          <w:lang w:val="fr-FR" w:eastAsia="fr-FR"/>
        </w:rPr>
        <w:t xml:space="preserve"> «</w:t>
      </w:r>
      <w:r w:rsidR="00B83A66" w:rsidRPr="00B03AD8">
        <w:rPr>
          <w:b/>
          <w:lang w:val="fr-FR" w:eastAsia="fr-FR"/>
        </w:rPr>
        <w:t>Dispositif</w:t>
      </w:r>
      <w:proofErr w:type="gramEnd"/>
      <w:r w:rsidR="00B83A66" w:rsidRPr="00B03AD8">
        <w:rPr>
          <w:b/>
          <w:lang w:val="fr-FR" w:eastAsia="fr-FR"/>
        </w:rPr>
        <w:t xml:space="preserve"> de décompression en toute sécurité des citernes à cargaison</w:t>
      </w:r>
      <w:r w:rsidR="00B83A66" w:rsidRPr="00B03AD8">
        <w:rPr>
          <w:lang w:val="fr-FR" w:eastAsia="fr-FR"/>
        </w:rPr>
        <w:t>» comporte une coquille. Il conviendrait de corriger cette erreur comme suit :</w:t>
      </w:r>
    </w:p>
    <w:tbl>
      <w:tblPr>
        <w:tblStyle w:val="Grilledutableau6"/>
        <w:tblW w:w="8822" w:type="dxa"/>
        <w:tblInd w:w="534" w:type="dxa"/>
        <w:tblLayout w:type="fixed"/>
        <w:tblLook w:val="04A0" w:firstRow="1" w:lastRow="0" w:firstColumn="1" w:lastColumn="0" w:noHBand="0" w:noVBand="1"/>
      </w:tblPr>
      <w:tblGrid>
        <w:gridCol w:w="850"/>
        <w:gridCol w:w="3686"/>
        <w:gridCol w:w="4286"/>
      </w:tblGrid>
      <w:tr w:rsidR="00B83A66" w:rsidRPr="00B03AD8" w:rsidTr="00B83A66">
        <w:trPr>
          <w:cantSplit/>
          <w:trHeight w:val="283"/>
        </w:trPr>
        <w:tc>
          <w:tcPr>
            <w:tcW w:w="850" w:type="dxa"/>
            <w:tcBorders>
              <w:top w:val="single" w:sz="4" w:space="0" w:color="auto"/>
              <w:left w:val="single" w:sz="4" w:space="0" w:color="auto"/>
              <w:bottom w:val="single" w:sz="4" w:space="0" w:color="auto"/>
              <w:right w:val="single" w:sz="4" w:space="0" w:color="auto"/>
            </w:tcBorders>
            <w:hideMark/>
          </w:tcPr>
          <w:p w:rsidR="00B83A66" w:rsidRPr="00B03AD8" w:rsidRDefault="00B83A66" w:rsidP="00B83A66">
            <w:pPr>
              <w:widowControl w:val="0"/>
              <w:suppressAutoHyphens w:val="0"/>
              <w:overflowPunct w:val="0"/>
              <w:autoSpaceDE w:val="0"/>
              <w:autoSpaceDN w:val="0"/>
              <w:adjustRightInd w:val="0"/>
              <w:spacing w:before="60" w:after="60" w:line="240" w:lineRule="auto"/>
              <w:jc w:val="both"/>
              <w:textAlignment w:val="baseline"/>
              <w:rPr>
                <w:rFonts w:asciiTheme="majorBidi" w:hAnsiTheme="majorBidi" w:cstheme="majorBidi"/>
                <w:lang w:val="fr-FR" w:eastAsia="fr-FR"/>
              </w:rPr>
            </w:pPr>
            <w:r w:rsidRPr="00B03AD8">
              <w:rPr>
                <w:rFonts w:asciiTheme="majorBidi" w:hAnsiTheme="majorBidi" w:cstheme="majorBidi"/>
                <w:lang w:val="fr-FR" w:eastAsia="fr-FR"/>
              </w:rPr>
              <w:t>1.2.1</w:t>
            </w:r>
          </w:p>
        </w:tc>
        <w:tc>
          <w:tcPr>
            <w:tcW w:w="3686" w:type="dxa"/>
            <w:tcBorders>
              <w:top w:val="single" w:sz="4" w:space="0" w:color="auto"/>
              <w:left w:val="single" w:sz="4" w:space="0" w:color="auto"/>
              <w:bottom w:val="single" w:sz="4" w:space="0" w:color="auto"/>
              <w:right w:val="single" w:sz="4" w:space="0" w:color="auto"/>
            </w:tcBorders>
            <w:hideMark/>
          </w:tcPr>
          <w:p w:rsidR="00B83A66" w:rsidRPr="00B03AD8" w:rsidRDefault="00B83A66" w:rsidP="00B83A66">
            <w:pPr>
              <w:widowControl w:val="0"/>
              <w:suppressAutoHyphens w:val="0"/>
              <w:overflowPunct w:val="0"/>
              <w:autoSpaceDE w:val="0"/>
              <w:autoSpaceDN w:val="0"/>
              <w:adjustRightInd w:val="0"/>
              <w:spacing w:line="240" w:lineRule="auto"/>
              <w:ind w:left="-1" w:firstLine="1"/>
              <w:textAlignment w:val="baseline"/>
              <w:rPr>
                <w:rFonts w:asciiTheme="majorBidi" w:hAnsiTheme="majorBidi" w:cstheme="majorBidi"/>
                <w:lang w:val="fr-FR" w:eastAsia="fr-FR"/>
              </w:rPr>
            </w:pPr>
            <w:r w:rsidRPr="00B03AD8">
              <w:rPr>
                <w:rFonts w:asciiTheme="majorBidi" w:hAnsiTheme="majorBidi" w:cstheme="majorBidi"/>
                <w:lang w:val="fr-FR" w:eastAsia="fr-FR"/>
              </w:rPr>
              <w:t>Dispositif de décompression en toute sécurité des citernes à cargaison</w:t>
            </w:r>
          </w:p>
          <w:p w:rsidR="00B83A66" w:rsidRPr="00B03AD8" w:rsidRDefault="00B83A66" w:rsidP="00B83A66">
            <w:pPr>
              <w:widowControl w:val="0"/>
              <w:suppressAutoHyphens w:val="0"/>
              <w:overflowPunct w:val="0"/>
              <w:autoSpaceDE w:val="0"/>
              <w:autoSpaceDN w:val="0"/>
              <w:adjustRightInd w:val="0"/>
              <w:spacing w:line="240" w:lineRule="auto"/>
              <w:jc w:val="both"/>
              <w:textAlignment w:val="baseline"/>
              <w:rPr>
                <w:rFonts w:asciiTheme="majorBidi" w:hAnsiTheme="majorBidi" w:cstheme="majorBidi"/>
                <w:lang w:val="fr-FR" w:eastAsia="fr-FR"/>
              </w:rPr>
            </w:pPr>
            <w:r w:rsidRPr="00B03AD8">
              <w:rPr>
                <w:rFonts w:asciiTheme="majorBidi" w:hAnsiTheme="majorBidi" w:cstheme="majorBidi"/>
                <w:lang w:val="fr-FR" w:eastAsia="fr-FR"/>
              </w:rPr>
              <w:t>Résistance à la déflagration</w:t>
            </w:r>
          </w:p>
          <w:p w:rsidR="00B83A66" w:rsidRPr="00B03AD8" w:rsidRDefault="00B83A66" w:rsidP="00B83A66">
            <w:pPr>
              <w:widowControl w:val="0"/>
              <w:suppressAutoHyphens w:val="0"/>
              <w:overflowPunct w:val="0"/>
              <w:autoSpaceDE w:val="0"/>
              <w:autoSpaceDN w:val="0"/>
              <w:adjustRightInd w:val="0"/>
              <w:spacing w:line="240" w:lineRule="auto"/>
              <w:ind w:left="-1" w:firstLine="1"/>
              <w:jc w:val="both"/>
              <w:textAlignment w:val="baseline"/>
              <w:rPr>
                <w:rFonts w:asciiTheme="majorBidi" w:hAnsiTheme="majorBidi" w:cstheme="majorBidi"/>
                <w:lang w:val="fr-FR" w:eastAsia="fr-FR"/>
              </w:rPr>
            </w:pPr>
            <w:r w:rsidRPr="00B03AD8">
              <w:rPr>
                <w:rFonts w:asciiTheme="majorBidi" w:hAnsiTheme="majorBidi" w:cstheme="majorBidi"/>
                <w:lang w:val="fr-FR" w:eastAsia="fr-FR"/>
              </w:rPr>
              <w:t xml:space="preserve">Épreuve selon la norme ISO </w:t>
            </w:r>
            <w:proofErr w:type="gramStart"/>
            <w:r w:rsidRPr="00B03AD8">
              <w:rPr>
                <w:rFonts w:asciiTheme="majorBidi" w:hAnsiTheme="majorBidi" w:cstheme="majorBidi"/>
                <w:lang w:val="fr-FR" w:eastAsia="fr-FR"/>
              </w:rPr>
              <w:t>16852:</w:t>
            </w:r>
            <w:proofErr w:type="gramEnd"/>
            <w:r w:rsidRPr="00B03AD8">
              <w:rPr>
                <w:rFonts w:asciiTheme="majorBidi" w:hAnsiTheme="majorBidi" w:cstheme="majorBidi"/>
                <w:u w:val="single"/>
                <w:lang w:val="fr-FR" w:eastAsia="fr-FR"/>
              </w:rPr>
              <w:t>2016</w:t>
            </w:r>
            <w:r w:rsidRPr="00B03AD8">
              <w:rPr>
                <w:rFonts w:asciiTheme="majorBidi" w:hAnsiTheme="majorBidi" w:cstheme="majorBidi"/>
                <w:strike/>
                <w:lang w:val="fr-FR" w:eastAsia="fr-FR"/>
              </w:rPr>
              <w:t>2010 ou EN ISO 16852:2010</w:t>
            </w:r>
            <w:r w:rsidR="000814B1" w:rsidRPr="00B03AD8">
              <w:rPr>
                <w:rFonts w:asciiTheme="majorBidi" w:hAnsiTheme="majorBidi" w:cstheme="majorBidi"/>
                <w:lang w:val="fr-FR" w:eastAsia="fr-FR"/>
              </w:rPr>
              <w:t xml:space="preserve"> / Preuve : «</w:t>
            </w:r>
            <w:r w:rsidRPr="00B03AD8">
              <w:rPr>
                <w:rFonts w:asciiTheme="majorBidi" w:hAnsiTheme="majorBidi" w:cstheme="majorBidi"/>
                <w:lang w:val="fr-FR" w:eastAsia="fr-FR"/>
              </w:rPr>
              <w:t>conforme aux exigences applicables»</w:t>
            </w:r>
          </w:p>
        </w:tc>
        <w:tc>
          <w:tcPr>
            <w:tcW w:w="4286" w:type="dxa"/>
            <w:tcBorders>
              <w:top w:val="single" w:sz="4" w:space="0" w:color="auto"/>
              <w:left w:val="single" w:sz="4" w:space="0" w:color="auto"/>
              <w:bottom w:val="single" w:sz="4" w:space="0" w:color="auto"/>
              <w:right w:val="single" w:sz="4" w:space="0" w:color="auto"/>
            </w:tcBorders>
            <w:hideMark/>
          </w:tcPr>
          <w:p w:rsidR="00B83A66" w:rsidRPr="00B03AD8" w:rsidRDefault="00B83A66" w:rsidP="00B83A66">
            <w:pPr>
              <w:widowControl w:val="0"/>
              <w:suppressAutoHyphens w:val="0"/>
              <w:overflowPunct w:val="0"/>
              <w:autoSpaceDE w:val="0"/>
              <w:autoSpaceDN w:val="0"/>
              <w:adjustRightInd w:val="0"/>
              <w:spacing w:line="240" w:lineRule="auto"/>
              <w:jc w:val="center"/>
              <w:textAlignment w:val="baseline"/>
              <w:rPr>
                <w:rFonts w:asciiTheme="majorBidi" w:hAnsiTheme="majorBidi" w:cstheme="majorBidi"/>
                <w:lang w:val="fr-FR" w:eastAsia="fr-FR"/>
              </w:rPr>
            </w:pPr>
            <w:r w:rsidRPr="00B03AD8">
              <w:rPr>
                <w:rFonts w:asciiTheme="majorBidi" w:hAnsiTheme="majorBidi" w:cstheme="majorBidi"/>
                <w:lang w:val="fr-FR" w:eastAsia="fr-FR"/>
              </w:rPr>
              <w:t>N.R.T. à partir du 1er janvier 2019</w:t>
            </w:r>
          </w:p>
          <w:p w:rsidR="00B83A66" w:rsidRPr="00B03AD8" w:rsidRDefault="00B83A66" w:rsidP="00B83A66">
            <w:pPr>
              <w:widowControl w:val="0"/>
              <w:suppressAutoHyphens w:val="0"/>
              <w:overflowPunct w:val="0"/>
              <w:autoSpaceDE w:val="0"/>
              <w:autoSpaceDN w:val="0"/>
              <w:adjustRightInd w:val="0"/>
              <w:spacing w:line="240" w:lineRule="auto"/>
              <w:ind w:left="33" w:firstLine="33"/>
              <w:jc w:val="center"/>
              <w:textAlignment w:val="baseline"/>
              <w:rPr>
                <w:rFonts w:asciiTheme="majorBidi" w:hAnsiTheme="majorBidi" w:cstheme="majorBidi"/>
                <w:lang w:val="fr-FR" w:eastAsia="fr-FR"/>
              </w:rPr>
            </w:pPr>
            <w:r w:rsidRPr="00B03AD8">
              <w:rPr>
                <w:rFonts w:asciiTheme="majorBidi" w:hAnsiTheme="majorBidi" w:cstheme="majorBidi"/>
                <w:lang w:val="fr-FR" w:eastAsia="fr-FR"/>
              </w:rPr>
              <w:t>Renouvellement du certificat d’agrément après le 31 décembre 2034</w:t>
            </w:r>
          </w:p>
          <w:p w:rsidR="00B83A66" w:rsidRPr="00B03AD8" w:rsidRDefault="00B83A66" w:rsidP="00B83A66">
            <w:pPr>
              <w:widowControl w:val="0"/>
              <w:suppressAutoHyphens w:val="0"/>
              <w:overflowPunct w:val="0"/>
              <w:autoSpaceDE w:val="0"/>
              <w:autoSpaceDN w:val="0"/>
              <w:adjustRightInd w:val="0"/>
              <w:spacing w:line="240" w:lineRule="auto"/>
              <w:jc w:val="center"/>
              <w:textAlignment w:val="baseline"/>
              <w:rPr>
                <w:rFonts w:asciiTheme="majorBidi" w:hAnsiTheme="majorBidi" w:cstheme="majorBidi"/>
                <w:lang w:val="fr-FR" w:eastAsia="fr-FR"/>
              </w:rPr>
            </w:pPr>
          </w:p>
          <w:p w:rsidR="00B83A66" w:rsidRPr="00B03AD8" w:rsidRDefault="00B83A66" w:rsidP="00B83A66">
            <w:pPr>
              <w:widowControl w:val="0"/>
              <w:suppressAutoHyphens w:val="0"/>
              <w:overflowPunct w:val="0"/>
              <w:autoSpaceDE w:val="0"/>
              <w:autoSpaceDN w:val="0"/>
              <w:adjustRightInd w:val="0"/>
              <w:spacing w:line="240" w:lineRule="auto"/>
              <w:ind w:left="33" w:hanging="33"/>
              <w:jc w:val="both"/>
              <w:textAlignment w:val="baseline"/>
              <w:rPr>
                <w:rFonts w:asciiTheme="majorBidi" w:hAnsiTheme="majorBidi" w:cstheme="majorBidi"/>
                <w:lang w:val="fr-FR" w:eastAsia="fr-FR"/>
              </w:rPr>
            </w:pPr>
            <w:r w:rsidRPr="00B03AD8">
              <w:rPr>
                <w:rFonts w:asciiTheme="majorBidi" w:hAnsiTheme="majorBidi" w:cstheme="majorBidi"/>
                <w:lang w:val="fr-FR" w:eastAsia="fr-FR"/>
              </w:rPr>
              <w:t xml:space="preserve">La résistance à la déflagration doit être éprouvée conformément à la norme EN </w:t>
            </w:r>
            <w:proofErr w:type="gramStart"/>
            <w:r w:rsidRPr="00B03AD8">
              <w:rPr>
                <w:rFonts w:asciiTheme="majorBidi" w:hAnsiTheme="majorBidi" w:cstheme="majorBidi"/>
                <w:lang w:val="fr-FR" w:eastAsia="fr-FR"/>
              </w:rPr>
              <w:t>12874:</w:t>
            </w:r>
            <w:proofErr w:type="gramEnd"/>
            <w:r w:rsidRPr="00B03AD8">
              <w:rPr>
                <w:rFonts w:asciiTheme="majorBidi" w:hAnsiTheme="majorBidi" w:cstheme="majorBidi"/>
                <w:lang w:val="fr-FR" w:eastAsia="fr-FR"/>
              </w:rPr>
              <w:t>2001, y compris la confirmation que doit fournir le fabricant conformément à la directive 94/9/CE à bord des bateaux construits ou transformés à compter du 1er janvier 2001 ou si le dispositif permettant de décompresser en toute sécurité les citernes à cargaison a été remplacé à compter du 1er janvier 2001. Dans les autres cas, ils doivent être d'un type agréé par l'autorité compétente pour l'usage prévu.</w:t>
            </w:r>
          </w:p>
        </w:tc>
      </w:tr>
    </w:tbl>
    <w:p w:rsidR="00B83A66" w:rsidRPr="00B03AD8" w:rsidRDefault="00B03AD8" w:rsidP="00B83A66">
      <w:pPr>
        <w:pStyle w:val="SingleTxtG"/>
        <w:rPr>
          <w:rFonts w:cs="Arial"/>
          <w:lang w:val="fr-FR" w:eastAsia="fr-FR"/>
        </w:rPr>
      </w:pPr>
      <w:r>
        <w:rPr>
          <w:rFonts w:cs="Arial"/>
          <w:lang w:val="fr-FR" w:eastAsia="fr-FR"/>
        </w:rPr>
        <w:t>7</w:t>
      </w:r>
      <w:r w:rsidR="00B83A66" w:rsidRPr="00B03AD8">
        <w:rPr>
          <w:rFonts w:cs="Arial"/>
          <w:lang w:val="fr-FR" w:eastAsia="fr-FR"/>
        </w:rPr>
        <w:t>.</w:t>
      </w:r>
      <w:r w:rsidR="00B83A66" w:rsidRPr="00B03AD8">
        <w:rPr>
          <w:rFonts w:cs="Arial"/>
          <w:lang w:val="fr-FR" w:eastAsia="fr-FR"/>
        </w:rPr>
        <w:tab/>
        <w:t>La prescription transitoire adoptée pour l'ADN 2019, tableau 1.6.7.2.2.2 de l'ADN ad 1.2.1, définition de</w:t>
      </w:r>
      <w:proofErr w:type="gramStart"/>
      <w:r w:rsidR="00B83A66" w:rsidRPr="00B03AD8">
        <w:rPr>
          <w:rFonts w:cs="Arial"/>
          <w:lang w:val="fr-FR" w:eastAsia="fr-FR"/>
        </w:rPr>
        <w:t xml:space="preserve"> «</w:t>
      </w:r>
      <w:r w:rsidR="00B83A66" w:rsidRPr="00B03AD8">
        <w:rPr>
          <w:rFonts w:cs="Arial"/>
          <w:b/>
          <w:lang w:val="fr-FR" w:eastAsia="fr-FR"/>
        </w:rPr>
        <w:t>Installation</w:t>
      </w:r>
      <w:proofErr w:type="gramEnd"/>
      <w:r w:rsidR="00B83A66" w:rsidRPr="00B03AD8">
        <w:rPr>
          <w:rFonts w:cs="Arial"/>
          <w:b/>
          <w:lang w:val="fr-FR" w:eastAsia="fr-FR"/>
        </w:rPr>
        <w:t xml:space="preserve"> de mesure de l'oxygène</w:t>
      </w:r>
      <w:r w:rsidR="00B83A66" w:rsidRPr="00B03AD8">
        <w:rPr>
          <w:rFonts w:cs="Arial"/>
          <w:lang w:val="fr-FR" w:eastAsia="fr-FR"/>
        </w:rPr>
        <w:t xml:space="preserve">» comporte le complément «etc.» après la mention de la norme pour laquelle s'appliquera une prescription transitoire. Dans la définition en tant que telle n'est toutefois mentionnée que la norme EN </w:t>
      </w:r>
      <w:proofErr w:type="gramStart"/>
      <w:r w:rsidR="00B83A66" w:rsidRPr="00B03AD8">
        <w:rPr>
          <w:rFonts w:cs="Arial"/>
          <w:lang w:val="fr-FR" w:eastAsia="fr-FR"/>
        </w:rPr>
        <w:t>50104:</w:t>
      </w:r>
      <w:proofErr w:type="gramEnd"/>
      <w:r w:rsidR="00B83A66" w:rsidRPr="00B03AD8">
        <w:rPr>
          <w:rFonts w:cs="Arial"/>
          <w:lang w:val="fr-FR" w:eastAsia="fr-FR"/>
        </w:rPr>
        <w:t xml:space="preserve">2011. </w:t>
      </w:r>
      <w:r w:rsidR="00B83A66" w:rsidRPr="00B03AD8">
        <w:rPr>
          <w:rFonts w:cs="Arial"/>
          <w:lang w:val="fr-FR" w:eastAsia="fr-FR"/>
        </w:rPr>
        <w:lastRenderedPageBreak/>
        <w:t>Dans la prescription transitoire, il conviendrait par conséquent de supprimer ce « etc. » dans la deuxième colonne afin d'éviter tout malentendu.</w:t>
      </w:r>
    </w:p>
    <w:tbl>
      <w:tblPr>
        <w:tblStyle w:val="Grilledutableau6"/>
        <w:tblW w:w="8964" w:type="dxa"/>
        <w:tblInd w:w="392" w:type="dxa"/>
        <w:tblLayout w:type="fixed"/>
        <w:tblLook w:val="04A0" w:firstRow="1" w:lastRow="0" w:firstColumn="1" w:lastColumn="0" w:noHBand="0" w:noVBand="1"/>
      </w:tblPr>
      <w:tblGrid>
        <w:gridCol w:w="885"/>
        <w:gridCol w:w="3793"/>
        <w:gridCol w:w="4286"/>
      </w:tblGrid>
      <w:tr w:rsidR="00B83A66" w:rsidRPr="00B03AD8" w:rsidTr="00B83A66">
        <w:trPr>
          <w:cantSplit/>
          <w:trHeight w:val="283"/>
        </w:trPr>
        <w:tc>
          <w:tcPr>
            <w:tcW w:w="885" w:type="dxa"/>
            <w:tcBorders>
              <w:top w:val="single" w:sz="4" w:space="0" w:color="auto"/>
              <w:left w:val="single" w:sz="4" w:space="0" w:color="auto"/>
              <w:bottom w:val="single" w:sz="4" w:space="0" w:color="auto"/>
              <w:right w:val="single" w:sz="4" w:space="0" w:color="auto"/>
            </w:tcBorders>
            <w:hideMark/>
          </w:tcPr>
          <w:p w:rsidR="00B83A66" w:rsidRPr="00B03AD8" w:rsidRDefault="00B83A66" w:rsidP="00B83A66">
            <w:pPr>
              <w:widowControl w:val="0"/>
              <w:suppressAutoHyphens w:val="0"/>
              <w:overflowPunct w:val="0"/>
              <w:autoSpaceDE w:val="0"/>
              <w:autoSpaceDN w:val="0"/>
              <w:adjustRightInd w:val="0"/>
              <w:spacing w:before="60" w:after="60" w:line="240" w:lineRule="auto"/>
              <w:jc w:val="both"/>
              <w:textAlignment w:val="baseline"/>
              <w:rPr>
                <w:rFonts w:asciiTheme="majorBidi" w:hAnsiTheme="majorBidi" w:cstheme="majorBidi"/>
                <w:szCs w:val="20"/>
                <w:lang w:val="fr-FR" w:eastAsia="fr-FR"/>
              </w:rPr>
            </w:pPr>
            <w:r w:rsidRPr="00B03AD8">
              <w:rPr>
                <w:rFonts w:asciiTheme="majorBidi" w:hAnsiTheme="majorBidi" w:cstheme="majorBidi"/>
                <w:szCs w:val="20"/>
                <w:lang w:val="fr-FR" w:eastAsia="fr-FR"/>
              </w:rPr>
              <w:t>1.2.1</w:t>
            </w:r>
          </w:p>
        </w:tc>
        <w:tc>
          <w:tcPr>
            <w:tcW w:w="3793" w:type="dxa"/>
            <w:tcBorders>
              <w:top w:val="single" w:sz="4" w:space="0" w:color="auto"/>
              <w:left w:val="single" w:sz="4" w:space="0" w:color="auto"/>
              <w:bottom w:val="single" w:sz="4" w:space="0" w:color="auto"/>
              <w:right w:val="single" w:sz="4" w:space="0" w:color="auto"/>
            </w:tcBorders>
            <w:hideMark/>
          </w:tcPr>
          <w:p w:rsidR="00B83A66" w:rsidRPr="00B03AD8" w:rsidRDefault="00B83A66" w:rsidP="00B83A66">
            <w:pPr>
              <w:widowControl w:val="0"/>
              <w:suppressAutoHyphens w:val="0"/>
              <w:overflowPunct w:val="0"/>
              <w:autoSpaceDE w:val="0"/>
              <w:autoSpaceDN w:val="0"/>
              <w:adjustRightInd w:val="0"/>
              <w:spacing w:line="240" w:lineRule="auto"/>
              <w:jc w:val="both"/>
              <w:textAlignment w:val="baseline"/>
              <w:rPr>
                <w:rFonts w:asciiTheme="majorBidi" w:hAnsiTheme="majorBidi" w:cstheme="majorBidi"/>
                <w:szCs w:val="20"/>
                <w:lang w:val="fr-FR" w:eastAsia="fr-FR"/>
              </w:rPr>
            </w:pPr>
            <w:r w:rsidRPr="00B03AD8">
              <w:rPr>
                <w:rFonts w:asciiTheme="majorBidi" w:hAnsiTheme="majorBidi" w:cstheme="majorBidi"/>
                <w:szCs w:val="20"/>
                <w:lang w:val="fr-FR" w:eastAsia="fr-FR"/>
              </w:rPr>
              <w:t>Installation de mesure de l'oxygène</w:t>
            </w:r>
          </w:p>
          <w:p w:rsidR="00B83A66" w:rsidRPr="00B03AD8" w:rsidRDefault="00B83A66" w:rsidP="00B83A66">
            <w:pPr>
              <w:widowControl w:val="0"/>
              <w:suppressAutoHyphens w:val="0"/>
              <w:overflowPunct w:val="0"/>
              <w:autoSpaceDE w:val="0"/>
              <w:autoSpaceDN w:val="0"/>
              <w:adjustRightInd w:val="0"/>
              <w:spacing w:line="240" w:lineRule="auto"/>
              <w:jc w:val="both"/>
              <w:textAlignment w:val="baseline"/>
              <w:rPr>
                <w:rFonts w:asciiTheme="majorBidi" w:hAnsiTheme="majorBidi" w:cstheme="majorBidi"/>
                <w:szCs w:val="20"/>
                <w:lang w:val="fr-FR" w:eastAsia="fr-FR"/>
              </w:rPr>
            </w:pPr>
            <w:r w:rsidRPr="00B03AD8">
              <w:rPr>
                <w:rFonts w:asciiTheme="majorBidi" w:hAnsiTheme="majorBidi" w:cstheme="majorBidi"/>
                <w:szCs w:val="20"/>
                <w:lang w:val="fr-FR" w:eastAsia="fr-FR"/>
              </w:rPr>
              <w:t xml:space="preserve">Épreuve selon la norme EN </w:t>
            </w:r>
            <w:proofErr w:type="gramStart"/>
            <w:r w:rsidRPr="00B03AD8">
              <w:rPr>
                <w:rFonts w:asciiTheme="majorBidi" w:hAnsiTheme="majorBidi" w:cstheme="majorBidi"/>
                <w:szCs w:val="20"/>
                <w:lang w:val="fr-FR" w:eastAsia="fr-FR"/>
              </w:rPr>
              <w:t>50104:</w:t>
            </w:r>
            <w:proofErr w:type="gramEnd"/>
            <w:r w:rsidRPr="00B03AD8">
              <w:rPr>
                <w:rFonts w:asciiTheme="majorBidi" w:hAnsiTheme="majorBidi" w:cstheme="majorBidi"/>
                <w:szCs w:val="20"/>
                <w:lang w:val="fr-FR" w:eastAsia="fr-FR"/>
              </w:rPr>
              <w:t xml:space="preserve">2010 </w:t>
            </w:r>
            <w:r w:rsidRPr="00B03AD8">
              <w:rPr>
                <w:rFonts w:asciiTheme="majorBidi" w:hAnsiTheme="majorBidi" w:cstheme="majorBidi"/>
                <w:strike/>
                <w:szCs w:val="20"/>
                <w:lang w:val="fr-FR" w:eastAsia="fr-FR"/>
              </w:rPr>
              <w:t>etc.</w:t>
            </w:r>
          </w:p>
        </w:tc>
        <w:tc>
          <w:tcPr>
            <w:tcW w:w="4286" w:type="dxa"/>
            <w:tcBorders>
              <w:top w:val="single" w:sz="4" w:space="0" w:color="auto"/>
              <w:left w:val="single" w:sz="4" w:space="0" w:color="auto"/>
              <w:bottom w:val="single" w:sz="4" w:space="0" w:color="auto"/>
              <w:right w:val="single" w:sz="4" w:space="0" w:color="auto"/>
            </w:tcBorders>
            <w:hideMark/>
          </w:tcPr>
          <w:p w:rsidR="00B83A66" w:rsidRPr="00B03AD8" w:rsidRDefault="00B83A66" w:rsidP="00B83A66">
            <w:pPr>
              <w:widowControl w:val="0"/>
              <w:suppressAutoHyphens w:val="0"/>
              <w:overflowPunct w:val="0"/>
              <w:autoSpaceDE w:val="0"/>
              <w:autoSpaceDN w:val="0"/>
              <w:adjustRightInd w:val="0"/>
              <w:spacing w:line="240" w:lineRule="auto"/>
              <w:jc w:val="center"/>
              <w:textAlignment w:val="baseline"/>
              <w:rPr>
                <w:rFonts w:asciiTheme="majorBidi" w:hAnsiTheme="majorBidi" w:cstheme="majorBidi"/>
                <w:szCs w:val="20"/>
                <w:lang w:val="fr-FR" w:eastAsia="fr-FR"/>
              </w:rPr>
            </w:pPr>
            <w:r w:rsidRPr="00B03AD8">
              <w:rPr>
                <w:rFonts w:asciiTheme="majorBidi" w:hAnsiTheme="majorBidi" w:cstheme="majorBidi"/>
                <w:szCs w:val="20"/>
                <w:lang w:val="fr-FR" w:eastAsia="fr-FR"/>
              </w:rPr>
              <w:t>N.R.T. à partir du 1er janvier 2019</w:t>
            </w:r>
          </w:p>
          <w:p w:rsidR="00B83A66" w:rsidRPr="00B03AD8" w:rsidRDefault="00B83A66" w:rsidP="00B83A66">
            <w:pPr>
              <w:widowControl w:val="0"/>
              <w:suppressAutoHyphens w:val="0"/>
              <w:overflowPunct w:val="0"/>
              <w:autoSpaceDE w:val="0"/>
              <w:autoSpaceDN w:val="0"/>
              <w:adjustRightInd w:val="0"/>
              <w:spacing w:line="240" w:lineRule="auto"/>
              <w:jc w:val="center"/>
              <w:textAlignment w:val="baseline"/>
              <w:rPr>
                <w:rFonts w:asciiTheme="majorBidi" w:hAnsiTheme="majorBidi" w:cstheme="majorBidi"/>
                <w:szCs w:val="20"/>
                <w:lang w:val="fr-FR" w:eastAsia="fr-FR"/>
              </w:rPr>
            </w:pPr>
            <w:r w:rsidRPr="00B03AD8">
              <w:rPr>
                <w:rFonts w:asciiTheme="majorBidi" w:hAnsiTheme="majorBidi" w:cstheme="majorBidi"/>
                <w:szCs w:val="20"/>
                <w:lang w:val="fr-FR" w:eastAsia="fr-FR"/>
              </w:rPr>
              <w:t>Renouvellement du certificat d’agrément après le 31 décembre 2020</w:t>
            </w:r>
          </w:p>
        </w:tc>
      </w:tr>
    </w:tbl>
    <w:p w:rsidR="00B83A66" w:rsidRPr="00B03AD8" w:rsidRDefault="00B03AD8" w:rsidP="00B83A66">
      <w:pPr>
        <w:pStyle w:val="SingleTxtG"/>
        <w:spacing w:before="120"/>
        <w:rPr>
          <w:rFonts w:cs="Arial"/>
          <w:lang w:val="fr-FR" w:eastAsia="fr-FR"/>
        </w:rPr>
      </w:pPr>
      <w:r>
        <w:rPr>
          <w:rFonts w:cs="Arial"/>
          <w:lang w:val="fr-FR" w:eastAsia="fr-FR"/>
        </w:rPr>
        <w:t>8</w:t>
      </w:r>
      <w:r w:rsidR="00B83A66" w:rsidRPr="00B03AD8">
        <w:rPr>
          <w:rFonts w:cs="Arial"/>
          <w:lang w:val="fr-FR" w:eastAsia="fr-FR"/>
        </w:rPr>
        <w:t>.</w:t>
      </w:r>
      <w:r w:rsidR="00B83A66" w:rsidRPr="00B03AD8">
        <w:rPr>
          <w:rFonts w:cs="Arial"/>
          <w:lang w:val="fr-FR" w:eastAsia="fr-FR"/>
        </w:rPr>
        <w:tab/>
        <w:t>Pour la modification de la définition de</w:t>
      </w:r>
      <w:proofErr w:type="gramStart"/>
      <w:r w:rsidR="00B83A66" w:rsidRPr="00B03AD8">
        <w:rPr>
          <w:rFonts w:cs="Arial"/>
          <w:lang w:val="fr-FR" w:eastAsia="fr-FR"/>
        </w:rPr>
        <w:t xml:space="preserve"> «</w:t>
      </w:r>
      <w:r w:rsidR="00B83A66" w:rsidRPr="00B03AD8">
        <w:rPr>
          <w:rFonts w:cs="Arial"/>
          <w:b/>
          <w:lang w:val="fr-FR" w:eastAsia="fr-FR"/>
        </w:rPr>
        <w:t>Soupape</w:t>
      </w:r>
      <w:proofErr w:type="gramEnd"/>
      <w:r w:rsidR="00B83A66" w:rsidRPr="00B03AD8">
        <w:rPr>
          <w:rFonts w:cs="Arial"/>
          <w:b/>
          <w:lang w:val="fr-FR" w:eastAsia="fr-FR"/>
        </w:rPr>
        <w:t xml:space="preserve"> de dépression</w:t>
      </w:r>
      <w:r w:rsidR="00B83A66" w:rsidRPr="00B03AD8">
        <w:rPr>
          <w:rFonts w:cs="Arial"/>
          <w:lang w:val="fr-FR" w:eastAsia="fr-FR"/>
        </w:rPr>
        <w:t>» du 1.2.1 de l'ADN est nécessaire une prescription transitoire au 1.6.7.2.2.2 de l'ADN. À l'instar des autres définitions ajoutées ou modifiées, telles que</w:t>
      </w:r>
      <w:proofErr w:type="gramStart"/>
      <w:r w:rsidR="00B83A66" w:rsidRPr="00B03AD8">
        <w:rPr>
          <w:rFonts w:cs="Arial"/>
          <w:lang w:val="fr-FR" w:eastAsia="fr-FR"/>
        </w:rPr>
        <w:t xml:space="preserve"> «Orifice</w:t>
      </w:r>
      <w:proofErr w:type="gramEnd"/>
      <w:r w:rsidR="00B83A66" w:rsidRPr="00B03AD8">
        <w:rPr>
          <w:rFonts w:cs="Arial"/>
          <w:lang w:val="fr-FR" w:eastAsia="fr-FR"/>
        </w:rPr>
        <w:t xml:space="preserve"> de prise d'échantillons» et «Dispositif de décompression en toute sécurité des citernes à cargaison», la prescription transitoire doit porter sur la preuve de la résistance à la déflagration, exigée pour la première fois sous cette forme dans l'ADN 2019.</w:t>
      </w:r>
    </w:p>
    <w:p w:rsidR="00B83A66" w:rsidRPr="00B03AD8" w:rsidRDefault="00B03AD8" w:rsidP="00B83A66">
      <w:pPr>
        <w:pStyle w:val="SingleTxtG"/>
        <w:rPr>
          <w:rFonts w:cs="Arial"/>
          <w:lang w:val="fr-FR" w:eastAsia="fr-FR"/>
        </w:rPr>
      </w:pPr>
      <w:r>
        <w:rPr>
          <w:rFonts w:cs="Arial"/>
          <w:lang w:val="fr-FR" w:eastAsia="fr-FR"/>
        </w:rPr>
        <w:t>9.</w:t>
      </w:r>
      <w:r>
        <w:rPr>
          <w:rFonts w:cs="Arial"/>
          <w:lang w:val="fr-FR" w:eastAsia="fr-FR"/>
        </w:rPr>
        <w:tab/>
      </w:r>
      <w:r w:rsidR="00B83A66" w:rsidRPr="00B03AD8">
        <w:rPr>
          <w:rFonts w:cs="Arial"/>
          <w:lang w:val="fr-FR" w:eastAsia="fr-FR"/>
        </w:rPr>
        <w:t>À titre de complément et pour assurer une bonne mise en œuvre des prescriptions, il est proposé d'ajouter au 1.6.7.2.2.2 de l'ADN 2019 la prescription transitoire supplémentaire suivante :</w:t>
      </w:r>
    </w:p>
    <w:tbl>
      <w:tblPr>
        <w:tblStyle w:val="Grilledutableau6"/>
        <w:tblW w:w="8964" w:type="dxa"/>
        <w:tblInd w:w="392" w:type="dxa"/>
        <w:tblLayout w:type="fixed"/>
        <w:tblLook w:val="04A0" w:firstRow="1" w:lastRow="0" w:firstColumn="1" w:lastColumn="0" w:noHBand="0" w:noVBand="1"/>
      </w:tblPr>
      <w:tblGrid>
        <w:gridCol w:w="885"/>
        <w:gridCol w:w="3793"/>
        <w:gridCol w:w="4286"/>
      </w:tblGrid>
      <w:tr w:rsidR="00B83A66" w:rsidRPr="00B03AD8" w:rsidTr="00B83A66">
        <w:trPr>
          <w:cantSplit/>
          <w:trHeight w:val="283"/>
        </w:trPr>
        <w:tc>
          <w:tcPr>
            <w:tcW w:w="885" w:type="dxa"/>
            <w:tcBorders>
              <w:top w:val="single" w:sz="4" w:space="0" w:color="auto"/>
              <w:left w:val="single" w:sz="4" w:space="0" w:color="auto"/>
              <w:bottom w:val="single" w:sz="4" w:space="0" w:color="auto"/>
              <w:right w:val="single" w:sz="4" w:space="0" w:color="auto"/>
            </w:tcBorders>
            <w:hideMark/>
          </w:tcPr>
          <w:p w:rsidR="00B83A66" w:rsidRPr="00B03AD8" w:rsidRDefault="00B83A66" w:rsidP="00B83A66">
            <w:pPr>
              <w:widowControl w:val="0"/>
              <w:suppressAutoHyphens w:val="0"/>
              <w:overflowPunct w:val="0"/>
              <w:autoSpaceDE w:val="0"/>
              <w:autoSpaceDN w:val="0"/>
              <w:adjustRightInd w:val="0"/>
              <w:spacing w:before="60" w:after="60" w:line="276" w:lineRule="auto"/>
              <w:jc w:val="both"/>
              <w:textAlignment w:val="baseline"/>
              <w:rPr>
                <w:rFonts w:asciiTheme="majorBidi" w:hAnsiTheme="majorBidi" w:cstheme="majorBidi"/>
                <w:lang w:val="fr-FR" w:eastAsia="fr-FR"/>
              </w:rPr>
            </w:pPr>
            <w:r w:rsidRPr="00B03AD8">
              <w:rPr>
                <w:rFonts w:asciiTheme="majorBidi" w:hAnsiTheme="majorBidi" w:cstheme="majorBidi"/>
                <w:lang w:val="fr-FR" w:eastAsia="fr-FR"/>
              </w:rPr>
              <w:t>1.2.1</w:t>
            </w:r>
          </w:p>
        </w:tc>
        <w:tc>
          <w:tcPr>
            <w:tcW w:w="3793" w:type="dxa"/>
            <w:tcBorders>
              <w:top w:val="single" w:sz="4" w:space="0" w:color="auto"/>
              <w:left w:val="single" w:sz="4" w:space="0" w:color="auto"/>
              <w:bottom w:val="single" w:sz="4" w:space="0" w:color="auto"/>
              <w:right w:val="single" w:sz="4" w:space="0" w:color="auto"/>
            </w:tcBorders>
            <w:hideMark/>
          </w:tcPr>
          <w:p w:rsidR="00B83A66" w:rsidRPr="00B03AD8" w:rsidRDefault="00B83A66" w:rsidP="00B83A66">
            <w:pPr>
              <w:widowControl w:val="0"/>
              <w:suppressAutoHyphens w:val="0"/>
              <w:overflowPunct w:val="0"/>
              <w:autoSpaceDE w:val="0"/>
              <w:autoSpaceDN w:val="0"/>
              <w:adjustRightInd w:val="0"/>
              <w:spacing w:line="276" w:lineRule="auto"/>
              <w:jc w:val="both"/>
              <w:textAlignment w:val="baseline"/>
              <w:rPr>
                <w:rFonts w:asciiTheme="majorBidi" w:hAnsiTheme="majorBidi" w:cstheme="majorBidi"/>
                <w:lang w:val="fr-FR" w:eastAsia="fr-FR"/>
              </w:rPr>
            </w:pPr>
            <w:r w:rsidRPr="00B03AD8">
              <w:rPr>
                <w:rFonts w:asciiTheme="majorBidi" w:hAnsiTheme="majorBidi" w:cstheme="majorBidi"/>
                <w:lang w:val="fr-FR" w:eastAsia="fr-FR"/>
              </w:rPr>
              <w:t>Soupape de dépression</w:t>
            </w:r>
          </w:p>
          <w:p w:rsidR="00B83A66" w:rsidRPr="00B03AD8" w:rsidRDefault="00B83A66" w:rsidP="00B83A66">
            <w:pPr>
              <w:widowControl w:val="0"/>
              <w:suppressAutoHyphens w:val="0"/>
              <w:overflowPunct w:val="0"/>
              <w:autoSpaceDE w:val="0"/>
              <w:autoSpaceDN w:val="0"/>
              <w:adjustRightInd w:val="0"/>
              <w:spacing w:line="276" w:lineRule="auto"/>
              <w:jc w:val="both"/>
              <w:textAlignment w:val="baseline"/>
              <w:rPr>
                <w:rFonts w:asciiTheme="majorBidi" w:hAnsiTheme="majorBidi" w:cstheme="majorBidi"/>
                <w:lang w:val="fr-FR" w:eastAsia="fr-FR"/>
              </w:rPr>
            </w:pPr>
            <w:r w:rsidRPr="00B03AD8">
              <w:rPr>
                <w:rFonts w:asciiTheme="majorBidi" w:hAnsiTheme="majorBidi" w:cstheme="majorBidi"/>
                <w:lang w:val="fr-FR" w:eastAsia="fr-FR"/>
              </w:rPr>
              <w:t>Résistance à la déflagration</w:t>
            </w:r>
          </w:p>
          <w:p w:rsidR="00B83A66" w:rsidRPr="00B03AD8" w:rsidRDefault="00B83A66" w:rsidP="00B83A66">
            <w:pPr>
              <w:widowControl w:val="0"/>
              <w:suppressAutoHyphens w:val="0"/>
              <w:overflowPunct w:val="0"/>
              <w:autoSpaceDE w:val="0"/>
              <w:autoSpaceDN w:val="0"/>
              <w:adjustRightInd w:val="0"/>
              <w:spacing w:line="276" w:lineRule="auto"/>
              <w:ind w:left="33"/>
              <w:jc w:val="both"/>
              <w:textAlignment w:val="baseline"/>
              <w:rPr>
                <w:rFonts w:asciiTheme="majorBidi" w:hAnsiTheme="majorBidi" w:cstheme="majorBidi"/>
                <w:lang w:val="fr-FR" w:eastAsia="fr-FR"/>
              </w:rPr>
            </w:pPr>
            <w:r w:rsidRPr="00B03AD8">
              <w:rPr>
                <w:rFonts w:asciiTheme="majorBidi" w:hAnsiTheme="majorBidi" w:cstheme="majorBidi"/>
                <w:lang w:val="fr-FR" w:eastAsia="fr-FR"/>
              </w:rPr>
              <w:t xml:space="preserve">Épreuve selon la norme ISO </w:t>
            </w:r>
            <w:proofErr w:type="gramStart"/>
            <w:r w:rsidRPr="00B03AD8">
              <w:rPr>
                <w:rFonts w:asciiTheme="majorBidi" w:hAnsiTheme="majorBidi" w:cstheme="majorBidi"/>
                <w:lang w:val="fr-FR" w:eastAsia="fr-FR"/>
              </w:rPr>
              <w:t>16852:</w:t>
            </w:r>
            <w:proofErr w:type="gramEnd"/>
            <w:r w:rsidRPr="00B03AD8">
              <w:rPr>
                <w:rFonts w:asciiTheme="majorBidi" w:hAnsiTheme="majorBidi" w:cstheme="majorBidi"/>
                <w:lang w:val="fr-FR" w:eastAsia="fr-FR"/>
              </w:rPr>
              <w:t>2016</w:t>
            </w:r>
          </w:p>
          <w:p w:rsidR="00B83A66" w:rsidRPr="00B03AD8" w:rsidRDefault="00B83A66" w:rsidP="00B83A66">
            <w:pPr>
              <w:widowControl w:val="0"/>
              <w:suppressAutoHyphens w:val="0"/>
              <w:overflowPunct w:val="0"/>
              <w:autoSpaceDE w:val="0"/>
              <w:autoSpaceDN w:val="0"/>
              <w:adjustRightInd w:val="0"/>
              <w:spacing w:line="276" w:lineRule="auto"/>
              <w:ind w:left="33"/>
              <w:jc w:val="both"/>
              <w:textAlignment w:val="baseline"/>
              <w:rPr>
                <w:rFonts w:asciiTheme="majorBidi" w:hAnsiTheme="majorBidi" w:cstheme="majorBidi"/>
                <w:lang w:val="fr-FR" w:eastAsia="fr-FR"/>
              </w:rPr>
            </w:pPr>
            <w:r w:rsidRPr="00B03AD8">
              <w:rPr>
                <w:rFonts w:asciiTheme="majorBidi" w:hAnsiTheme="majorBidi" w:cstheme="majorBidi"/>
                <w:lang w:val="fr-FR" w:eastAsia="fr-FR"/>
              </w:rPr>
              <w:t>Preuve : « conforme aux exigences applicables »</w:t>
            </w:r>
          </w:p>
        </w:tc>
        <w:tc>
          <w:tcPr>
            <w:tcW w:w="4286" w:type="dxa"/>
            <w:tcBorders>
              <w:top w:val="single" w:sz="4" w:space="0" w:color="auto"/>
              <w:left w:val="single" w:sz="4" w:space="0" w:color="auto"/>
              <w:bottom w:val="single" w:sz="4" w:space="0" w:color="auto"/>
              <w:right w:val="single" w:sz="4" w:space="0" w:color="auto"/>
            </w:tcBorders>
            <w:hideMark/>
          </w:tcPr>
          <w:p w:rsidR="00B83A66" w:rsidRPr="00B03AD8" w:rsidRDefault="00B83A66" w:rsidP="00B83A66">
            <w:pPr>
              <w:widowControl w:val="0"/>
              <w:suppressAutoHyphens w:val="0"/>
              <w:overflowPunct w:val="0"/>
              <w:autoSpaceDE w:val="0"/>
              <w:autoSpaceDN w:val="0"/>
              <w:adjustRightInd w:val="0"/>
              <w:spacing w:line="276" w:lineRule="auto"/>
              <w:jc w:val="center"/>
              <w:textAlignment w:val="baseline"/>
              <w:rPr>
                <w:rFonts w:asciiTheme="majorBidi" w:hAnsiTheme="majorBidi" w:cstheme="majorBidi"/>
                <w:lang w:val="fr-FR" w:eastAsia="fr-FR"/>
              </w:rPr>
            </w:pPr>
            <w:r w:rsidRPr="00B03AD8">
              <w:rPr>
                <w:rFonts w:asciiTheme="majorBidi" w:hAnsiTheme="majorBidi" w:cstheme="majorBidi"/>
                <w:lang w:val="fr-FR" w:eastAsia="fr-FR"/>
              </w:rPr>
              <w:t>N.R.T. à partir du 1er janvier 2019</w:t>
            </w:r>
          </w:p>
          <w:p w:rsidR="00B83A66" w:rsidRPr="00B03AD8" w:rsidRDefault="00B83A66" w:rsidP="00B83A66">
            <w:pPr>
              <w:widowControl w:val="0"/>
              <w:suppressAutoHyphens w:val="0"/>
              <w:overflowPunct w:val="0"/>
              <w:autoSpaceDE w:val="0"/>
              <w:autoSpaceDN w:val="0"/>
              <w:adjustRightInd w:val="0"/>
              <w:spacing w:line="276" w:lineRule="auto"/>
              <w:jc w:val="center"/>
              <w:textAlignment w:val="baseline"/>
              <w:rPr>
                <w:rFonts w:asciiTheme="majorBidi" w:hAnsiTheme="majorBidi" w:cstheme="majorBidi"/>
                <w:lang w:val="fr-FR" w:eastAsia="fr-FR"/>
              </w:rPr>
            </w:pPr>
            <w:r w:rsidRPr="00B03AD8">
              <w:rPr>
                <w:rFonts w:asciiTheme="majorBidi" w:hAnsiTheme="majorBidi" w:cstheme="majorBidi"/>
                <w:lang w:val="fr-FR" w:eastAsia="fr-FR"/>
              </w:rPr>
              <w:t>Renouvellement du certificat d’agrément après le 31 décembre 2034</w:t>
            </w:r>
          </w:p>
          <w:p w:rsidR="00B83A66" w:rsidRPr="00B03AD8" w:rsidRDefault="00B83A66" w:rsidP="00B83A66">
            <w:pPr>
              <w:widowControl w:val="0"/>
              <w:suppressAutoHyphens w:val="0"/>
              <w:overflowPunct w:val="0"/>
              <w:autoSpaceDE w:val="0"/>
              <w:autoSpaceDN w:val="0"/>
              <w:adjustRightInd w:val="0"/>
              <w:spacing w:line="276" w:lineRule="auto"/>
              <w:jc w:val="both"/>
              <w:textAlignment w:val="baseline"/>
              <w:rPr>
                <w:rFonts w:asciiTheme="majorBidi" w:hAnsiTheme="majorBidi" w:cstheme="majorBidi"/>
                <w:lang w:val="fr-FR" w:eastAsia="fr-FR"/>
              </w:rPr>
            </w:pPr>
          </w:p>
          <w:p w:rsidR="00B83A66" w:rsidRPr="00B03AD8" w:rsidRDefault="00B83A66" w:rsidP="00B83A66">
            <w:pPr>
              <w:widowControl w:val="0"/>
              <w:suppressAutoHyphens w:val="0"/>
              <w:overflowPunct w:val="0"/>
              <w:autoSpaceDE w:val="0"/>
              <w:autoSpaceDN w:val="0"/>
              <w:adjustRightInd w:val="0"/>
              <w:spacing w:line="276" w:lineRule="auto"/>
              <w:ind w:left="33"/>
              <w:jc w:val="both"/>
              <w:textAlignment w:val="baseline"/>
              <w:rPr>
                <w:rFonts w:asciiTheme="majorBidi" w:hAnsiTheme="majorBidi" w:cstheme="majorBidi"/>
                <w:lang w:val="fr-FR" w:eastAsia="fr-FR"/>
              </w:rPr>
            </w:pPr>
            <w:r w:rsidRPr="00B03AD8">
              <w:rPr>
                <w:rFonts w:asciiTheme="majorBidi" w:hAnsiTheme="majorBidi" w:cstheme="majorBidi"/>
                <w:lang w:val="fr-FR" w:eastAsia="fr-FR"/>
              </w:rPr>
              <w:t xml:space="preserve">La résistance à la déflagration doit être éprouvée conformément à la norme EN </w:t>
            </w:r>
            <w:proofErr w:type="gramStart"/>
            <w:r w:rsidRPr="00B03AD8">
              <w:rPr>
                <w:rFonts w:asciiTheme="majorBidi" w:hAnsiTheme="majorBidi" w:cstheme="majorBidi"/>
                <w:lang w:val="fr-FR" w:eastAsia="fr-FR"/>
              </w:rPr>
              <w:t>12874:</w:t>
            </w:r>
            <w:proofErr w:type="gramEnd"/>
            <w:r w:rsidRPr="00B03AD8">
              <w:rPr>
                <w:rFonts w:asciiTheme="majorBidi" w:hAnsiTheme="majorBidi" w:cstheme="majorBidi"/>
                <w:lang w:val="fr-FR" w:eastAsia="fr-FR"/>
              </w:rPr>
              <w:t>2001, y compris la confirmation que doit fournir le fabricant conformément à la directive 94/9/CE ou équivalent, à bord des bateaux construits ou transformés à compter du 1er janvier 2001 ou si la soupape de dépression a été remplacée à compter du 1er janvier 2001.</w:t>
            </w:r>
            <w:r w:rsidRPr="00B03AD8" w:rsidDel="005255FE">
              <w:rPr>
                <w:rFonts w:asciiTheme="majorBidi" w:hAnsiTheme="majorBidi" w:cstheme="majorBidi"/>
                <w:lang w:val="fr-FR" w:eastAsia="fr-FR"/>
              </w:rPr>
              <w:t xml:space="preserve"> </w:t>
            </w:r>
          </w:p>
          <w:p w:rsidR="00B83A66" w:rsidRPr="00B03AD8" w:rsidRDefault="00B83A66" w:rsidP="00B83A66">
            <w:pPr>
              <w:widowControl w:val="0"/>
              <w:suppressAutoHyphens w:val="0"/>
              <w:overflowPunct w:val="0"/>
              <w:autoSpaceDE w:val="0"/>
              <w:autoSpaceDN w:val="0"/>
              <w:adjustRightInd w:val="0"/>
              <w:spacing w:line="276" w:lineRule="auto"/>
              <w:ind w:left="33"/>
              <w:jc w:val="both"/>
              <w:textAlignment w:val="baseline"/>
              <w:rPr>
                <w:rFonts w:asciiTheme="majorBidi" w:hAnsiTheme="majorBidi" w:cstheme="majorBidi"/>
                <w:lang w:val="fr-FR" w:eastAsia="fr-FR"/>
              </w:rPr>
            </w:pPr>
            <w:r w:rsidRPr="00B03AD8">
              <w:rPr>
                <w:rFonts w:asciiTheme="majorBidi" w:hAnsiTheme="majorBidi" w:cstheme="majorBidi"/>
                <w:lang w:val="fr-FR" w:eastAsia="fr-FR"/>
              </w:rPr>
              <w:t>Dans les autres cas, elles doivent être d'un type agréé par l'autorité compétente pour l'usage prévu.</w:t>
            </w:r>
          </w:p>
        </w:tc>
      </w:tr>
    </w:tbl>
    <w:p w:rsidR="00B83A66" w:rsidRPr="00B03AD8" w:rsidRDefault="00B03AD8" w:rsidP="00B03AD8">
      <w:pPr>
        <w:pStyle w:val="SingleTxtG"/>
        <w:spacing w:before="120"/>
        <w:rPr>
          <w:rFonts w:cs="Arial"/>
          <w:lang w:val="fr-FR" w:eastAsia="fr-FR"/>
        </w:rPr>
      </w:pPr>
      <w:r>
        <w:rPr>
          <w:rFonts w:cs="Arial"/>
          <w:lang w:val="fr-FR" w:eastAsia="fr-FR"/>
        </w:rPr>
        <w:t>10</w:t>
      </w:r>
      <w:r w:rsidR="00B83A66" w:rsidRPr="00B03AD8">
        <w:rPr>
          <w:rFonts w:cs="Arial"/>
          <w:lang w:val="fr-FR" w:eastAsia="fr-FR"/>
        </w:rPr>
        <w:t>.</w:t>
      </w:r>
      <w:r w:rsidR="00B83A66" w:rsidRPr="00B03AD8">
        <w:rPr>
          <w:rFonts w:cs="Arial"/>
          <w:lang w:val="fr-FR" w:eastAsia="fr-FR"/>
        </w:rPr>
        <w:tab/>
        <w:t>L'amendement adopté pour le 9.3.2.11.2 a) de l'ADN 2019 comporte une erreur rédactionnelle reprise de l'ADN 2017. La nouvelle rédaction du 9.3.2.11.2, lettre a), devrait par conséquent être corrigée comme suit :</w:t>
      </w:r>
    </w:p>
    <w:p w:rsidR="00B83A66" w:rsidRPr="00B03AD8" w:rsidRDefault="00B83A66" w:rsidP="00B83A66">
      <w:pPr>
        <w:pStyle w:val="SingleTxtG"/>
        <w:rPr>
          <w:rFonts w:eastAsia="Calibri"/>
          <w:lang w:val="fr-FR" w:eastAsia="fr-FR"/>
        </w:rPr>
      </w:pPr>
      <w:r w:rsidRPr="00B03AD8">
        <w:rPr>
          <w:rFonts w:eastAsia="Calibri"/>
          <w:lang w:val="fr-FR" w:eastAsia="fr-FR"/>
        </w:rPr>
        <w:t>Le renvoi au</w:t>
      </w:r>
      <w:proofErr w:type="gramStart"/>
      <w:r w:rsidRPr="00B03AD8">
        <w:rPr>
          <w:rFonts w:eastAsia="Calibri"/>
          <w:lang w:val="fr-FR" w:eastAsia="fr-FR"/>
        </w:rPr>
        <w:t xml:space="preserve"> «9.3.2.11.7</w:t>
      </w:r>
      <w:proofErr w:type="gramEnd"/>
      <w:r w:rsidRPr="00B03AD8">
        <w:rPr>
          <w:rFonts w:eastAsia="Calibri"/>
          <w:lang w:val="fr-FR" w:eastAsia="fr-FR"/>
        </w:rPr>
        <w:t>» est remplacé par le renvoi au «9.3.2.11.8».</w:t>
      </w:r>
    </w:p>
    <w:p w:rsidR="00B83A66" w:rsidRPr="00B03AD8" w:rsidRDefault="00B03AD8" w:rsidP="00B83A66">
      <w:pPr>
        <w:pStyle w:val="SingleTxtG"/>
        <w:rPr>
          <w:rFonts w:cs="Arial"/>
          <w:lang w:val="fr-FR" w:eastAsia="fr-FR"/>
        </w:rPr>
      </w:pPr>
      <w:r>
        <w:rPr>
          <w:rFonts w:cs="Arial"/>
          <w:lang w:val="fr-FR" w:eastAsia="fr-FR"/>
        </w:rPr>
        <w:t>11.</w:t>
      </w:r>
      <w:r>
        <w:rPr>
          <w:rFonts w:cs="Arial"/>
          <w:lang w:val="fr-FR" w:eastAsia="fr-FR"/>
        </w:rPr>
        <w:tab/>
      </w:r>
      <w:r w:rsidR="00B83A66" w:rsidRPr="00B03AD8">
        <w:rPr>
          <w:rFonts w:cs="Arial"/>
          <w:lang w:val="fr-FR" w:eastAsia="fr-FR"/>
        </w:rPr>
        <w:t xml:space="preserve">Le 9.3.2.11.7 de l'ADN 2017 porte sur les citernes à cargaison </w:t>
      </w:r>
      <w:r w:rsidR="00B83A66" w:rsidRPr="00B03AD8">
        <w:rPr>
          <w:rFonts w:cs="Arial"/>
          <w:b/>
          <w:lang w:val="fr-FR" w:eastAsia="fr-FR"/>
        </w:rPr>
        <w:t>intégrées</w:t>
      </w:r>
      <w:r w:rsidR="00B83A66" w:rsidRPr="00B03AD8">
        <w:rPr>
          <w:rFonts w:cs="Arial"/>
          <w:lang w:val="fr-FR" w:eastAsia="fr-FR"/>
        </w:rPr>
        <w:t xml:space="preserve">, tandis que la nouvelle rédaction du 9.3.2.11.2 a) porte sur les citernes à cargaison </w:t>
      </w:r>
      <w:r w:rsidR="00B83A66" w:rsidRPr="00B03AD8">
        <w:rPr>
          <w:rFonts w:cs="Arial"/>
          <w:b/>
          <w:lang w:val="fr-FR" w:eastAsia="fr-FR"/>
        </w:rPr>
        <w:t>indépendantes</w:t>
      </w:r>
      <w:r w:rsidR="00B83A66" w:rsidRPr="00B03AD8">
        <w:rPr>
          <w:rFonts w:cs="Arial"/>
          <w:lang w:val="fr-FR" w:eastAsia="fr-FR"/>
        </w:rPr>
        <w:t>. Le 9.3.2.11.8 de l'ADN contient une règle de construction spécifique pour les citernes à cargaison indépendantes, laquelle n'est pas modifiée pour l'ADN 2019.</w:t>
      </w:r>
    </w:p>
    <w:p w:rsidR="00B83A66" w:rsidRPr="00B03AD8" w:rsidRDefault="00B03AD8" w:rsidP="00B83A66">
      <w:pPr>
        <w:pStyle w:val="SingleTxtG"/>
        <w:rPr>
          <w:rFonts w:cs="Arial"/>
          <w:lang w:val="fr-FR" w:eastAsia="fr-FR"/>
        </w:rPr>
      </w:pPr>
      <w:r>
        <w:rPr>
          <w:rFonts w:cs="Arial"/>
          <w:lang w:val="fr-FR" w:eastAsia="fr-FR"/>
        </w:rPr>
        <w:t>12</w:t>
      </w:r>
      <w:r w:rsidR="00B83A66" w:rsidRPr="00B03AD8">
        <w:rPr>
          <w:rFonts w:cs="Arial"/>
          <w:lang w:val="fr-FR" w:eastAsia="fr-FR"/>
        </w:rPr>
        <w:t>.</w:t>
      </w:r>
      <w:r w:rsidR="00B83A66" w:rsidRPr="00B03AD8">
        <w:rPr>
          <w:rFonts w:cs="Arial"/>
          <w:lang w:val="fr-FR" w:eastAsia="fr-FR"/>
        </w:rPr>
        <w:tab/>
        <w:t xml:space="preserve">L'amendement adopté pour le 9.3.2.22.4 de l'ADN 2019 devrait être corrigé par l'annulation d'une partie des modifications proposées dans le document INF.14 (documents de </w:t>
      </w:r>
      <w:proofErr w:type="gramStart"/>
      <w:r w:rsidR="00B83A66" w:rsidRPr="00B03AD8">
        <w:rPr>
          <w:rFonts w:cs="Arial"/>
          <w:lang w:val="fr-FR" w:eastAsia="fr-FR"/>
        </w:rPr>
        <w:t>référence:</w:t>
      </w:r>
      <w:proofErr w:type="gramEnd"/>
      <w:r w:rsidR="00B83A66" w:rsidRPr="00B03AD8">
        <w:rPr>
          <w:rFonts w:cs="Arial"/>
          <w:lang w:val="fr-FR" w:eastAsia="fr-FR"/>
        </w:rPr>
        <w:t xml:space="preserve"> ECE/TRANS/WP.15/AC.2/2018/11, tel que modifié par le document informel INF.14).</w:t>
      </w:r>
    </w:p>
    <w:p w:rsidR="00B83A66" w:rsidRPr="00B03AD8" w:rsidRDefault="00B83A66" w:rsidP="00A5613A">
      <w:pPr>
        <w:pStyle w:val="SingleTxtG"/>
        <w:ind w:left="1701"/>
        <w:rPr>
          <w:rFonts w:eastAsia="Calibri"/>
          <w:lang w:val="fr-FR" w:eastAsia="fr-FR"/>
        </w:rPr>
      </w:pPr>
      <w:r w:rsidRPr="00B03AD8">
        <w:rPr>
          <w:rFonts w:eastAsia="Calibri"/>
          <w:lang w:val="fr-FR" w:eastAsia="fr-FR"/>
        </w:rPr>
        <w:t xml:space="preserve">Le 9.3.2.22.4 est modifié pour lire comme suit (rétablissement de la rédaction telle qu'elle figure dans le document ECE/TRANS/WP.15/AC.2/2018/11 : </w:t>
      </w:r>
      <w:r w:rsidRPr="00B03AD8">
        <w:rPr>
          <w:rFonts w:eastAsia="Calibri"/>
          <w:u w:val="single"/>
          <w:lang w:val="fr-FR" w:eastAsia="fr-FR"/>
        </w:rPr>
        <w:t>passages</w:t>
      </w:r>
      <w:r w:rsidRPr="00B03AD8">
        <w:rPr>
          <w:rFonts w:eastAsia="Calibri"/>
          <w:lang w:val="fr-FR" w:eastAsia="fr-FR"/>
        </w:rPr>
        <w:t xml:space="preserve"> </w:t>
      </w:r>
      <w:r w:rsidRPr="00B03AD8">
        <w:rPr>
          <w:u w:val="single"/>
          <w:lang w:val="fr-FR" w:eastAsia="fr-FR"/>
        </w:rPr>
        <w:t>soulignés</w:t>
      </w:r>
      <w:r w:rsidRPr="00B03AD8">
        <w:rPr>
          <w:lang w:val="fr-FR" w:eastAsia="fr-FR"/>
        </w:rPr>
        <w:t>) :</w:t>
      </w:r>
    </w:p>
    <w:p w:rsidR="00B83A66" w:rsidRPr="00B03AD8" w:rsidRDefault="00B83A66" w:rsidP="00A5613A">
      <w:pPr>
        <w:pStyle w:val="SingleTxtG"/>
        <w:ind w:left="2268" w:hanging="567"/>
        <w:rPr>
          <w:rFonts w:eastAsia="Calibri"/>
          <w:lang w:val="fr-FR" w:eastAsia="fr-FR"/>
        </w:rPr>
      </w:pPr>
      <w:proofErr w:type="gramStart"/>
      <w:r w:rsidRPr="00B03AD8">
        <w:rPr>
          <w:rFonts w:eastAsia="Calibri"/>
          <w:lang w:val="fr-FR" w:eastAsia="fr-FR"/>
        </w:rPr>
        <w:t>«a</w:t>
      </w:r>
      <w:proofErr w:type="gramEnd"/>
      <w:r w:rsidRPr="00B03AD8">
        <w:rPr>
          <w:rFonts w:eastAsia="Calibri"/>
          <w:lang w:val="fr-FR" w:eastAsia="fr-FR"/>
        </w:rPr>
        <w:t>)</w:t>
      </w:r>
      <w:r w:rsidRPr="00B03AD8">
        <w:rPr>
          <w:rFonts w:eastAsia="Calibri"/>
          <w:lang w:val="fr-FR" w:eastAsia="fr-FR"/>
        </w:rPr>
        <w:tab/>
        <w:t>Chaque citerne à cargaison ou groupe de citernes à cargaison raccordé à une conduite d'évacuation de gaz commune doit être équipé :</w:t>
      </w:r>
    </w:p>
    <w:p w:rsidR="00B83A66" w:rsidRPr="00B03AD8" w:rsidRDefault="00B83A66" w:rsidP="00A5613A">
      <w:pPr>
        <w:pStyle w:val="SingleTxtG"/>
        <w:ind w:left="2835" w:hanging="567"/>
        <w:rPr>
          <w:rFonts w:eastAsia="Calibri"/>
          <w:lang w:val="fr-FR" w:eastAsia="fr-FR"/>
        </w:rPr>
      </w:pPr>
      <w:r w:rsidRPr="00B03AD8">
        <w:rPr>
          <w:rFonts w:eastAsia="Calibri"/>
          <w:lang w:val="fr-FR" w:eastAsia="fr-FR"/>
        </w:rPr>
        <w:lastRenderedPageBreak/>
        <w:t>-</w:t>
      </w:r>
      <w:r w:rsidRPr="00B03AD8">
        <w:rPr>
          <w:rFonts w:eastAsia="Calibri"/>
          <w:lang w:val="fr-FR" w:eastAsia="fr-FR"/>
        </w:rPr>
        <w:tab/>
        <w:t>d'un raccordement pour un tuyau de retour sans danger à terre des gaz s'échappant lors du chargement ;</w:t>
      </w:r>
    </w:p>
    <w:p w:rsidR="00B83A66" w:rsidRPr="00B03AD8" w:rsidRDefault="00B83A66" w:rsidP="00A5613A">
      <w:pPr>
        <w:pStyle w:val="SingleTxtG"/>
        <w:ind w:left="2835" w:hanging="567"/>
        <w:rPr>
          <w:rFonts w:eastAsia="Calibri"/>
          <w:lang w:val="fr-FR" w:eastAsia="fr-FR"/>
        </w:rPr>
      </w:pPr>
      <w:r w:rsidRPr="00B03AD8">
        <w:rPr>
          <w:rFonts w:eastAsia="Calibri"/>
          <w:lang w:val="fr-FR" w:eastAsia="fr-FR"/>
        </w:rPr>
        <w:t>-</w:t>
      </w:r>
      <w:r w:rsidRPr="00B03AD8">
        <w:rPr>
          <w:rFonts w:eastAsia="Calibri"/>
          <w:lang w:val="fr-FR" w:eastAsia="fr-FR"/>
        </w:rPr>
        <w:tab/>
        <w:t>d'un dispositif de décompression en toute sécurité des citernes à cargaison, la position du robinet d'arrêt devant indiquer clairement s'il est ouvert ou fermé ;</w:t>
      </w:r>
    </w:p>
    <w:p w:rsidR="00B83A66" w:rsidRPr="00B03AD8" w:rsidRDefault="00B83A66" w:rsidP="00A5613A">
      <w:pPr>
        <w:pStyle w:val="SingleTxtG"/>
        <w:ind w:left="2835" w:hanging="567"/>
        <w:rPr>
          <w:rFonts w:eastAsia="Calibri"/>
          <w:lang w:val="fr-FR" w:eastAsia="fr-FR"/>
        </w:rPr>
      </w:pPr>
      <w:r w:rsidRPr="00B03AD8">
        <w:rPr>
          <w:rFonts w:eastAsia="Calibri"/>
          <w:lang w:val="fr-FR" w:eastAsia="fr-FR"/>
        </w:rPr>
        <w:t>-</w:t>
      </w:r>
      <w:r w:rsidRPr="00B03AD8">
        <w:rPr>
          <w:rFonts w:eastAsia="Calibri"/>
          <w:lang w:val="fr-FR" w:eastAsia="fr-FR"/>
        </w:rPr>
        <w:tab/>
        <w:t>de soupapes de sécurité empêchant toute surpression ou toute dépression excessive ;</w:t>
      </w:r>
    </w:p>
    <w:p w:rsidR="00B83A66" w:rsidRPr="00B03AD8" w:rsidRDefault="00B83A66" w:rsidP="00A5613A">
      <w:pPr>
        <w:pStyle w:val="SingleTxtG"/>
        <w:ind w:left="2268"/>
        <w:rPr>
          <w:rFonts w:eastAsia="Calibri"/>
          <w:lang w:val="fr-FR" w:eastAsia="fr-FR"/>
        </w:rPr>
      </w:pPr>
      <w:r w:rsidRPr="00B03AD8">
        <w:rPr>
          <w:rFonts w:eastAsia="Calibri"/>
          <w:lang w:val="fr-FR" w:eastAsia="fr-FR"/>
        </w:rPr>
        <w:t xml:space="preserve">La pression d'ouverture des soupapes de sécurité doit être marquée durablement sur les </w:t>
      </w:r>
      <w:proofErr w:type="gramStart"/>
      <w:r w:rsidRPr="00B03AD8">
        <w:rPr>
          <w:rFonts w:eastAsia="Calibri"/>
          <w:lang w:val="fr-FR" w:eastAsia="fr-FR"/>
        </w:rPr>
        <w:t>soupapes;</w:t>
      </w:r>
      <w:proofErr w:type="gramEnd"/>
    </w:p>
    <w:p w:rsidR="00B83A66" w:rsidRPr="00B03AD8" w:rsidRDefault="00B83A66" w:rsidP="00A5613A">
      <w:pPr>
        <w:pStyle w:val="SingleTxtG"/>
        <w:ind w:left="2268"/>
        <w:rPr>
          <w:rFonts w:eastAsia="Calibri"/>
          <w:lang w:val="fr-FR" w:eastAsia="fr-FR"/>
        </w:rPr>
      </w:pPr>
      <w:r w:rsidRPr="00B03AD8">
        <w:rPr>
          <w:rFonts w:eastAsia="Calibri"/>
          <w:lang w:val="fr-FR" w:eastAsia="fr-FR"/>
        </w:rPr>
        <w:t xml:space="preserve">Les soupapes de surpression doivent être réglées de telle sorte qu'au cours de l'opération de transport elles ne puissent s'ouvrir que lorsque la pression de service maximale autorisée des citernes à cargaison est </w:t>
      </w:r>
      <w:proofErr w:type="gramStart"/>
      <w:r w:rsidRPr="00B03AD8">
        <w:rPr>
          <w:rFonts w:eastAsia="Calibri"/>
          <w:lang w:val="fr-FR" w:eastAsia="fr-FR"/>
        </w:rPr>
        <w:t>atteinte;</w:t>
      </w:r>
      <w:proofErr w:type="gramEnd"/>
    </w:p>
    <w:p w:rsidR="00B83A66" w:rsidRPr="00B03AD8" w:rsidRDefault="00B83A66" w:rsidP="00A5613A">
      <w:pPr>
        <w:pStyle w:val="SingleTxtG"/>
        <w:ind w:left="2268"/>
        <w:rPr>
          <w:rFonts w:eastAsia="Calibri"/>
          <w:lang w:val="fr-FR" w:eastAsia="fr-FR"/>
        </w:rPr>
      </w:pPr>
      <w:r w:rsidRPr="00B03AD8">
        <w:rPr>
          <w:rFonts w:eastAsia="Calibri"/>
          <w:lang w:val="fr-FR" w:eastAsia="fr-FR"/>
        </w:rPr>
        <w:t xml:space="preserve">Les gaz doivent être évacués vers le </w:t>
      </w:r>
      <w:proofErr w:type="gramStart"/>
      <w:r w:rsidRPr="00B03AD8">
        <w:rPr>
          <w:rFonts w:eastAsia="Calibri"/>
          <w:lang w:val="fr-FR" w:eastAsia="fr-FR"/>
        </w:rPr>
        <w:t>haut;</w:t>
      </w:r>
      <w:proofErr w:type="gramEnd"/>
    </w:p>
    <w:p w:rsidR="00B83A66" w:rsidRPr="00B03AD8" w:rsidRDefault="00B83A66" w:rsidP="00A5613A">
      <w:pPr>
        <w:pStyle w:val="SingleTxtG"/>
        <w:ind w:left="2268"/>
        <w:rPr>
          <w:rFonts w:eastAsia="Calibri"/>
          <w:lang w:val="fr-FR" w:eastAsia="fr-FR"/>
        </w:rPr>
      </w:pPr>
      <w:r w:rsidRPr="00B03AD8">
        <w:rPr>
          <w:rFonts w:eastAsia="Calibri"/>
          <w:lang w:val="fr-FR" w:eastAsia="fr-FR"/>
        </w:rPr>
        <w:t xml:space="preserve">Les orifices de dégagement des soupapes de surpression doivent être situés à 1,00 m au moins au-dessus du pont et à une distance de 6,00 m au moins des ouvertures de logements, de la timonerie et de locaux de service situés en dehors de la zone de cargaison. Aucun équipement ne doit être présent dans un cercle de 1,00 m de rayon autour de l'orifice de dégagement des soupapes de surpression. Cette zone doit être signalisée en tant que zone de </w:t>
      </w:r>
      <w:proofErr w:type="gramStart"/>
      <w:r w:rsidRPr="00B03AD8">
        <w:rPr>
          <w:rFonts w:eastAsia="Calibri"/>
          <w:lang w:val="fr-FR" w:eastAsia="fr-FR"/>
        </w:rPr>
        <w:t>danger;</w:t>
      </w:r>
      <w:proofErr w:type="gramEnd"/>
    </w:p>
    <w:p w:rsidR="00B83A66" w:rsidRPr="00B03AD8" w:rsidRDefault="00B83A66" w:rsidP="00A5613A">
      <w:pPr>
        <w:pStyle w:val="SingleTxtG"/>
        <w:ind w:left="2268" w:hanging="567"/>
        <w:rPr>
          <w:rFonts w:eastAsia="Calibri"/>
          <w:lang w:val="fr-FR" w:eastAsia="fr-FR"/>
        </w:rPr>
      </w:pPr>
      <w:r w:rsidRPr="00B03AD8">
        <w:rPr>
          <w:rFonts w:eastAsia="Calibri"/>
          <w:lang w:val="fr-FR" w:eastAsia="fr-FR"/>
        </w:rPr>
        <w:t>b)</w:t>
      </w:r>
      <w:r w:rsidRPr="00B03AD8">
        <w:rPr>
          <w:rFonts w:eastAsia="Calibri"/>
          <w:lang w:val="fr-FR" w:eastAsia="fr-FR"/>
        </w:rPr>
        <w:tab/>
        <w:t>Lorsque la liste des matières du bateau selon 1.16.1.2.5 doit contenir des matières pour lesquelles la protection contre les explosions est exigée selon la colonne (17) du tableau C du chapitre 3.2,</w:t>
      </w:r>
    </w:p>
    <w:p w:rsidR="00B83A66" w:rsidRPr="00B03AD8" w:rsidRDefault="00B83A66" w:rsidP="00A5613A">
      <w:pPr>
        <w:pStyle w:val="SingleTxtG"/>
        <w:ind w:left="2835" w:hanging="567"/>
        <w:rPr>
          <w:rFonts w:eastAsia="Calibri"/>
          <w:u w:val="single"/>
          <w:lang w:val="fr-FR" w:eastAsia="fr-FR"/>
        </w:rPr>
      </w:pPr>
      <w:r w:rsidRPr="00B03AD8">
        <w:rPr>
          <w:rFonts w:eastAsia="Calibri"/>
          <w:u w:val="single"/>
          <w:lang w:val="fr-FR" w:eastAsia="fr-FR"/>
        </w:rPr>
        <w:t>-</w:t>
      </w:r>
      <w:r w:rsidRPr="00B03AD8">
        <w:rPr>
          <w:rFonts w:eastAsia="Calibri"/>
          <w:u w:val="single"/>
          <w:lang w:val="fr-FR" w:eastAsia="fr-FR"/>
        </w:rPr>
        <w:tab/>
      </w:r>
      <w:r w:rsidRPr="00B03AD8">
        <w:rPr>
          <w:rFonts w:eastAsia="Calibri"/>
          <w:lang w:val="fr-FR" w:eastAsia="fr-FR"/>
        </w:rPr>
        <w:t xml:space="preserve">la conduite d'évacuation de gaz au niveau du raccordement à chaque citerne de cargaison ainsi que la soupape de dépression doivent être équipées d'un coupe-flammes résistant à une </w:t>
      </w:r>
      <w:proofErr w:type="gramStart"/>
      <w:r w:rsidRPr="00B03AD8">
        <w:rPr>
          <w:rFonts w:eastAsia="Calibri"/>
          <w:lang w:val="fr-FR" w:eastAsia="fr-FR"/>
        </w:rPr>
        <w:t>détonation</w:t>
      </w:r>
      <w:r w:rsidR="00B03AD8">
        <w:rPr>
          <w:rFonts w:eastAsia="Calibri"/>
          <w:lang w:val="fr-FR" w:eastAsia="fr-FR"/>
        </w:rPr>
        <w:t>;</w:t>
      </w:r>
      <w:proofErr w:type="gramEnd"/>
      <w:r w:rsidRPr="00B03AD8">
        <w:rPr>
          <w:rFonts w:eastAsia="Calibri"/>
          <w:lang w:val="fr-FR" w:eastAsia="fr-FR"/>
        </w:rPr>
        <w:t xml:space="preserve"> </w:t>
      </w:r>
      <w:r w:rsidRPr="00B03AD8">
        <w:rPr>
          <w:rFonts w:eastAsia="Calibri"/>
          <w:u w:val="single"/>
          <w:lang w:val="fr-FR" w:eastAsia="fr-FR"/>
        </w:rPr>
        <w:t>et</w:t>
      </w:r>
    </w:p>
    <w:p w:rsidR="00B83A66" w:rsidRPr="00B03AD8" w:rsidRDefault="00B83A66" w:rsidP="00A5613A">
      <w:pPr>
        <w:pStyle w:val="SingleTxtG"/>
        <w:ind w:left="2835" w:hanging="567"/>
        <w:rPr>
          <w:rFonts w:eastAsia="Calibri"/>
          <w:u w:val="single"/>
          <w:lang w:val="fr-FR" w:eastAsia="fr-FR"/>
        </w:rPr>
      </w:pPr>
      <w:r w:rsidRPr="00B03AD8">
        <w:rPr>
          <w:rFonts w:eastAsia="Calibri"/>
          <w:u w:val="single"/>
          <w:lang w:val="fr-FR" w:eastAsia="fr-FR"/>
        </w:rPr>
        <w:t>-</w:t>
      </w:r>
      <w:r w:rsidRPr="00B03AD8">
        <w:rPr>
          <w:rFonts w:eastAsia="Calibri"/>
          <w:u w:val="single"/>
          <w:lang w:val="fr-FR" w:eastAsia="fr-FR"/>
        </w:rPr>
        <w:tab/>
        <w:t xml:space="preserve">le dispositif de décompression en toute sécurité des citernes à cargaison doit être conçu pour résister à la déflagration et au feu </w:t>
      </w:r>
      <w:proofErr w:type="gramStart"/>
      <w:r w:rsidRPr="00B03AD8">
        <w:rPr>
          <w:rFonts w:eastAsia="Calibri"/>
          <w:u w:val="single"/>
          <w:lang w:val="fr-FR" w:eastAsia="fr-FR"/>
        </w:rPr>
        <w:t>continu;</w:t>
      </w:r>
      <w:proofErr w:type="gramEnd"/>
    </w:p>
    <w:p w:rsidR="00B83A66" w:rsidRPr="00B03AD8" w:rsidRDefault="00B83A66" w:rsidP="00A5613A">
      <w:pPr>
        <w:pStyle w:val="SingleTxtG"/>
        <w:ind w:left="2268" w:hanging="567"/>
        <w:rPr>
          <w:rFonts w:eastAsia="Calibri"/>
          <w:lang w:val="fr-FR" w:eastAsia="fr-FR"/>
        </w:rPr>
      </w:pPr>
      <w:r w:rsidRPr="00B03AD8">
        <w:rPr>
          <w:rFonts w:eastAsia="Calibri"/>
          <w:lang w:val="fr-FR" w:eastAsia="fr-FR"/>
        </w:rPr>
        <w:t>c)</w:t>
      </w:r>
      <w:r w:rsidRPr="00B03AD8">
        <w:rPr>
          <w:rFonts w:eastAsia="Calibri"/>
          <w:lang w:val="fr-FR" w:eastAsia="fr-FR"/>
        </w:rPr>
        <w:tab/>
        <w:t xml:space="preserve">Lorsque la liste des matières du bateau selon 1.16.1.2.5 doit contenir des matières pour lesquelles la protection contre les explosions est exigée selon la colonne (17) du tableau C du chapitre 3.2, ou pour lesquelles la lettre T figure dans de la colonne (3b) du tableau C du chapitre 3.2, la soupape de surpression doit être conçue comme une soupape de dégagement à grande </w:t>
      </w:r>
      <w:proofErr w:type="gramStart"/>
      <w:r w:rsidRPr="00B03AD8">
        <w:rPr>
          <w:rFonts w:eastAsia="Calibri"/>
          <w:lang w:val="fr-FR" w:eastAsia="fr-FR"/>
        </w:rPr>
        <w:t>vitesse;</w:t>
      </w:r>
      <w:proofErr w:type="gramEnd"/>
    </w:p>
    <w:p w:rsidR="00B83A66" w:rsidRPr="00B03AD8" w:rsidRDefault="00B83A66" w:rsidP="00A5613A">
      <w:pPr>
        <w:pStyle w:val="SingleTxtG"/>
        <w:ind w:left="2268" w:hanging="567"/>
        <w:rPr>
          <w:rFonts w:eastAsia="Calibri"/>
          <w:lang w:val="fr-FR" w:eastAsia="fr-FR"/>
        </w:rPr>
      </w:pPr>
      <w:r w:rsidRPr="00B03AD8">
        <w:rPr>
          <w:rFonts w:eastAsia="Calibri"/>
          <w:lang w:val="fr-FR" w:eastAsia="fr-FR"/>
        </w:rPr>
        <w:t>d)</w:t>
      </w:r>
      <w:r w:rsidRPr="00B03AD8">
        <w:rPr>
          <w:rFonts w:eastAsia="Calibri"/>
          <w:lang w:val="fr-FR" w:eastAsia="fr-FR"/>
        </w:rPr>
        <w:tab/>
        <w:t xml:space="preserve">Si un dispositif de fermeture est prévu entre la conduite d'évacuation de gaz et la citerne à cargaison, il doit être placé entre la citerne à cargaison et le coupe-flammes et chaque citerne à cargaison doit être équipée de ses propres soupapes de </w:t>
      </w:r>
      <w:proofErr w:type="gramStart"/>
      <w:r w:rsidRPr="00B03AD8">
        <w:rPr>
          <w:rFonts w:eastAsia="Calibri"/>
          <w:lang w:val="fr-FR" w:eastAsia="fr-FR"/>
        </w:rPr>
        <w:t>sécurité;</w:t>
      </w:r>
      <w:proofErr w:type="gramEnd"/>
    </w:p>
    <w:p w:rsidR="00B83A66" w:rsidRPr="00B03AD8" w:rsidRDefault="00B83A66" w:rsidP="00A5613A">
      <w:pPr>
        <w:pStyle w:val="SingleTxtG"/>
        <w:ind w:left="2268" w:hanging="567"/>
        <w:rPr>
          <w:rFonts w:eastAsia="Calibri"/>
          <w:lang w:val="fr-FR" w:eastAsia="fr-FR"/>
        </w:rPr>
      </w:pPr>
      <w:r w:rsidRPr="00B03AD8">
        <w:rPr>
          <w:rFonts w:eastAsia="Calibri"/>
          <w:lang w:val="fr-FR" w:eastAsia="fr-FR"/>
        </w:rPr>
        <w:t>e)</w:t>
      </w:r>
      <w:r w:rsidRPr="00B03AD8">
        <w:rPr>
          <w:rFonts w:eastAsia="Calibri"/>
          <w:lang w:val="fr-FR" w:eastAsia="fr-FR"/>
        </w:rPr>
        <w:tab/>
        <w:t xml:space="preserve">Les systèmes de protection autonomes </w:t>
      </w:r>
      <w:r w:rsidRPr="00B03AD8">
        <w:rPr>
          <w:rFonts w:eastAsia="Calibri"/>
          <w:u w:val="single"/>
          <w:lang w:val="fr-FR" w:eastAsia="fr-FR"/>
        </w:rPr>
        <w:t>visés aux alinéas b) et</w:t>
      </w:r>
      <w:r w:rsidRPr="00B03AD8">
        <w:rPr>
          <w:rFonts w:eastAsia="Calibri"/>
          <w:lang w:val="fr-FR" w:eastAsia="fr-FR"/>
        </w:rPr>
        <w:t xml:space="preserve"> c) doivent être sélectionnés en fonction des groupes/sous-groupes d'explosion auxquels appartiennent les matières prévues dans la liste des matières du bateau (voir colonne (16) du tableau C du chapitre 3.2). Les orifices des soupapes de dégagement à grande vitesse doivent être situés à 2,00 m au moins au-dessus du pont et à une distance de 6,00 m au moins des ouvertures de logements, de la timonerie et de locaux de service situés en dehors de la zone de cargaison. Cette hauteur peut être réduite à 1,00 m, lorsque dans un cercle de 1,00 m de rayon autour de l'orifice de dégagement il n'y a </w:t>
      </w:r>
      <w:r w:rsidRPr="00B03AD8">
        <w:rPr>
          <w:rFonts w:eastAsia="Calibri"/>
          <w:u w:val="single"/>
          <w:lang w:val="fr-FR" w:eastAsia="fr-FR"/>
        </w:rPr>
        <w:t xml:space="preserve">aucune installation de </w:t>
      </w:r>
      <w:r w:rsidRPr="00B03AD8">
        <w:rPr>
          <w:rFonts w:eastAsia="Calibri"/>
          <w:u w:val="single"/>
          <w:lang w:val="fr-FR" w:eastAsia="fr-FR"/>
        </w:rPr>
        <w:lastRenderedPageBreak/>
        <w:t>commande</w:t>
      </w:r>
      <w:r w:rsidRPr="00B03AD8">
        <w:rPr>
          <w:rFonts w:eastAsia="Calibri"/>
          <w:lang w:val="fr-FR" w:eastAsia="fr-FR"/>
        </w:rPr>
        <w:t xml:space="preserve"> </w:t>
      </w:r>
      <w:r w:rsidRPr="00B03AD8">
        <w:rPr>
          <w:rFonts w:eastAsia="Calibri"/>
          <w:strike/>
          <w:lang w:val="fr-FR" w:eastAsia="fr-FR"/>
        </w:rPr>
        <w:t>aucun</w:t>
      </w:r>
      <w:r w:rsidRPr="00B03AD8">
        <w:rPr>
          <w:rFonts w:eastAsia="Calibri"/>
          <w:lang w:val="fr-FR" w:eastAsia="fr-FR"/>
        </w:rPr>
        <w:t xml:space="preserve"> </w:t>
      </w:r>
      <w:r w:rsidRPr="00B03AD8">
        <w:rPr>
          <w:rFonts w:eastAsia="Calibri"/>
          <w:strike/>
          <w:lang w:val="fr-FR" w:eastAsia="fr-FR"/>
        </w:rPr>
        <w:t>équipement</w:t>
      </w:r>
      <w:r w:rsidRPr="00B03AD8">
        <w:rPr>
          <w:rFonts w:eastAsia="Calibri"/>
          <w:lang w:val="fr-FR" w:eastAsia="fr-FR"/>
        </w:rPr>
        <w:t xml:space="preserve"> </w:t>
      </w:r>
      <w:r w:rsidRPr="00B03AD8">
        <w:rPr>
          <w:rFonts w:eastAsia="Calibri"/>
          <w:strike/>
          <w:lang w:val="fr-FR" w:eastAsia="fr-FR"/>
        </w:rPr>
        <w:t>et qu’aucun travail n’y est effectué</w:t>
      </w:r>
      <w:r w:rsidRPr="00B03AD8">
        <w:rPr>
          <w:rFonts w:eastAsia="Calibri"/>
          <w:lang w:val="fr-FR" w:eastAsia="fr-FR"/>
        </w:rPr>
        <w:t>. Cette zone doit être signalisée en tant que zone de danger ;</w:t>
      </w:r>
    </w:p>
    <w:p w:rsidR="00B83A66" w:rsidRPr="00B03AD8" w:rsidRDefault="00B83A66" w:rsidP="00A5613A">
      <w:pPr>
        <w:pStyle w:val="SingleTxtG"/>
        <w:ind w:left="2268"/>
        <w:rPr>
          <w:rFonts w:eastAsia="Calibri"/>
          <w:lang w:val="fr-FR" w:eastAsia="fr-FR"/>
        </w:rPr>
      </w:pPr>
      <w:r w:rsidRPr="00B03AD8">
        <w:rPr>
          <w:rFonts w:eastAsia="Calibri"/>
          <w:lang w:val="fr-FR" w:eastAsia="fr-FR"/>
        </w:rPr>
        <w:t>Si la soupape de dégagement à grande vitesse, la soupape de dépression, les coupe-flammes et la conduite d'évacuation de gaz doivent être chauffables, les équipements de sécurité ci-dessus doivent être appropriés pour la température correspondante. ».</w:t>
      </w:r>
    </w:p>
    <w:p w:rsidR="00B83A66" w:rsidRPr="00B03AD8" w:rsidRDefault="00B83A66" w:rsidP="00B83A66">
      <w:pPr>
        <w:pStyle w:val="SingleTxtG"/>
        <w:rPr>
          <w:rFonts w:cs="Arial"/>
          <w:lang w:val="fr-FR" w:eastAsia="fr-FR"/>
        </w:rPr>
      </w:pPr>
      <w:r w:rsidRPr="00B03AD8">
        <w:rPr>
          <w:rFonts w:cs="Arial"/>
          <w:lang w:val="fr-FR" w:eastAsia="fr-FR"/>
        </w:rPr>
        <w:t>1</w:t>
      </w:r>
      <w:r w:rsidR="00B03AD8">
        <w:rPr>
          <w:rFonts w:cs="Arial"/>
          <w:lang w:val="fr-FR" w:eastAsia="fr-FR"/>
        </w:rPr>
        <w:t>3</w:t>
      </w:r>
      <w:r w:rsidRPr="00B03AD8">
        <w:rPr>
          <w:rFonts w:cs="Arial"/>
          <w:lang w:val="fr-FR" w:eastAsia="fr-FR"/>
        </w:rPr>
        <w:t>.</w:t>
      </w:r>
      <w:r w:rsidRPr="00B03AD8">
        <w:rPr>
          <w:rFonts w:cs="Arial"/>
          <w:lang w:val="fr-FR" w:eastAsia="fr-FR"/>
        </w:rPr>
        <w:tab/>
        <w:t>L'amélioration de la modification de l'alinéa b) est nécessaire, bien que la définition</w:t>
      </w:r>
      <w:proofErr w:type="gramStart"/>
      <w:r w:rsidRPr="00B03AD8">
        <w:rPr>
          <w:rFonts w:cs="Arial"/>
          <w:lang w:val="fr-FR" w:eastAsia="fr-FR"/>
        </w:rPr>
        <w:t xml:space="preserve"> </w:t>
      </w:r>
      <w:r w:rsidR="00A5613A" w:rsidRPr="00B03AD8">
        <w:rPr>
          <w:rFonts w:cs="Arial"/>
          <w:b/>
          <w:i/>
          <w:lang w:val="fr-FR" w:eastAsia="fr-FR"/>
        </w:rPr>
        <w:t>«</w:t>
      </w:r>
      <w:r w:rsidRPr="00B03AD8">
        <w:rPr>
          <w:rFonts w:cs="Arial"/>
          <w:b/>
          <w:i/>
          <w:lang w:val="fr-FR" w:eastAsia="fr-FR"/>
        </w:rPr>
        <w:t>Dispositif</w:t>
      </w:r>
      <w:proofErr w:type="gramEnd"/>
      <w:r w:rsidRPr="00B03AD8">
        <w:rPr>
          <w:rFonts w:cs="Arial"/>
          <w:b/>
          <w:i/>
          <w:lang w:val="fr-FR" w:eastAsia="fr-FR"/>
        </w:rPr>
        <w:t xml:space="preserve"> de décompression en toute sécurité des citernes à cargaison»</w:t>
      </w:r>
      <w:r w:rsidRPr="00B03AD8">
        <w:rPr>
          <w:rFonts w:cs="Arial"/>
          <w:lang w:val="fr-FR" w:eastAsia="fr-FR"/>
        </w:rPr>
        <w:t xml:space="preserve"> contienne déjà une exigence identique concernant la conception résistant à la déflagration et au feu continu lorsque la liste des matières du bateau selon 1.16.1.2.5 doit contenir des matières pour lesquelles la protection contre les explosions est exigée à la colonne (17) du tableau Cde la sous-section 3.2.3.2. Si la mention du dispositif n'est pas répétée dans cet alinéa, cela pourrait conduire à un renoncement erroné à ce dispositif, étant donné qu'une lecture se limitant à la Partie 9 de l'ADN ne permettrait pas de faire le lien avec la définition de la Partie 1.</w:t>
      </w:r>
    </w:p>
    <w:p w:rsidR="00B83A66" w:rsidRPr="00B03AD8" w:rsidRDefault="00B83A66" w:rsidP="00B83A66">
      <w:pPr>
        <w:pStyle w:val="SingleTxtG"/>
        <w:rPr>
          <w:rFonts w:cs="Arial"/>
          <w:lang w:val="fr-FR" w:eastAsia="fr-FR"/>
        </w:rPr>
      </w:pPr>
      <w:r w:rsidRPr="00B03AD8">
        <w:rPr>
          <w:rFonts w:cs="Arial"/>
          <w:lang w:val="fr-FR" w:eastAsia="fr-FR"/>
        </w:rPr>
        <w:t>1</w:t>
      </w:r>
      <w:r w:rsidR="00B03AD8">
        <w:rPr>
          <w:rFonts w:cs="Arial"/>
          <w:lang w:val="fr-FR" w:eastAsia="fr-FR"/>
        </w:rPr>
        <w:t>4</w:t>
      </w:r>
      <w:r w:rsidRPr="00B03AD8">
        <w:rPr>
          <w:rFonts w:cs="Arial"/>
          <w:lang w:val="fr-FR" w:eastAsia="fr-FR"/>
        </w:rPr>
        <w:t>.</w:t>
      </w:r>
      <w:r w:rsidRPr="00B03AD8">
        <w:rPr>
          <w:rFonts w:cs="Arial"/>
          <w:lang w:val="fr-FR" w:eastAsia="fr-FR"/>
        </w:rPr>
        <w:tab/>
        <w:t xml:space="preserve">Dans </w:t>
      </w:r>
      <w:r w:rsidR="00FE642F">
        <w:rPr>
          <w:rFonts w:cs="Arial"/>
          <w:lang w:val="fr-FR" w:eastAsia="fr-FR"/>
        </w:rPr>
        <w:t>le d</w:t>
      </w:r>
      <w:r w:rsidR="00FE642F" w:rsidRPr="00FE642F">
        <w:rPr>
          <w:rFonts w:cs="Arial"/>
          <w:lang w:val="fr-FR" w:eastAsia="fr-FR"/>
        </w:rPr>
        <w:t>ocument informel INF.14 de la trente-deuxième session</w:t>
      </w:r>
      <w:r w:rsidRPr="00B03AD8">
        <w:rPr>
          <w:rFonts w:cs="Arial"/>
          <w:lang w:val="fr-FR" w:eastAsia="fr-FR"/>
        </w:rPr>
        <w:t>, en liaison avec la modification concernant le</w:t>
      </w:r>
      <w:proofErr w:type="gramStart"/>
      <w:r w:rsidRPr="00B03AD8">
        <w:rPr>
          <w:rFonts w:cs="Arial"/>
          <w:lang w:val="fr-FR" w:eastAsia="fr-FR"/>
        </w:rPr>
        <w:t xml:space="preserve"> </w:t>
      </w:r>
      <w:r w:rsidRPr="00B03AD8">
        <w:rPr>
          <w:rFonts w:cs="Arial"/>
          <w:b/>
          <w:i/>
          <w:lang w:val="fr-FR" w:eastAsia="fr-FR"/>
        </w:rPr>
        <w:t>«Dispositif</w:t>
      </w:r>
      <w:proofErr w:type="gramEnd"/>
      <w:r w:rsidRPr="00B03AD8">
        <w:rPr>
          <w:rFonts w:cs="Arial"/>
          <w:b/>
          <w:i/>
          <w:lang w:val="fr-FR" w:eastAsia="fr-FR"/>
        </w:rPr>
        <w:t xml:space="preserve"> de décompression en toute sécurité des citernes à cargaison»</w:t>
      </w:r>
      <w:r w:rsidRPr="00B03AD8">
        <w:rPr>
          <w:rFonts w:cs="Arial"/>
          <w:lang w:val="fr-FR" w:eastAsia="fr-FR"/>
        </w:rPr>
        <w:t xml:space="preserve"> pour la sécurisation individuelle des citernes (1</w:t>
      </w:r>
      <w:r w:rsidRPr="00B03AD8">
        <w:rPr>
          <w:rFonts w:cs="Arial"/>
          <w:vertAlign w:val="superscript"/>
          <w:lang w:val="fr-FR" w:eastAsia="fr-FR"/>
        </w:rPr>
        <w:t>er</w:t>
      </w:r>
      <w:r w:rsidRPr="00B03AD8">
        <w:rPr>
          <w:rFonts w:cs="Arial"/>
          <w:lang w:val="fr-FR" w:eastAsia="fr-FR"/>
        </w:rPr>
        <w:t xml:space="preserve"> tiret de l'alinéa b)), l'intention n'était pas d'abroger l'obligation d'effectuer un choix en fonction des groupes d'explosion / sous-groupes selon la colonne (16) du tableau C de la sous-section 3.2.3.2.</w:t>
      </w:r>
    </w:p>
    <w:p w:rsidR="00B83A66" w:rsidRPr="00B03AD8" w:rsidRDefault="00B83A66" w:rsidP="00B83A66">
      <w:pPr>
        <w:pStyle w:val="HChG"/>
        <w:rPr>
          <w:lang w:val="fr-FR" w:eastAsia="fr-FR"/>
        </w:rPr>
      </w:pPr>
      <w:r w:rsidRPr="00B03AD8">
        <w:rPr>
          <w:lang w:val="fr-FR" w:eastAsia="fr-FR"/>
        </w:rPr>
        <w:tab/>
      </w:r>
      <w:r w:rsidRPr="00B03AD8">
        <w:rPr>
          <w:lang w:val="fr-FR" w:eastAsia="fr-FR"/>
        </w:rPr>
        <w:tab/>
        <w:t>Mise en œuvre</w:t>
      </w:r>
    </w:p>
    <w:p w:rsidR="00B83A66" w:rsidRPr="00B03AD8" w:rsidRDefault="00B83A66" w:rsidP="00B83A66">
      <w:pPr>
        <w:pStyle w:val="SingleTxtG"/>
        <w:rPr>
          <w:rFonts w:cs="Arial"/>
          <w:lang w:val="fr-FR" w:eastAsia="fr-FR"/>
        </w:rPr>
      </w:pPr>
      <w:r w:rsidRPr="00B03AD8">
        <w:rPr>
          <w:rFonts w:cs="Arial"/>
          <w:lang w:val="fr-FR" w:eastAsia="fr-FR"/>
        </w:rPr>
        <w:t>1</w:t>
      </w:r>
      <w:r w:rsidR="00B03AD8">
        <w:rPr>
          <w:rFonts w:cs="Arial"/>
          <w:lang w:val="fr-FR" w:eastAsia="fr-FR"/>
        </w:rPr>
        <w:t>5</w:t>
      </w:r>
      <w:r w:rsidRPr="00B03AD8">
        <w:rPr>
          <w:rFonts w:cs="Arial"/>
          <w:lang w:val="fr-FR" w:eastAsia="fr-FR"/>
        </w:rPr>
        <w:t>.</w:t>
      </w:r>
      <w:r w:rsidRPr="00B03AD8">
        <w:rPr>
          <w:rFonts w:cs="Arial"/>
          <w:lang w:val="fr-FR" w:eastAsia="fr-FR"/>
        </w:rPr>
        <w:tab/>
        <w:t xml:space="preserve">La proposition figurant au </w:t>
      </w:r>
      <w:r w:rsidR="00B03AD8">
        <w:rPr>
          <w:rFonts w:cs="Arial"/>
          <w:lang w:val="fr-FR" w:eastAsia="fr-FR"/>
        </w:rPr>
        <w:t>paragraphe</w:t>
      </w:r>
      <w:r w:rsidRPr="00B03AD8">
        <w:rPr>
          <w:rFonts w:cs="Arial"/>
          <w:lang w:val="fr-FR" w:eastAsia="fr-FR"/>
        </w:rPr>
        <w:t xml:space="preserve"> 3 est purement rédactionnelle et n'implique aucune modification technique ou logistique.</w:t>
      </w:r>
    </w:p>
    <w:p w:rsidR="00B83A66" w:rsidRPr="00B03AD8" w:rsidRDefault="00B03AD8" w:rsidP="00B83A66">
      <w:pPr>
        <w:pStyle w:val="SingleTxtG"/>
        <w:rPr>
          <w:rFonts w:cs="Arial"/>
          <w:lang w:val="fr-FR" w:eastAsia="fr-FR"/>
        </w:rPr>
      </w:pPr>
      <w:r>
        <w:rPr>
          <w:rFonts w:cs="Arial"/>
          <w:lang w:val="fr-FR" w:eastAsia="fr-FR"/>
        </w:rPr>
        <w:t>16.</w:t>
      </w:r>
      <w:r>
        <w:rPr>
          <w:rFonts w:cs="Arial"/>
          <w:lang w:val="fr-FR" w:eastAsia="fr-FR"/>
        </w:rPr>
        <w:tab/>
      </w:r>
      <w:r w:rsidR="00B83A66" w:rsidRPr="00B03AD8">
        <w:rPr>
          <w:rFonts w:cs="Arial"/>
          <w:lang w:val="fr-FR" w:eastAsia="fr-FR"/>
        </w:rPr>
        <w:t xml:space="preserve">La proposition figurant au </w:t>
      </w:r>
      <w:r>
        <w:rPr>
          <w:rFonts w:cs="Arial"/>
          <w:lang w:val="fr-FR" w:eastAsia="fr-FR"/>
        </w:rPr>
        <w:t>paragraphe</w:t>
      </w:r>
      <w:r w:rsidRPr="00B03AD8">
        <w:rPr>
          <w:rFonts w:cs="Arial"/>
          <w:lang w:val="fr-FR" w:eastAsia="fr-FR"/>
        </w:rPr>
        <w:t xml:space="preserve"> </w:t>
      </w:r>
      <w:r w:rsidR="00DB71B7">
        <w:rPr>
          <w:rFonts w:cs="Arial"/>
          <w:lang w:val="fr-FR" w:eastAsia="fr-FR"/>
        </w:rPr>
        <w:t>4</w:t>
      </w:r>
      <w:r w:rsidR="00B83A66" w:rsidRPr="00B03AD8">
        <w:rPr>
          <w:rFonts w:cs="Arial"/>
          <w:lang w:val="fr-FR" w:eastAsia="fr-FR"/>
        </w:rPr>
        <w:t xml:space="preserve"> tient compte du fait que les soupapes de dépression ne peuvent pas être remplacées dès l'entrée en vigueur de la nouvelle définition. La prescription transitoire est inspirée d'autres prescriptions transitoires comparables qui sont considérées comme étant appropriées.</w:t>
      </w:r>
    </w:p>
    <w:p w:rsidR="00B83A66" w:rsidRPr="00B83A66" w:rsidRDefault="00B03AD8" w:rsidP="00B83A66">
      <w:pPr>
        <w:pStyle w:val="SingleTxtG"/>
        <w:rPr>
          <w:lang w:val="fr-FR" w:eastAsia="fr-FR"/>
        </w:rPr>
      </w:pPr>
      <w:r>
        <w:rPr>
          <w:lang w:val="fr-FR" w:eastAsia="fr-FR"/>
        </w:rPr>
        <w:t>17.</w:t>
      </w:r>
      <w:r>
        <w:rPr>
          <w:lang w:val="fr-FR" w:eastAsia="fr-FR"/>
        </w:rPr>
        <w:tab/>
      </w:r>
      <w:r w:rsidR="00B83A66" w:rsidRPr="00B03AD8">
        <w:rPr>
          <w:lang w:val="fr-FR" w:eastAsia="fr-FR"/>
        </w:rPr>
        <w:t xml:space="preserve">La proposition figurant au </w:t>
      </w:r>
      <w:r>
        <w:rPr>
          <w:rFonts w:cs="Arial"/>
          <w:lang w:val="fr-FR" w:eastAsia="fr-FR"/>
        </w:rPr>
        <w:t>paragraphe</w:t>
      </w:r>
      <w:r w:rsidRPr="00B03AD8">
        <w:rPr>
          <w:rFonts w:cs="Arial"/>
          <w:lang w:val="fr-FR" w:eastAsia="fr-FR"/>
        </w:rPr>
        <w:t xml:space="preserve"> </w:t>
      </w:r>
      <w:r w:rsidR="00B83A66" w:rsidRPr="00B03AD8">
        <w:rPr>
          <w:lang w:val="fr-FR" w:eastAsia="fr-FR"/>
        </w:rPr>
        <w:t>6 concernant le 9.3.2.22.4, lettre b), est purement rédactionnelle et ne constitue pas une règle de construction supplémentaire.</w:t>
      </w:r>
      <w:r w:rsidR="00B83A66" w:rsidRPr="00B03AD8">
        <w:rPr>
          <w:rFonts w:eastAsia="Calibri"/>
          <w:lang w:val="fr-FR" w:eastAsia="fr-FR"/>
        </w:rPr>
        <w:t xml:space="preserve"> La proposition pour la lettre e) n'introduit pas de nouvelle règle de construction mais permet de garantir la préservation du niveau technique antérieur pour la sécur</w:t>
      </w:r>
      <w:r w:rsidR="00B83A66" w:rsidRPr="00B83A66">
        <w:rPr>
          <w:rFonts w:eastAsia="Calibri"/>
          <w:lang w:val="fr-FR" w:eastAsia="fr-FR"/>
        </w:rPr>
        <w:t>isation des citernes à cargaison.</w:t>
      </w:r>
    </w:p>
    <w:p w:rsidR="00AE1716" w:rsidRPr="00D866A8" w:rsidRDefault="00AE1716" w:rsidP="00AE1716">
      <w:pPr>
        <w:pStyle w:val="SingleTxtG"/>
        <w:spacing w:before="240" w:after="0"/>
        <w:jc w:val="center"/>
      </w:pPr>
      <w:r w:rsidRPr="00D71CA8">
        <w:rPr>
          <w:u w:val="single"/>
          <w:lang w:val="x-none" w:eastAsia="de-DE"/>
        </w:rPr>
        <w:tab/>
      </w:r>
      <w:r w:rsidRPr="00D71CA8">
        <w:rPr>
          <w:u w:val="single"/>
          <w:lang w:val="x-none" w:eastAsia="de-DE"/>
        </w:rPr>
        <w:tab/>
      </w:r>
      <w:r w:rsidRPr="00D71CA8">
        <w:rPr>
          <w:u w:val="single"/>
          <w:lang w:val="x-none" w:eastAsia="de-DE"/>
        </w:rPr>
        <w:tab/>
      </w:r>
    </w:p>
    <w:sectPr w:rsidR="00AE1716" w:rsidRPr="00D866A8" w:rsidSect="00770118">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3EF" w:rsidRDefault="00CE03EF"/>
  </w:endnote>
  <w:endnote w:type="continuationSeparator" w:id="0">
    <w:p w:rsidR="00CE03EF" w:rsidRDefault="00CE03EF"/>
  </w:endnote>
  <w:endnote w:type="continuationNotice" w:id="1">
    <w:p w:rsidR="00CE03EF" w:rsidRDefault="00CE0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DB" w:rsidRPr="0029776B" w:rsidRDefault="00AF52DB"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1F1563">
      <w:rPr>
        <w:b/>
        <w:noProof/>
        <w:sz w:val="18"/>
      </w:rPr>
      <w:t>4</w:t>
    </w:r>
    <w:r w:rsidRPr="00297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DB" w:rsidRPr="0029776B" w:rsidRDefault="00AF52DB"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1F1563">
      <w:rPr>
        <w:b/>
        <w:noProof/>
        <w:sz w:val="18"/>
      </w:rPr>
      <w:t>5</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3EF" w:rsidRPr="00D27D5E" w:rsidRDefault="00CE03EF" w:rsidP="00D27D5E">
      <w:pPr>
        <w:tabs>
          <w:tab w:val="right" w:pos="2155"/>
        </w:tabs>
        <w:spacing w:after="80"/>
        <w:ind w:left="680"/>
        <w:rPr>
          <w:u w:val="single"/>
        </w:rPr>
      </w:pPr>
      <w:r>
        <w:rPr>
          <w:u w:val="single"/>
        </w:rPr>
        <w:tab/>
      </w:r>
    </w:p>
  </w:footnote>
  <w:footnote w:type="continuationSeparator" w:id="0">
    <w:p w:rsidR="00CE03EF" w:rsidRPr="00A80554" w:rsidRDefault="00CE03EF" w:rsidP="00A80554">
      <w:pPr>
        <w:tabs>
          <w:tab w:val="left" w:pos="2155"/>
        </w:tabs>
        <w:spacing w:after="80"/>
        <w:ind w:left="680"/>
        <w:rPr>
          <w:u w:val="single"/>
        </w:rPr>
      </w:pPr>
      <w:r w:rsidRPr="00A80554">
        <w:rPr>
          <w:u w:val="single"/>
        </w:rPr>
        <w:tab/>
      </w:r>
    </w:p>
  </w:footnote>
  <w:footnote w:type="continuationNotice" w:id="1">
    <w:p w:rsidR="00CE03EF" w:rsidRDefault="00CE03EF"/>
  </w:footnote>
  <w:footnote w:id="2">
    <w:p w:rsidR="00DB533B" w:rsidRPr="00905A77" w:rsidRDefault="00905A77" w:rsidP="00905A77">
      <w:pPr>
        <w:pStyle w:val="FootnoteText"/>
      </w:pPr>
      <w:r>
        <w:tab/>
      </w:r>
      <w:r w:rsidR="00DB533B" w:rsidRPr="00905A77">
        <w:rPr>
          <w:rStyle w:val="FootnoteReference"/>
          <w:sz w:val="20"/>
          <w:szCs w:val="22"/>
          <w:vertAlign w:val="baseline"/>
        </w:rPr>
        <w:footnoteRef/>
      </w:r>
      <w:r w:rsidR="00DB533B" w:rsidRPr="00905A77">
        <w:rPr>
          <w:sz w:val="20"/>
          <w:szCs w:val="22"/>
        </w:rPr>
        <w:t xml:space="preserve"> </w:t>
      </w:r>
      <w:r>
        <w:tab/>
      </w:r>
      <w:r w:rsidR="00DB533B" w:rsidRPr="00EF5998">
        <w:rPr>
          <w:lang w:val="fr-FR"/>
        </w:rPr>
        <w:t>Diffusé en langue allemande par la Commission cent</w:t>
      </w:r>
      <w:proofErr w:type="spellStart"/>
      <w:r w:rsidR="00DB533B" w:rsidRPr="00905A77">
        <w:t>rale</w:t>
      </w:r>
      <w:proofErr w:type="spellEnd"/>
      <w:r w:rsidR="00DB533B" w:rsidRPr="00905A77">
        <w:t xml:space="preserve"> pour la navigation du Rhin sous la cote CCNR/ZKR/ADN/WP.15/AC.2/2018/</w:t>
      </w:r>
      <w:r w:rsidR="00A87087">
        <w:t>32</w:t>
      </w:r>
      <w:r w:rsidR="00DB533B" w:rsidRPr="00905A77">
        <w:t>.</w:t>
      </w:r>
    </w:p>
  </w:footnote>
  <w:footnote w:id="3">
    <w:p w:rsidR="00DB533B" w:rsidRDefault="00905A77" w:rsidP="00905A77">
      <w:pPr>
        <w:pStyle w:val="FootnoteText"/>
      </w:pPr>
      <w:r>
        <w:tab/>
      </w:r>
      <w:r w:rsidR="00DB533B" w:rsidRPr="00905A77">
        <w:rPr>
          <w:rStyle w:val="FootnoteReference"/>
          <w:sz w:val="20"/>
          <w:szCs w:val="22"/>
          <w:vertAlign w:val="baseline"/>
          <w:lang w:eastAsia="en-US"/>
        </w:rPr>
        <w:t>**</w:t>
      </w:r>
      <w:r w:rsidR="00DB533B" w:rsidRPr="00905A77">
        <w:rPr>
          <w:sz w:val="20"/>
          <w:szCs w:val="22"/>
        </w:rPr>
        <w:t xml:space="preserve"> </w:t>
      </w:r>
      <w:r>
        <w:tab/>
      </w:r>
      <w:r w:rsidR="00DB533B" w:rsidRPr="00905A77">
        <w:t>Conformément au programme de travail du Comité de</w:t>
      </w:r>
      <w:r w:rsidR="00DB533B" w:rsidRPr="00EF5998">
        <w:rPr>
          <w:lang w:val="fr-FR"/>
        </w:rPr>
        <w:t>s</w:t>
      </w:r>
      <w:r w:rsidR="00DB533B">
        <w:rPr>
          <w:lang w:val="fr-FR"/>
        </w:rPr>
        <w:t xml:space="preserve"> transports intérieurs pour 201</w:t>
      </w:r>
      <w:r w:rsidR="00770118">
        <w:rPr>
          <w:lang w:val="fr-FR"/>
        </w:rPr>
        <w:t>8</w:t>
      </w:r>
      <w:r w:rsidR="00DB533B">
        <w:rPr>
          <w:lang w:val="fr-FR"/>
        </w:rPr>
        <w:t>-201</w:t>
      </w:r>
      <w:r w:rsidR="00770118">
        <w:rPr>
          <w:lang w:val="fr-FR"/>
        </w:rPr>
        <w:t>9</w:t>
      </w:r>
      <w:r w:rsidR="00DB533B">
        <w:rPr>
          <w:lang w:val="fr-FR"/>
        </w:rPr>
        <w:t xml:space="preserve"> </w:t>
      </w:r>
      <w:r w:rsidR="00DB533B" w:rsidRPr="00EF5998">
        <w:rPr>
          <w:lang w:val="fr-FR"/>
        </w:rPr>
        <w:t>(</w:t>
      </w:r>
      <w:r w:rsidR="00770118" w:rsidRPr="00ED5F4B">
        <w:t xml:space="preserve">ECE/TRANS/2018/21/Add.1, </w:t>
      </w:r>
      <w:r w:rsidR="00521BA9">
        <w:t>(</w:t>
      </w:r>
      <w:r w:rsidR="00770118" w:rsidRPr="00ED5F4B">
        <w:t>9.3</w:t>
      </w:r>
      <w:r w:rsidR="00521BA9">
        <w:t>)</w:t>
      </w:r>
      <w:r w:rsidR="00DB533B" w:rsidRPr="00EF5998">
        <w:rPr>
          <w:lang w:val="fr-FR"/>
        </w:rPr>
        <w:t>)</w:t>
      </w:r>
      <w:r w:rsidR="00DB533B">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DB" w:rsidRPr="006D7AA7" w:rsidRDefault="004D5258" w:rsidP="00DD38E9">
    <w:pPr>
      <w:pStyle w:val="Header"/>
      <w:rPr>
        <w:lang w:val="en-GB"/>
      </w:rPr>
    </w:pPr>
    <w:r>
      <w:rPr>
        <w:lang w:val="en-GB"/>
      </w:rPr>
      <w:t>ECE/TRANS/WP.15/AC.2/2018/</w:t>
    </w:r>
    <w:r w:rsidR="00D0029B">
      <w:rPr>
        <w:lang w:val="en-GB"/>
      </w:rPr>
      <w:t>3</w:t>
    </w:r>
    <w:r w:rsidR="00B83A66">
      <w:rPr>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DB" w:rsidRPr="00D0029B" w:rsidRDefault="00AF52DB" w:rsidP="0029776B">
    <w:pPr>
      <w:pStyle w:val="Header"/>
      <w:jc w:val="right"/>
      <w:rPr>
        <w:lang w:val="en-GB"/>
      </w:rPr>
    </w:pPr>
    <w:r w:rsidRPr="00D0029B">
      <w:rPr>
        <w:lang w:val="en-GB"/>
      </w:rPr>
      <w:t>ECE/TRANS/WP.15/AC.2/2018/</w:t>
    </w:r>
    <w:r w:rsidR="00D0029B">
      <w:rPr>
        <w:lang w:val="en-GB"/>
      </w:rPr>
      <w:t>3</w:t>
    </w:r>
    <w:r w:rsidR="00A5613A">
      <w:rPr>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7F6F24"/>
    <w:multiLevelType w:val="hybridMultilevel"/>
    <w:tmpl w:val="EE469BEE"/>
    <w:lvl w:ilvl="0" w:tplc="B48A7E6E">
      <w:start w:val="7"/>
      <w:numFmt w:val="bullet"/>
      <w:lvlText w:val="•"/>
      <w:lvlJc w:val="left"/>
      <w:pPr>
        <w:ind w:left="1781" w:hanging="360"/>
      </w:pPr>
      <w:rPr>
        <w:rFonts w:ascii="Times New Roman" w:eastAsia="Times New Roman" w:hAnsi="Times New Roman"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hint="default"/>
      </w:rPr>
    </w:lvl>
    <w:lvl w:ilvl="1" w:tplc="08090003" w:tentative="1">
      <w:start w:val="1"/>
      <w:numFmt w:val="bullet"/>
      <w:lvlText w:val="o"/>
      <w:lvlJc w:val="left"/>
      <w:pPr>
        <w:ind w:left="2781" w:hanging="360"/>
      </w:pPr>
      <w:rPr>
        <w:rFonts w:ascii="Courier New" w:hAnsi="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1070BF4"/>
    <w:multiLevelType w:val="hybridMultilevel"/>
    <w:tmpl w:val="55E226D8"/>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F1B7FF4"/>
    <w:multiLevelType w:val="hybridMultilevel"/>
    <w:tmpl w:val="83F6D60A"/>
    <w:lvl w:ilvl="0" w:tplc="B7A266B4">
      <w:start w:val="1"/>
      <w:numFmt w:val="lowerLetter"/>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3313"/>
  </w:hdrShapeDefaults>
  <w:footnotePr>
    <w:numFmt w:val="chicago"/>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41A"/>
    <w:rsid w:val="0000195C"/>
    <w:rsid w:val="00003FFB"/>
    <w:rsid w:val="0000754C"/>
    <w:rsid w:val="000121D3"/>
    <w:rsid w:val="000131A5"/>
    <w:rsid w:val="00016AC5"/>
    <w:rsid w:val="00022BD7"/>
    <w:rsid w:val="00027DDF"/>
    <w:rsid w:val="00030ADE"/>
    <w:rsid w:val="000312C0"/>
    <w:rsid w:val="00033A63"/>
    <w:rsid w:val="0004058B"/>
    <w:rsid w:val="000472A1"/>
    <w:rsid w:val="000507A8"/>
    <w:rsid w:val="0006085A"/>
    <w:rsid w:val="0006415C"/>
    <w:rsid w:val="000643B7"/>
    <w:rsid w:val="00066716"/>
    <w:rsid w:val="00071432"/>
    <w:rsid w:val="00072E86"/>
    <w:rsid w:val="000758B9"/>
    <w:rsid w:val="000814B1"/>
    <w:rsid w:val="00081790"/>
    <w:rsid w:val="000828C8"/>
    <w:rsid w:val="00094EF2"/>
    <w:rsid w:val="000963EA"/>
    <w:rsid w:val="000964C7"/>
    <w:rsid w:val="000A3C06"/>
    <w:rsid w:val="000A49E0"/>
    <w:rsid w:val="000A7EC2"/>
    <w:rsid w:val="000B34CA"/>
    <w:rsid w:val="000C0699"/>
    <w:rsid w:val="000D7E12"/>
    <w:rsid w:val="000E4978"/>
    <w:rsid w:val="000E68FB"/>
    <w:rsid w:val="000F41F2"/>
    <w:rsid w:val="00104ADE"/>
    <w:rsid w:val="00114764"/>
    <w:rsid w:val="00114946"/>
    <w:rsid w:val="00114DAF"/>
    <w:rsid w:val="00115943"/>
    <w:rsid w:val="00127A72"/>
    <w:rsid w:val="0013180D"/>
    <w:rsid w:val="00135C0D"/>
    <w:rsid w:val="0013653F"/>
    <w:rsid w:val="00143574"/>
    <w:rsid w:val="001448DB"/>
    <w:rsid w:val="00147C56"/>
    <w:rsid w:val="00154636"/>
    <w:rsid w:val="001551B7"/>
    <w:rsid w:val="001568BB"/>
    <w:rsid w:val="00156A92"/>
    <w:rsid w:val="00160540"/>
    <w:rsid w:val="00162132"/>
    <w:rsid w:val="00162E33"/>
    <w:rsid w:val="0016419C"/>
    <w:rsid w:val="00164FB7"/>
    <w:rsid w:val="001703B7"/>
    <w:rsid w:val="0017182C"/>
    <w:rsid w:val="00171EA3"/>
    <w:rsid w:val="00177007"/>
    <w:rsid w:val="001850B8"/>
    <w:rsid w:val="00186EE9"/>
    <w:rsid w:val="00190399"/>
    <w:rsid w:val="00192BA5"/>
    <w:rsid w:val="00192EEB"/>
    <w:rsid w:val="00197152"/>
    <w:rsid w:val="001A20FB"/>
    <w:rsid w:val="001A37C7"/>
    <w:rsid w:val="001A73B7"/>
    <w:rsid w:val="001B6AF6"/>
    <w:rsid w:val="001B6F40"/>
    <w:rsid w:val="001C08A0"/>
    <w:rsid w:val="001C4BBB"/>
    <w:rsid w:val="001C64DD"/>
    <w:rsid w:val="001D7DF9"/>
    <w:rsid w:val="001D7F8A"/>
    <w:rsid w:val="001E3FEB"/>
    <w:rsid w:val="001E4A02"/>
    <w:rsid w:val="001F1563"/>
    <w:rsid w:val="001F3CC1"/>
    <w:rsid w:val="001F412D"/>
    <w:rsid w:val="001F5816"/>
    <w:rsid w:val="002023CD"/>
    <w:rsid w:val="00203B6A"/>
    <w:rsid w:val="002041A8"/>
    <w:rsid w:val="0020607F"/>
    <w:rsid w:val="002069D5"/>
    <w:rsid w:val="00216861"/>
    <w:rsid w:val="0022098E"/>
    <w:rsid w:val="00223B89"/>
    <w:rsid w:val="00225A8C"/>
    <w:rsid w:val="00232C61"/>
    <w:rsid w:val="00234E40"/>
    <w:rsid w:val="002403AA"/>
    <w:rsid w:val="00241AAF"/>
    <w:rsid w:val="00260A9C"/>
    <w:rsid w:val="00261C6B"/>
    <w:rsid w:val="002659F1"/>
    <w:rsid w:val="00265FE8"/>
    <w:rsid w:val="0027037E"/>
    <w:rsid w:val="00271C7C"/>
    <w:rsid w:val="0028112F"/>
    <w:rsid w:val="00287E79"/>
    <w:rsid w:val="0029101B"/>
    <w:rsid w:val="002928F9"/>
    <w:rsid w:val="0029776B"/>
    <w:rsid w:val="002A1905"/>
    <w:rsid w:val="002A29C3"/>
    <w:rsid w:val="002A5D07"/>
    <w:rsid w:val="002A5F7F"/>
    <w:rsid w:val="002B2881"/>
    <w:rsid w:val="002B56D7"/>
    <w:rsid w:val="002C555D"/>
    <w:rsid w:val="002D0474"/>
    <w:rsid w:val="002D7928"/>
    <w:rsid w:val="002F2735"/>
    <w:rsid w:val="003016B7"/>
    <w:rsid w:val="00304272"/>
    <w:rsid w:val="00306511"/>
    <w:rsid w:val="00321245"/>
    <w:rsid w:val="0032270A"/>
    <w:rsid w:val="00327E03"/>
    <w:rsid w:val="00330F9C"/>
    <w:rsid w:val="003338E5"/>
    <w:rsid w:val="00335202"/>
    <w:rsid w:val="003371E0"/>
    <w:rsid w:val="00340C35"/>
    <w:rsid w:val="00343859"/>
    <w:rsid w:val="003447BF"/>
    <w:rsid w:val="003470CB"/>
    <w:rsid w:val="003515AA"/>
    <w:rsid w:val="00351AD9"/>
    <w:rsid w:val="003540B3"/>
    <w:rsid w:val="00367E6A"/>
    <w:rsid w:val="00370E0F"/>
    <w:rsid w:val="00372345"/>
    <w:rsid w:val="00373FA8"/>
    <w:rsid w:val="00374106"/>
    <w:rsid w:val="00374296"/>
    <w:rsid w:val="00384F4A"/>
    <w:rsid w:val="00391403"/>
    <w:rsid w:val="00397250"/>
    <w:rsid w:val="003974E1"/>
    <w:rsid w:val="003976D5"/>
    <w:rsid w:val="003A1FEF"/>
    <w:rsid w:val="003A462C"/>
    <w:rsid w:val="003A656C"/>
    <w:rsid w:val="003B5981"/>
    <w:rsid w:val="003B6B20"/>
    <w:rsid w:val="003C322F"/>
    <w:rsid w:val="003C5A95"/>
    <w:rsid w:val="003C5C5B"/>
    <w:rsid w:val="003D1DF3"/>
    <w:rsid w:val="003D46A7"/>
    <w:rsid w:val="003D6C68"/>
    <w:rsid w:val="003D76E4"/>
    <w:rsid w:val="003F118A"/>
    <w:rsid w:val="003F6E0A"/>
    <w:rsid w:val="004005D0"/>
    <w:rsid w:val="00406E74"/>
    <w:rsid w:val="00413736"/>
    <w:rsid w:val="00414425"/>
    <w:rsid w:val="004159D0"/>
    <w:rsid w:val="00421AC2"/>
    <w:rsid w:val="00423D55"/>
    <w:rsid w:val="004249E7"/>
    <w:rsid w:val="00426DA1"/>
    <w:rsid w:val="00430C92"/>
    <w:rsid w:val="0043277B"/>
    <w:rsid w:val="00434168"/>
    <w:rsid w:val="0044289E"/>
    <w:rsid w:val="00454017"/>
    <w:rsid w:val="00461870"/>
    <w:rsid w:val="00471DA9"/>
    <w:rsid w:val="00473690"/>
    <w:rsid w:val="00475DD2"/>
    <w:rsid w:val="00486E96"/>
    <w:rsid w:val="00491EC7"/>
    <w:rsid w:val="0049374F"/>
    <w:rsid w:val="00497A70"/>
    <w:rsid w:val="00497E7A"/>
    <w:rsid w:val="004A324B"/>
    <w:rsid w:val="004A331B"/>
    <w:rsid w:val="004A3778"/>
    <w:rsid w:val="004A5C90"/>
    <w:rsid w:val="004B154F"/>
    <w:rsid w:val="004C3B4F"/>
    <w:rsid w:val="004D0EB7"/>
    <w:rsid w:val="004D5258"/>
    <w:rsid w:val="004D53B7"/>
    <w:rsid w:val="004E1AC3"/>
    <w:rsid w:val="004E551E"/>
    <w:rsid w:val="00502D1A"/>
    <w:rsid w:val="00504EB2"/>
    <w:rsid w:val="00514EB1"/>
    <w:rsid w:val="0052158A"/>
    <w:rsid w:val="00521BA9"/>
    <w:rsid w:val="0052416A"/>
    <w:rsid w:val="00524D9B"/>
    <w:rsid w:val="00530057"/>
    <w:rsid w:val="00531F0F"/>
    <w:rsid w:val="005367EB"/>
    <w:rsid w:val="00543D5E"/>
    <w:rsid w:val="005446F3"/>
    <w:rsid w:val="00545F2F"/>
    <w:rsid w:val="005611FF"/>
    <w:rsid w:val="005622F9"/>
    <w:rsid w:val="00563346"/>
    <w:rsid w:val="00565A49"/>
    <w:rsid w:val="005669DD"/>
    <w:rsid w:val="00571F41"/>
    <w:rsid w:val="00572556"/>
    <w:rsid w:val="00575335"/>
    <w:rsid w:val="00576C84"/>
    <w:rsid w:val="00585A6B"/>
    <w:rsid w:val="00593132"/>
    <w:rsid w:val="0059410B"/>
    <w:rsid w:val="00595BE4"/>
    <w:rsid w:val="00595C56"/>
    <w:rsid w:val="005A041A"/>
    <w:rsid w:val="005A515D"/>
    <w:rsid w:val="005B738F"/>
    <w:rsid w:val="005B76A3"/>
    <w:rsid w:val="005C6014"/>
    <w:rsid w:val="005E5D1F"/>
    <w:rsid w:val="005E5E79"/>
    <w:rsid w:val="005E67B6"/>
    <w:rsid w:val="005F25D1"/>
    <w:rsid w:val="005F302D"/>
    <w:rsid w:val="005F59DB"/>
    <w:rsid w:val="00603391"/>
    <w:rsid w:val="006049FD"/>
    <w:rsid w:val="00605683"/>
    <w:rsid w:val="00611D43"/>
    <w:rsid w:val="00612D48"/>
    <w:rsid w:val="00616B45"/>
    <w:rsid w:val="0061708F"/>
    <w:rsid w:val="006210B6"/>
    <w:rsid w:val="0062309D"/>
    <w:rsid w:val="00625F01"/>
    <w:rsid w:val="00630D9B"/>
    <w:rsid w:val="00631953"/>
    <w:rsid w:val="0063675E"/>
    <w:rsid w:val="006439EC"/>
    <w:rsid w:val="00654B07"/>
    <w:rsid w:val="00665D5C"/>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7BA8"/>
    <w:rsid w:val="006D21A0"/>
    <w:rsid w:val="006D36A8"/>
    <w:rsid w:val="006D638D"/>
    <w:rsid w:val="006D7511"/>
    <w:rsid w:val="006D7AA7"/>
    <w:rsid w:val="006E0743"/>
    <w:rsid w:val="006E19BA"/>
    <w:rsid w:val="006E3B48"/>
    <w:rsid w:val="006E5FC7"/>
    <w:rsid w:val="006E7722"/>
    <w:rsid w:val="006F151C"/>
    <w:rsid w:val="00700CF9"/>
    <w:rsid w:val="0070347C"/>
    <w:rsid w:val="007176C1"/>
    <w:rsid w:val="0073250D"/>
    <w:rsid w:val="00737BCE"/>
    <w:rsid w:val="0074123A"/>
    <w:rsid w:val="00742FD7"/>
    <w:rsid w:val="007450F8"/>
    <w:rsid w:val="00745866"/>
    <w:rsid w:val="00745CA1"/>
    <w:rsid w:val="007514EF"/>
    <w:rsid w:val="007527B6"/>
    <w:rsid w:val="00753BDA"/>
    <w:rsid w:val="00766A94"/>
    <w:rsid w:val="007673E8"/>
    <w:rsid w:val="00770118"/>
    <w:rsid w:val="00780335"/>
    <w:rsid w:val="00780EAE"/>
    <w:rsid w:val="007811F7"/>
    <w:rsid w:val="007817A1"/>
    <w:rsid w:val="007820F2"/>
    <w:rsid w:val="00783F37"/>
    <w:rsid w:val="00786EF4"/>
    <w:rsid w:val="007904AF"/>
    <w:rsid w:val="00790F2F"/>
    <w:rsid w:val="00795138"/>
    <w:rsid w:val="007A6076"/>
    <w:rsid w:val="007C1A44"/>
    <w:rsid w:val="007D78D5"/>
    <w:rsid w:val="007E2F66"/>
    <w:rsid w:val="007F0F13"/>
    <w:rsid w:val="007F55CB"/>
    <w:rsid w:val="00812C1A"/>
    <w:rsid w:val="00816FA8"/>
    <w:rsid w:val="0081704B"/>
    <w:rsid w:val="00831329"/>
    <w:rsid w:val="008317F6"/>
    <w:rsid w:val="00835193"/>
    <w:rsid w:val="008353E4"/>
    <w:rsid w:val="00835BFB"/>
    <w:rsid w:val="00836924"/>
    <w:rsid w:val="00844750"/>
    <w:rsid w:val="00851438"/>
    <w:rsid w:val="00860C9D"/>
    <w:rsid w:val="00871051"/>
    <w:rsid w:val="00883D70"/>
    <w:rsid w:val="00884E9C"/>
    <w:rsid w:val="00893D70"/>
    <w:rsid w:val="008B44C4"/>
    <w:rsid w:val="008B7879"/>
    <w:rsid w:val="008C1BBA"/>
    <w:rsid w:val="008C2211"/>
    <w:rsid w:val="008C7684"/>
    <w:rsid w:val="008D0723"/>
    <w:rsid w:val="008D0C3F"/>
    <w:rsid w:val="008D1AC7"/>
    <w:rsid w:val="008D3919"/>
    <w:rsid w:val="008E0B16"/>
    <w:rsid w:val="008E3F2C"/>
    <w:rsid w:val="008E5107"/>
    <w:rsid w:val="008E7FAE"/>
    <w:rsid w:val="008F1725"/>
    <w:rsid w:val="008F60FF"/>
    <w:rsid w:val="00905A77"/>
    <w:rsid w:val="009066AE"/>
    <w:rsid w:val="00911BF7"/>
    <w:rsid w:val="00922301"/>
    <w:rsid w:val="00922FBA"/>
    <w:rsid w:val="00926E87"/>
    <w:rsid w:val="00932D7A"/>
    <w:rsid w:val="009416C9"/>
    <w:rsid w:val="00952247"/>
    <w:rsid w:val="00952FDB"/>
    <w:rsid w:val="00953DE0"/>
    <w:rsid w:val="009566B0"/>
    <w:rsid w:val="00970F62"/>
    <w:rsid w:val="00977EC8"/>
    <w:rsid w:val="009817BD"/>
    <w:rsid w:val="009837CB"/>
    <w:rsid w:val="009A21FA"/>
    <w:rsid w:val="009A6F85"/>
    <w:rsid w:val="009B060F"/>
    <w:rsid w:val="009B18A3"/>
    <w:rsid w:val="009B25CE"/>
    <w:rsid w:val="009B5EA0"/>
    <w:rsid w:val="009B6524"/>
    <w:rsid w:val="009C1239"/>
    <w:rsid w:val="009C246D"/>
    <w:rsid w:val="009C2848"/>
    <w:rsid w:val="009C38EA"/>
    <w:rsid w:val="009D3A8C"/>
    <w:rsid w:val="009E01B8"/>
    <w:rsid w:val="009E698E"/>
    <w:rsid w:val="009E7956"/>
    <w:rsid w:val="00A11C63"/>
    <w:rsid w:val="00A134EB"/>
    <w:rsid w:val="00A1547F"/>
    <w:rsid w:val="00A17EEC"/>
    <w:rsid w:val="00A2492E"/>
    <w:rsid w:val="00A31F07"/>
    <w:rsid w:val="00A41235"/>
    <w:rsid w:val="00A43E19"/>
    <w:rsid w:val="00A44CBA"/>
    <w:rsid w:val="00A45EBB"/>
    <w:rsid w:val="00A5613A"/>
    <w:rsid w:val="00A6502C"/>
    <w:rsid w:val="00A70163"/>
    <w:rsid w:val="00A71439"/>
    <w:rsid w:val="00A73DB7"/>
    <w:rsid w:val="00A778A5"/>
    <w:rsid w:val="00A80554"/>
    <w:rsid w:val="00A86837"/>
    <w:rsid w:val="00A87087"/>
    <w:rsid w:val="00A92C6B"/>
    <w:rsid w:val="00A963DD"/>
    <w:rsid w:val="00AA0176"/>
    <w:rsid w:val="00AA3C96"/>
    <w:rsid w:val="00AA5B1E"/>
    <w:rsid w:val="00AA72C3"/>
    <w:rsid w:val="00AA77E5"/>
    <w:rsid w:val="00AB6447"/>
    <w:rsid w:val="00AC67A1"/>
    <w:rsid w:val="00AC7977"/>
    <w:rsid w:val="00AD1E14"/>
    <w:rsid w:val="00AD3F23"/>
    <w:rsid w:val="00AD545E"/>
    <w:rsid w:val="00AE1716"/>
    <w:rsid w:val="00AE352C"/>
    <w:rsid w:val="00AE4F08"/>
    <w:rsid w:val="00AE5E87"/>
    <w:rsid w:val="00AE69A8"/>
    <w:rsid w:val="00AE7BCA"/>
    <w:rsid w:val="00AF1446"/>
    <w:rsid w:val="00AF2F6F"/>
    <w:rsid w:val="00AF52DB"/>
    <w:rsid w:val="00B03AD8"/>
    <w:rsid w:val="00B07DE2"/>
    <w:rsid w:val="00B255B8"/>
    <w:rsid w:val="00B278CF"/>
    <w:rsid w:val="00B30CFB"/>
    <w:rsid w:val="00B3131C"/>
    <w:rsid w:val="00B318CC"/>
    <w:rsid w:val="00B32A61"/>
    <w:rsid w:val="00B32E2D"/>
    <w:rsid w:val="00B357CC"/>
    <w:rsid w:val="00B35B4C"/>
    <w:rsid w:val="00B3753A"/>
    <w:rsid w:val="00B37895"/>
    <w:rsid w:val="00B438C5"/>
    <w:rsid w:val="00B4466B"/>
    <w:rsid w:val="00B52107"/>
    <w:rsid w:val="00B61990"/>
    <w:rsid w:val="00B62922"/>
    <w:rsid w:val="00B6602A"/>
    <w:rsid w:val="00B66CB6"/>
    <w:rsid w:val="00B7107E"/>
    <w:rsid w:val="00B77126"/>
    <w:rsid w:val="00B83A66"/>
    <w:rsid w:val="00B85D99"/>
    <w:rsid w:val="00B924CA"/>
    <w:rsid w:val="00B936CC"/>
    <w:rsid w:val="00B93E72"/>
    <w:rsid w:val="00B94939"/>
    <w:rsid w:val="00BA0ABA"/>
    <w:rsid w:val="00BC5D40"/>
    <w:rsid w:val="00BD0B53"/>
    <w:rsid w:val="00BD50B3"/>
    <w:rsid w:val="00BD5B50"/>
    <w:rsid w:val="00BE3741"/>
    <w:rsid w:val="00BF0556"/>
    <w:rsid w:val="00BF06B0"/>
    <w:rsid w:val="00BF47BD"/>
    <w:rsid w:val="00BF505B"/>
    <w:rsid w:val="00C00C2A"/>
    <w:rsid w:val="00C1607E"/>
    <w:rsid w:val="00C218FD"/>
    <w:rsid w:val="00C2232D"/>
    <w:rsid w:val="00C24B53"/>
    <w:rsid w:val="00C261F8"/>
    <w:rsid w:val="00C33100"/>
    <w:rsid w:val="00C34C11"/>
    <w:rsid w:val="00C358CC"/>
    <w:rsid w:val="00C4302B"/>
    <w:rsid w:val="00C45121"/>
    <w:rsid w:val="00C51BB4"/>
    <w:rsid w:val="00C63AC1"/>
    <w:rsid w:val="00C732D1"/>
    <w:rsid w:val="00C836BC"/>
    <w:rsid w:val="00C940E9"/>
    <w:rsid w:val="00CA047F"/>
    <w:rsid w:val="00CA3500"/>
    <w:rsid w:val="00CA5CBD"/>
    <w:rsid w:val="00CB2BEA"/>
    <w:rsid w:val="00CB6267"/>
    <w:rsid w:val="00CD1A71"/>
    <w:rsid w:val="00CD1FBB"/>
    <w:rsid w:val="00CD4C90"/>
    <w:rsid w:val="00CE03EF"/>
    <w:rsid w:val="00CF4311"/>
    <w:rsid w:val="00CF6435"/>
    <w:rsid w:val="00D0029B"/>
    <w:rsid w:val="00D016B5"/>
    <w:rsid w:val="00D034F1"/>
    <w:rsid w:val="00D10BD3"/>
    <w:rsid w:val="00D11B17"/>
    <w:rsid w:val="00D218FC"/>
    <w:rsid w:val="00D22284"/>
    <w:rsid w:val="00D27297"/>
    <w:rsid w:val="00D27D5E"/>
    <w:rsid w:val="00D31640"/>
    <w:rsid w:val="00D319BE"/>
    <w:rsid w:val="00D34270"/>
    <w:rsid w:val="00D40906"/>
    <w:rsid w:val="00D41B47"/>
    <w:rsid w:val="00D428F9"/>
    <w:rsid w:val="00D440EE"/>
    <w:rsid w:val="00D47F24"/>
    <w:rsid w:val="00D52A86"/>
    <w:rsid w:val="00D60301"/>
    <w:rsid w:val="00D64213"/>
    <w:rsid w:val="00D6487C"/>
    <w:rsid w:val="00D70305"/>
    <w:rsid w:val="00D72874"/>
    <w:rsid w:val="00D75A23"/>
    <w:rsid w:val="00D84247"/>
    <w:rsid w:val="00D8534F"/>
    <w:rsid w:val="00D86AD1"/>
    <w:rsid w:val="00D94430"/>
    <w:rsid w:val="00D96366"/>
    <w:rsid w:val="00DA1820"/>
    <w:rsid w:val="00DA57D4"/>
    <w:rsid w:val="00DA6BC7"/>
    <w:rsid w:val="00DB4793"/>
    <w:rsid w:val="00DB533B"/>
    <w:rsid w:val="00DB5C62"/>
    <w:rsid w:val="00DB71B7"/>
    <w:rsid w:val="00DC158C"/>
    <w:rsid w:val="00DC45A6"/>
    <w:rsid w:val="00DC51E3"/>
    <w:rsid w:val="00DD051B"/>
    <w:rsid w:val="00DD38E9"/>
    <w:rsid w:val="00DD5D73"/>
    <w:rsid w:val="00DE01E3"/>
    <w:rsid w:val="00DE0AF7"/>
    <w:rsid w:val="00DE24A4"/>
    <w:rsid w:val="00DE6D90"/>
    <w:rsid w:val="00DF002F"/>
    <w:rsid w:val="00DF1BEA"/>
    <w:rsid w:val="00DF1F03"/>
    <w:rsid w:val="00DF3492"/>
    <w:rsid w:val="00DF4DCE"/>
    <w:rsid w:val="00DF6551"/>
    <w:rsid w:val="00E0244D"/>
    <w:rsid w:val="00E02CE0"/>
    <w:rsid w:val="00E11BBC"/>
    <w:rsid w:val="00E1236D"/>
    <w:rsid w:val="00E15EC6"/>
    <w:rsid w:val="00E22F40"/>
    <w:rsid w:val="00E30A6C"/>
    <w:rsid w:val="00E418A5"/>
    <w:rsid w:val="00E53D77"/>
    <w:rsid w:val="00E5407C"/>
    <w:rsid w:val="00E55D71"/>
    <w:rsid w:val="00E60E30"/>
    <w:rsid w:val="00E6288C"/>
    <w:rsid w:val="00E653A2"/>
    <w:rsid w:val="00E65B70"/>
    <w:rsid w:val="00E6627D"/>
    <w:rsid w:val="00E73AEE"/>
    <w:rsid w:val="00E74F8B"/>
    <w:rsid w:val="00E81E94"/>
    <w:rsid w:val="00E82607"/>
    <w:rsid w:val="00E87C4C"/>
    <w:rsid w:val="00E90A2D"/>
    <w:rsid w:val="00E93CE6"/>
    <w:rsid w:val="00E95AF8"/>
    <w:rsid w:val="00E97EE2"/>
    <w:rsid w:val="00EA0C87"/>
    <w:rsid w:val="00EA2677"/>
    <w:rsid w:val="00EA31C2"/>
    <w:rsid w:val="00EA4D5A"/>
    <w:rsid w:val="00EA5169"/>
    <w:rsid w:val="00EA7AF9"/>
    <w:rsid w:val="00EB16FF"/>
    <w:rsid w:val="00EB4C54"/>
    <w:rsid w:val="00EC0734"/>
    <w:rsid w:val="00EC3132"/>
    <w:rsid w:val="00EC3FA6"/>
    <w:rsid w:val="00EC60C5"/>
    <w:rsid w:val="00ED265E"/>
    <w:rsid w:val="00ED7BEB"/>
    <w:rsid w:val="00EE2EA3"/>
    <w:rsid w:val="00EE43A7"/>
    <w:rsid w:val="00EF041A"/>
    <w:rsid w:val="00F01516"/>
    <w:rsid w:val="00F0189E"/>
    <w:rsid w:val="00F071AD"/>
    <w:rsid w:val="00F12577"/>
    <w:rsid w:val="00F14D09"/>
    <w:rsid w:val="00F2271B"/>
    <w:rsid w:val="00F227C9"/>
    <w:rsid w:val="00F27F4C"/>
    <w:rsid w:val="00F337B3"/>
    <w:rsid w:val="00F35A1F"/>
    <w:rsid w:val="00F37523"/>
    <w:rsid w:val="00F524AA"/>
    <w:rsid w:val="00F560CD"/>
    <w:rsid w:val="00F57129"/>
    <w:rsid w:val="00F90CFE"/>
    <w:rsid w:val="00F96586"/>
    <w:rsid w:val="00FA40A9"/>
    <w:rsid w:val="00FA43E0"/>
    <w:rsid w:val="00FA5A79"/>
    <w:rsid w:val="00FA6422"/>
    <w:rsid w:val="00FB00CB"/>
    <w:rsid w:val="00FB0BFE"/>
    <w:rsid w:val="00FB2419"/>
    <w:rsid w:val="00FB4C51"/>
    <w:rsid w:val="00FB6AC1"/>
    <w:rsid w:val="00FB72A4"/>
    <w:rsid w:val="00FC0CDC"/>
    <w:rsid w:val="00FD64E0"/>
    <w:rsid w:val="00FE1D5F"/>
    <w:rsid w:val="00FE2AF4"/>
    <w:rsid w:val="00FE307F"/>
    <w:rsid w:val="00FE642F"/>
    <w:rsid w:val="00FE69B3"/>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000DAD2"/>
  <w15:docId w15:val="{37FD9A99-007E-4A4F-98F5-B37C9299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lock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eastAsia="x-none"/>
    </w:rPr>
  </w:style>
  <w:style w:type="character" w:styleId="EndnoteReference">
    <w:name w:val="endnote reference"/>
    <w:aliases w:val="1_G"/>
    <w:rsid w:val="000964C7"/>
    <w:rPr>
      <w:rFonts w:ascii="Times New Roman" w:hAnsi="Times New Roman"/>
      <w:sz w:val="18"/>
      <w:vertAlign w:val="superscript"/>
      <w:lang w:val="fr-CH" w:eastAsia="x-none"/>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eastAsia="x-none"/>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locked/>
    <w:rsid w:val="006B09E0"/>
    <w:rPr>
      <w:b/>
      <w:sz w:val="24"/>
      <w:lang w:val="fr-CH" w:eastAsia="en-US"/>
    </w:rPr>
  </w:style>
  <w:style w:type="character" w:customStyle="1" w:styleId="H23GChar">
    <w:name w:val="_ H_2/3_G Char"/>
    <w:link w:val="H23G"/>
    <w:locked/>
    <w:rsid w:val="006B09E0"/>
    <w:rPr>
      <w:b/>
      <w:lang w:val="fr-CH" w:eastAsia="en-US"/>
    </w:rPr>
  </w:style>
  <w:style w:type="character" w:customStyle="1" w:styleId="SingleTxtGChar">
    <w:name w:val="_ Single Txt_G Char"/>
    <w:link w:val="SingleTxtG"/>
    <w:locked/>
    <w:rsid w:val="006B09E0"/>
    <w:rPr>
      <w:lang w:val="fr-CH" w:eastAsia="en-US"/>
    </w:rPr>
  </w:style>
  <w:style w:type="character" w:customStyle="1" w:styleId="FootnoteTextChar">
    <w:name w:val="Footnote Text Char"/>
    <w:aliases w:val="5_G Char"/>
    <w:link w:val="FootnoteText"/>
    <w:locked/>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rPr>
  </w:style>
  <w:style w:type="paragraph" w:styleId="CommentText">
    <w:name w:val="annotation text"/>
    <w:basedOn w:val="Normal"/>
    <w:link w:val="CommentTextChar"/>
    <w:rsid w:val="000963EA"/>
  </w:style>
  <w:style w:type="character" w:customStyle="1" w:styleId="CommentTextChar">
    <w:name w:val="Comment Text Char"/>
    <w:link w:val="CommentText"/>
    <w:locked/>
    <w:rsid w:val="000963EA"/>
    <w:rPr>
      <w:lang w:val="fr-CH" w:eastAsia="en-US"/>
    </w:rPr>
  </w:style>
  <w:style w:type="paragraph" w:styleId="BalloonText">
    <w:name w:val="Balloon Text"/>
    <w:basedOn w:val="Normal"/>
    <w:link w:val="BalloonTextChar"/>
    <w:rsid w:val="001A37C7"/>
    <w:pPr>
      <w:spacing w:line="240" w:lineRule="auto"/>
    </w:pPr>
    <w:rPr>
      <w:rFonts w:ascii="Tahoma" w:hAnsi="Tahoma"/>
      <w:sz w:val="16"/>
      <w:szCs w:val="16"/>
    </w:rPr>
  </w:style>
  <w:style w:type="character" w:customStyle="1" w:styleId="BalloonTextChar">
    <w:name w:val="Balloon Text Char"/>
    <w:link w:val="BalloonText"/>
    <w:locked/>
    <w:rsid w:val="001A37C7"/>
    <w:rPr>
      <w:rFonts w:ascii="Tahoma" w:hAnsi="Tahoma"/>
      <w:sz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rPr>
  </w:style>
  <w:style w:type="character" w:customStyle="1" w:styleId="Heading1Char">
    <w:name w:val="Heading 1 Char"/>
    <w:aliases w:val="Table_G Char"/>
    <w:link w:val="Heading1"/>
    <w:locked/>
    <w:rsid w:val="00742FD7"/>
    <w:rPr>
      <w:lang w:val="fr-CH" w:eastAsia="en-US"/>
    </w:rPr>
  </w:style>
  <w:style w:type="character" w:customStyle="1" w:styleId="SingleTxtGCar">
    <w:name w:val="_ Single Txt_G Car"/>
    <w:rsid w:val="00742FD7"/>
    <w:rPr>
      <w:lang w:val="fr-CH" w:eastAsia="en-US"/>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locked/>
    <w:rsid w:val="00742FD7"/>
    <w:rPr>
      <w:b/>
      <w:lang w:val="fr-CH" w:eastAsia="en-US"/>
    </w:rPr>
  </w:style>
  <w:style w:type="paragraph" w:styleId="Revision">
    <w:name w:val="Revision"/>
    <w:hidden/>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locked/>
    <w:rsid w:val="0052158A"/>
    <w:rPr>
      <w:lang w:val="fr-CH" w:eastAsia="en-US"/>
    </w:rPr>
  </w:style>
  <w:style w:type="paragraph" w:customStyle="1" w:styleId="SingleTxt">
    <w:name w:val="__Single Txt"/>
    <w:basedOn w:val="Normal"/>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szCs w:val="22"/>
      <w:lang w:val="fr-CA"/>
    </w:rPr>
  </w:style>
  <w:style w:type="paragraph" w:styleId="ListParagraph">
    <w:name w:val="List Paragraph"/>
    <w:basedOn w:val="Normal"/>
    <w:uiPriority w:val="34"/>
    <w:qFormat/>
    <w:rsid w:val="00A87087"/>
    <w:pPr>
      <w:ind w:left="720"/>
    </w:pPr>
  </w:style>
  <w:style w:type="table" w:customStyle="1" w:styleId="Grilledutableau6">
    <w:name w:val="Grille du tableau6"/>
    <w:basedOn w:val="TableNormal"/>
    <w:uiPriority w:val="59"/>
    <w:rsid w:val="00B83A66"/>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BE2A3-FFBE-4314-89C3-CD631E19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29</TotalTime>
  <Pages>5</Pages>
  <Words>1941</Words>
  <Characters>11069</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ECE-TRANS-WP.15-AC.2-2018-XXf.doc</vt:lpstr>
      <vt:lpstr>ECE-TRANS-WP.15-AC.2-2018-XXf.doc</vt:lpstr>
    </vt:vector>
  </TitlesOfParts>
  <Company>CSD</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ECE-TRANS-WP.15-AC.2-2018-XXf.doc</dc:title>
  <dc:creator>UNECE</dc:creator>
  <cp:lastModifiedBy>ECE/ADN/45</cp:lastModifiedBy>
  <cp:revision>10</cp:revision>
  <cp:lastPrinted>2018-06-04T12:15:00Z</cp:lastPrinted>
  <dcterms:created xsi:type="dcterms:W3CDTF">2018-05-22T13:43:00Z</dcterms:created>
  <dcterms:modified xsi:type="dcterms:W3CDTF">2018-06-04T12:36:00Z</dcterms:modified>
</cp:coreProperties>
</file>