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55E1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55E1F" w:rsidP="00D55E1F">
            <w:pPr>
              <w:jc w:val="right"/>
            </w:pPr>
            <w:r w:rsidRPr="00D55E1F">
              <w:rPr>
                <w:sz w:val="40"/>
              </w:rPr>
              <w:t>ECE</w:t>
            </w:r>
            <w:r>
              <w:t>/TRANS/WP.15/AC.1/2018/3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55E1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D55E1F" w:rsidRDefault="00D55E1F" w:rsidP="00D55E1F">
            <w:pPr>
              <w:spacing w:line="240" w:lineRule="exact"/>
            </w:pPr>
            <w:r>
              <w:t>21 décembre 2017</w:t>
            </w:r>
          </w:p>
          <w:p w:rsidR="00D55E1F" w:rsidRDefault="00D55E1F" w:rsidP="00D55E1F">
            <w:pPr>
              <w:spacing w:line="240" w:lineRule="exact"/>
            </w:pPr>
            <w:r>
              <w:t>Français</w:t>
            </w:r>
          </w:p>
          <w:p w:rsidR="00D55E1F" w:rsidRPr="00DB58B5" w:rsidRDefault="00D55E1F" w:rsidP="00D55E1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01CC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45C29" w:rsidRPr="009E01B8" w:rsidRDefault="00845C29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845C29" w:rsidRPr="00926E87" w:rsidRDefault="00845C29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101CC2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845C29" w:rsidRDefault="00845C29" w:rsidP="00AF0CB5">
      <w:pPr>
        <w:spacing w:before="120"/>
      </w:pPr>
      <w:r>
        <w:t xml:space="preserve">Berne, </w:t>
      </w:r>
      <w:r w:rsidRPr="003442EC">
        <w:rPr>
          <w:lang w:val="fr-FR"/>
        </w:rPr>
        <w:t>12-16 mars 2018</w:t>
      </w:r>
    </w:p>
    <w:p w:rsidR="00845C29" w:rsidRDefault="00845C29" w:rsidP="00AF0CB5">
      <w:r w:rsidRPr="00B93E72">
        <w:t xml:space="preserve">Point </w:t>
      </w:r>
      <w:r w:rsidR="003F3880">
        <w:t>6</w:t>
      </w:r>
      <w:r w:rsidRPr="00B93E72">
        <w:t xml:space="preserve"> de l</w:t>
      </w:r>
      <w:r w:rsidR="00101CC2">
        <w:t>’</w:t>
      </w:r>
      <w:r w:rsidRPr="00B93E72">
        <w:t>ordre du jour provisoire</w:t>
      </w:r>
    </w:p>
    <w:p w:rsidR="00F9573C" w:rsidRDefault="003F3880" w:rsidP="00AF0CB5">
      <w:pPr>
        <w:rPr>
          <w:b/>
          <w:lang w:val="fr-FR"/>
        </w:rPr>
      </w:pPr>
      <w:bookmarkStart w:id="1" w:name="bookmark_18"/>
      <w:r w:rsidRPr="003442EC">
        <w:rPr>
          <w:b/>
          <w:lang w:val="fr-FR"/>
        </w:rPr>
        <w:t>Rapports des groupes de travail informels</w:t>
      </w:r>
      <w:bookmarkEnd w:id="1"/>
    </w:p>
    <w:p w:rsidR="003F3880" w:rsidRPr="003442EC" w:rsidRDefault="003F3880" w:rsidP="003F3880">
      <w:pPr>
        <w:pStyle w:val="HChG"/>
        <w:rPr>
          <w:lang w:val="fr-FR"/>
        </w:rPr>
      </w:pPr>
      <w:r>
        <w:tab/>
      </w:r>
      <w:r>
        <w:tab/>
      </w:r>
      <w:r w:rsidRPr="003442EC">
        <w:rPr>
          <w:lang w:val="fr-FR"/>
        </w:rPr>
        <w:t>Transport de récipients à pression agréés par le Département des transports (</w:t>
      </w:r>
      <w:proofErr w:type="spellStart"/>
      <w:r w:rsidRPr="003442EC">
        <w:rPr>
          <w:lang w:val="fr-FR"/>
        </w:rPr>
        <w:t>DoT</w:t>
      </w:r>
      <w:proofErr w:type="spellEnd"/>
      <w:r w:rsidRPr="003442EC">
        <w:rPr>
          <w:lang w:val="fr-FR"/>
        </w:rPr>
        <w:t>) des États-Unis d</w:t>
      </w:r>
      <w:r w:rsidR="00101CC2">
        <w:rPr>
          <w:lang w:val="fr-FR"/>
        </w:rPr>
        <w:t>’</w:t>
      </w:r>
      <w:r w:rsidRPr="003442EC">
        <w:rPr>
          <w:lang w:val="fr-FR"/>
        </w:rPr>
        <w:t>Amérique</w:t>
      </w:r>
    </w:p>
    <w:p w:rsidR="003F3880" w:rsidRPr="003F3880" w:rsidRDefault="003F3880" w:rsidP="003F3880">
      <w:pPr>
        <w:pStyle w:val="H1G"/>
        <w:rPr>
          <w:b w:val="0"/>
          <w:spacing w:val="-2"/>
          <w:sz w:val="20"/>
          <w:lang w:val="fr-FR"/>
        </w:rPr>
      </w:pPr>
      <w:bookmarkStart w:id="2" w:name="bookmark_20"/>
      <w:r w:rsidRPr="003442EC">
        <w:rPr>
          <w:lang w:val="fr-FR"/>
        </w:rPr>
        <w:tab/>
      </w:r>
      <w:r w:rsidRPr="003442EC">
        <w:rPr>
          <w:lang w:val="fr-FR"/>
        </w:rPr>
        <w:tab/>
      </w:r>
      <w:r w:rsidRPr="003F3880">
        <w:rPr>
          <w:spacing w:val="-2"/>
          <w:lang w:val="fr-FR"/>
        </w:rPr>
        <w:t>Communication de l</w:t>
      </w:r>
      <w:r w:rsidR="00101CC2">
        <w:rPr>
          <w:spacing w:val="-2"/>
          <w:lang w:val="fr-FR"/>
        </w:rPr>
        <w:t>’</w:t>
      </w:r>
      <w:r w:rsidRPr="003F3880">
        <w:rPr>
          <w:spacing w:val="-2"/>
          <w:lang w:val="fr-FR"/>
        </w:rPr>
        <w:t>Association européenne des gaz industriels (EIGA)</w:t>
      </w:r>
      <w:r w:rsidR="00590AF3" w:rsidRPr="00590AF3">
        <w:rPr>
          <w:rStyle w:val="FootnoteReference"/>
          <w:b w:val="0"/>
          <w:spacing w:val="-2"/>
          <w:sz w:val="20"/>
          <w:vertAlign w:val="baseline"/>
        </w:rPr>
        <w:footnoteReference w:customMarkFollows="1" w:id="2"/>
        <w:t>*</w:t>
      </w:r>
      <w:bookmarkEnd w:id="2"/>
    </w:p>
    <w:p w:rsidR="003F3880" w:rsidRDefault="003F3880" w:rsidP="003F3880">
      <w:pPr>
        <w:pStyle w:val="HChG"/>
        <w:rPr>
          <w:lang w:val="fr-FR"/>
        </w:rPr>
      </w:pPr>
      <w:bookmarkStart w:id="4" w:name="bookmark_22"/>
      <w:r w:rsidRPr="003442EC">
        <w:rPr>
          <w:lang w:val="fr-FR"/>
        </w:rPr>
        <w:tab/>
      </w:r>
      <w:r w:rsidRPr="003442EC">
        <w:rPr>
          <w:lang w:val="fr-FR"/>
        </w:rPr>
        <w:tab/>
      </w:r>
      <w:r w:rsidRPr="003F3880">
        <w:t>Introduction</w:t>
      </w:r>
      <w:bookmarkEnd w:id="4"/>
    </w:p>
    <w:p w:rsidR="003F3880" w:rsidRPr="003442EC" w:rsidRDefault="003F3880" w:rsidP="003F3880">
      <w:pPr>
        <w:pStyle w:val="SingleTxtG"/>
        <w:rPr>
          <w:lang w:val="fr-FR"/>
        </w:rPr>
      </w:pPr>
      <w:bookmarkStart w:id="5" w:name="bookmark_23"/>
      <w:r w:rsidRPr="003442EC">
        <w:rPr>
          <w:lang w:val="fr-FR"/>
        </w:rPr>
        <w:t>1.</w:t>
      </w:r>
      <w:r w:rsidRPr="003442EC">
        <w:rPr>
          <w:lang w:val="fr-FR"/>
        </w:rPr>
        <w:tab/>
        <w:t>Lors de la Réunion commune tenue en septembre 2017, le représentant de l</w:t>
      </w:r>
      <w:r w:rsidR="00101CC2">
        <w:rPr>
          <w:lang w:val="fr-FR"/>
        </w:rPr>
        <w:t>’</w:t>
      </w:r>
      <w:r w:rsidRPr="003442EC">
        <w:rPr>
          <w:lang w:val="fr-FR"/>
        </w:rPr>
        <w:t>EIGA a soumis le document informel INF.40, et les États-Unis d</w:t>
      </w:r>
      <w:r w:rsidR="00101CC2">
        <w:rPr>
          <w:lang w:val="fr-FR"/>
        </w:rPr>
        <w:t>’</w:t>
      </w:r>
      <w:r w:rsidRPr="003442EC">
        <w:rPr>
          <w:lang w:val="fr-FR"/>
        </w:rPr>
        <w:t>Amérique ont soumis le document informel INF.51. Dans ces deux documents, il était fait de nouveau le point sur les progrès concernant la soumission d</w:t>
      </w:r>
      <w:r w:rsidR="00101CC2">
        <w:rPr>
          <w:lang w:val="fr-FR"/>
        </w:rPr>
        <w:t>’</w:t>
      </w:r>
      <w:r w:rsidRPr="003442EC">
        <w:rPr>
          <w:lang w:val="fr-FR"/>
        </w:rPr>
        <w:t>une «</w:t>
      </w:r>
      <w:r w:rsidR="00265A3D">
        <w:rPr>
          <w:lang w:val="fr-FR"/>
        </w:rPr>
        <w:t> </w:t>
      </w:r>
      <w:r w:rsidRPr="003442EC">
        <w:rPr>
          <w:lang w:val="fr-FR"/>
        </w:rPr>
        <w:t>demande de réglementation</w:t>
      </w:r>
      <w:r w:rsidR="00265A3D">
        <w:rPr>
          <w:lang w:val="fr-FR"/>
        </w:rPr>
        <w:t> </w:t>
      </w:r>
      <w:r w:rsidRPr="003442EC">
        <w:rPr>
          <w:lang w:val="fr-FR"/>
        </w:rPr>
        <w:t>» visant à inciter les États</w:t>
      </w:r>
      <w:r w:rsidR="007C2B66">
        <w:rPr>
          <w:lang w:val="fr-FR"/>
        </w:rPr>
        <w:noBreakHyphen/>
      </w:r>
      <w:r w:rsidRPr="003442EC">
        <w:rPr>
          <w:lang w:val="fr-FR"/>
        </w:rPr>
        <w:t>Unis d</w:t>
      </w:r>
      <w:r w:rsidR="00101CC2">
        <w:rPr>
          <w:lang w:val="fr-FR"/>
        </w:rPr>
        <w:t>’</w:t>
      </w:r>
      <w:r w:rsidRPr="003442EC">
        <w:rPr>
          <w:lang w:val="fr-FR"/>
        </w:rPr>
        <w:t>Amérique à autoriser l</w:t>
      </w:r>
      <w:r w:rsidR="00101CC2">
        <w:rPr>
          <w:lang w:val="fr-FR"/>
        </w:rPr>
        <w:t>’</w:t>
      </w:r>
      <w:r w:rsidRPr="003442EC">
        <w:rPr>
          <w:lang w:val="fr-FR"/>
        </w:rPr>
        <w:t>importation temporaire sur leur territoire de certains récipients à pression européens. Pour rappel, cette soumission visait à demander des modifications appropriées au titre 49 du Code des règlements fédéraux pour instituer aux États-Unis une liberté de transporter et d</w:t>
      </w:r>
      <w:r w:rsidR="00101CC2">
        <w:rPr>
          <w:lang w:val="fr-FR"/>
        </w:rPr>
        <w:t>’</w:t>
      </w:r>
      <w:r w:rsidRPr="003442EC">
        <w:rPr>
          <w:lang w:val="fr-FR"/>
        </w:rPr>
        <w:t xml:space="preserve">utiliser les bouteilles conformes au RID/ADR similaire à celle qui est conférée aux bouteilles conformes à la réglementation du </w:t>
      </w:r>
      <w:proofErr w:type="spellStart"/>
      <w:r w:rsidRPr="003442EC">
        <w:rPr>
          <w:lang w:val="fr-FR"/>
        </w:rPr>
        <w:t>DoT</w:t>
      </w:r>
      <w:proofErr w:type="spellEnd"/>
      <w:r w:rsidRPr="003442EC">
        <w:rPr>
          <w:lang w:val="fr-FR"/>
        </w:rPr>
        <w:t xml:space="preserve"> en vertu de l</w:t>
      </w:r>
      <w:r w:rsidR="00101CC2">
        <w:rPr>
          <w:lang w:val="fr-FR"/>
        </w:rPr>
        <w:t>’</w:t>
      </w:r>
      <w:r w:rsidRPr="003442EC">
        <w:rPr>
          <w:lang w:val="fr-FR"/>
        </w:rPr>
        <w:t>accord multilatéral M</w:t>
      </w:r>
      <w:r w:rsidR="007C2B66">
        <w:rPr>
          <w:lang w:val="fr-FR"/>
        </w:rPr>
        <w:t> </w:t>
      </w:r>
      <w:r w:rsidRPr="003442EC">
        <w:rPr>
          <w:lang w:val="fr-FR"/>
        </w:rPr>
        <w:t>299.</w:t>
      </w:r>
      <w:bookmarkStart w:id="6" w:name="_Hlk499547472"/>
      <w:bookmarkEnd w:id="5"/>
      <w:bookmarkEnd w:id="6"/>
    </w:p>
    <w:p w:rsidR="003F3880" w:rsidRPr="003442EC" w:rsidRDefault="003F3880" w:rsidP="003F3880">
      <w:pPr>
        <w:pStyle w:val="SingleTxtG"/>
        <w:rPr>
          <w:lang w:val="fr-FR"/>
        </w:rPr>
      </w:pPr>
      <w:bookmarkStart w:id="7" w:name="bookmark_24"/>
      <w:r w:rsidRPr="003442EC">
        <w:rPr>
          <w:lang w:val="fr-FR"/>
        </w:rPr>
        <w:t>2.</w:t>
      </w:r>
      <w:r w:rsidRPr="003442EC">
        <w:rPr>
          <w:lang w:val="fr-FR"/>
        </w:rPr>
        <w:tab/>
        <w:t>Des progrès continuent d</w:t>
      </w:r>
      <w:r w:rsidR="00101CC2">
        <w:rPr>
          <w:lang w:val="fr-FR"/>
        </w:rPr>
        <w:t>’</w:t>
      </w:r>
      <w:r w:rsidRPr="003442EC">
        <w:rPr>
          <w:lang w:val="fr-FR"/>
        </w:rPr>
        <w:t>être enregistrés en ce qui concerne la «</w:t>
      </w:r>
      <w:r w:rsidR="007C2B66">
        <w:rPr>
          <w:lang w:val="fr-FR"/>
        </w:rPr>
        <w:t> </w:t>
      </w:r>
      <w:r w:rsidRPr="003442EC">
        <w:rPr>
          <w:lang w:val="fr-FR"/>
        </w:rPr>
        <w:t>demande de réglementation</w:t>
      </w:r>
      <w:r w:rsidR="007C2B66">
        <w:rPr>
          <w:lang w:val="fr-FR"/>
        </w:rPr>
        <w:t> </w:t>
      </w:r>
      <w:r w:rsidRPr="003442EC">
        <w:rPr>
          <w:lang w:val="fr-FR"/>
        </w:rPr>
        <w:t>» soumise aux États-Unis d</w:t>
      </w:r>
      <w:r w:rsidR="00101CC2">
        <w:rPr>
          <w:lang w:val="fr-FR"/>
        </w:rPr>
        <w:t>’</w:t>
      </w:r>
      <w:r w:rsidRPr="003442EC">
        <w:rPr>
          <w:lang w:val="fr-FR"/>
        </w:rPr>
        <w:t>Amérique. L</w:t>
      </w:r>
      <w:r w:rsidR="00101CC2">
        <w:rPr>
          <w:lang w:val="fr-FR"/>
        </w:rPr>
        <w:t>’</w:t>
      </w:r>
      <w:r w:rsidRPr="003442EC">
        <w:rPr>
          <w:lang w:val="fr-FR"/>
        </w:rPr>
        <w:t>étape des observations de la «</w:t>
      </w:r>
      <w:r w:rsidR="00E174A4">
        <w:rPr>
          <w:lang w:val="fr-FR"/>
        </w:rPr>
        <w:t> </w:t>
      </w:r>
      <w:r w:rsidRPr="003442EC">
        <w:rPr>
          <w:lang w:val="fr-FR"/>
        </w:rPr>
        <w:t>demande de réglementation</w:t>
      </w:r>
      <w:r w:rsidR="00E174A4">
        <w:rPr>
          <w:lang w:val="fr-FR"/>
        </w:rPr>
        <w:t> </w:t>
      </w:r>
      <w:r w:rsidRPr="003442EC">
        <w:rPr>
          <w:lang w:val="fr-FR"/>
        </w:rPr>
        <w:t>» s</w:t>
      </w:r>
      <w:r w:rsidR="00101CC2">
        <w:rPr>
          <w:lang w:val="fr-FR"/>
        </w:rPr>
        <w:t>’</w:t>
      </w:r>
      <w:r w:rsidRPr="003442EC">
        <w:rPr>
          <w:lang w:val="fr-FR"/>
        </w:rPr>
        <w:t>est terminée alors qu</w:t>
      </w:r>
      <w:r w:rsidR="00101CC2">
        <w:rPr>
          <w:lang w:val="fr-FR"/>
        </w:rPr>
        <w:t>’</w:t>
      </w:r>
      <w:r w:rsidRPr="003442EC">
        <w:rPr>
          <w:lang w:val="fr-FR"/>
        </w:rPr>
        <w:t>une seule observation avait été reçue.</w:t>
      </w:r>
      <w:bookmarkEnd w:id="7"/>
    </w:p>
    <w:p w:rsidR="003F3880" w:rsidRPr="003442EC" w:rsidRDefault="003F3880" w:rsidP="003F3880">
      <w:pPr>
        <w:pStyle w:val="SingleTxtG"/>
        <w:rPr>
          <w:lang w:val="fr-FR"/>
        </w:rPr>
      </w:pPr>
      <w:bookmarkStart w:id="8" w:name="bookmark_25"/>
      <w:r w:rsidRPr="003442EC">
        <w:rPr>
          <w:lang w:val="fr-FR"/>
        </w:rPr>
        <w:t>3.</w:t>
      </w:r>
      <w:r w:rsidRPr="003442EC">
        <w:rPr>
          <w:lang w:val="fr-FR"/>
        </w:rPr>
        <w:tab/>
        <w:t>Cette observation avait trait à l</w:t>
      </w:r>
      <w:r w:rsidR="00101CC2">
        <w:rPr>
          <w:lang w:val="fr-FR"/>
        </w:rPr>
        <w:t>’</w:t>
      </w:r>
      <w:r w:rsidRPr="003442EC">
        <w:rPr>
          <w:lang w:val="fr-FR"/>
        </w:rPr>
        <w:t>instruction d</w:t>
      </w:r>
      <w:r w:rsidR="00101CC2">
        <w:rPr>
          <w:lang w:val="fr-FR"/>
        </w:rPr>
        <w:t>’</w:t>
      </w:r>
      <w:r w:rsidRPr="003442EC">
        <w:rPr>
          <w:lang w:val="fr-FR"/>
        </w:rPr>
        <w:t>emballage P208, qui s</w:t>
      </w:r>
      <w:r w:rsidR="00101CC2">
        <w:rPr>
          <w:lang w:val="fr-FR"/>
        </w:rPr>
        <w:t>’</w:t>
      </w:r>
      <w:r w:rsidRPr="003442EC">
        <w:rPr>
          <w:lang w:val="fr-FR"/>
        </w:rPr>
        <w:t>applique aux gaz adsorbés de la classe</w:t>
      </w:r>
      <w:r w:rsidR="007C2B66">
        <w:rPr>
          <w:lang w:val="fr-FR"/>
        </w:rPr>
        <w:t> </w:t>
      </w:r>
      <w:r w:rsidRPr="003442EC">
        <w:rPr>
          <w:lang w:val="fr-FR"/>
        </w:rPr>
        <w:t>2. L</w:t>
      </w:r>
      <w:r w:rsidR="00101CC2">
        <w:rPr>
          <w:lang w:val="fr-FR"/>
        </w:rPr>
        <w:t>’</w:t>
      </w:r>
      <w:r w:rsidRPr="003442EC">
        <w:rPr>
          <w:lang w:val="fr-FR"/>
        </w:rPr>
        <w:t>observation formulée au sujet de la «</w:t>
      </w:r>
      <w:r w:rsidR="007C2B66">
        <w:rPr>
          <w:lang w:val="fr-FR"/>
        </w:rPr>
        <w:t> </w:t>
      </w:r>
      <w:r w:rsidRPr="003442EC">
        <w:rPr>
          <w:lang w:val="fr-FR"/>
        </w:rPr>
        <w:t>demande de réglementation</w:t>
      </w:r>
      <w:r w:rsidR="007C2B66">
        <w:rPr>
          <w:lang w:val="fr-FR"/>
        </w:rPr>
        <w:t> </w:t>
      </w:r>
      <w:r w:rsidRPr="003442EC">
        <w:rPr>
          <w:lang w:val="fr-FR"/>
        </w:rPr>
        <w:t>» tendait à inclure dans la demande les gaz adsorbés de la classe</w:t>
      </w:r>
      <w:r w:rsidR="007C2B66">
        <w:rPr>
          <w:lang w:val="fr-FR"/>
        </w:rPr>
        <w:t> </w:t>
      </w:r>
      <w:r w:rsidRPr="003442EC">
        <w:rPr>
          <w:lang w:val="fr-FR"/>
        </w:rPr>
        <w:t>2 auxquels est affectée l</w:t>
      </w:r>
      <w:r w:rsidR="00101CC2">
        <w:rPr>
          <w:lang w:val="fr-FR"/>
        </w:rPr>
        <w:t>’</w:t>
      </w:r>
      <w:r w:rsidRPr="003442EC">
        <w:rPr>
          <w:lang w:val="fr-FR"/>
        </w:rPr>
        <w:t>instruction d</w:t>
      </w:r>
      <w:r w:rsidR="00101CC2">
        <w:rPr>
          <w:lang w:val="fr-FR"/>
        </w:rPr>
        <w:t>’</w:t>
      </w:r>
      <w:r w:rsidRPr="003442EC">
        <w:rPr>
          <w:lang w:val="fr-FR"/>
        </w:rPr>
        <w:t>emballage P208. Parallèlement, il a été demandé à l</w:t>
      </w:r>
      <w:r w:rsidR="00101CC2">
        <w:rPr>
          <w:lang w:val="fr-FR"/>
        </w:rPr>
        <w:t>’</w:t>
      </w:r>
      <w:r w:rsidRPr="003442EC">
        <w:rPr>
          <w:lang w:val="fr-FR"/>
        </w:rPr>
        <w:t>EIGA si le texte proposé pour le RID/ADR pouvait comprendre les gaz adsorbés de la classe</w:t>
      </w:r>
      <w:r w:rsidR="007C2B66">
        <w:rPr>
          <w:lang w:val="fr-FR"/>
        </w:rPr>
        <w:t> </w:t>
      </w:r>
      <w:r w:rsidRPr="003442EC">
        <w:rPr>
          <w:lang w:val="fr-FR"/>
        </w:rPr>
        <w:t>2 auxquels est affectée l</w:t>
      </w:r>
      <w:r w:rsidR="00101CC2">
        <w:rPr>
          <w:lang w:val="fr-FR"/>
        </w:rPr>
        <w:t>’</w:t>
      </w:r>
      <w:r w:rsidRPr="003442EC">
        <w:rPr>
          <w:lang w:val="fr-FR"/>
        </w:rPr>
        <w:t>instruction d</w:t>
      </w:r>
      <w:r w:rsidR="00101CC2">
        <w:rPr>
          <w:lang w:val="fr-FR"/>
        </w:rPr>
        <w:t>’</w:t>
      </w:r>
      <w:r w:rsidRPr="003442EC">
        <w:rPr>
          <w:lang w:val="fr-FR"/>
        </w:rPr>
        <w:t xml:space="preserve">emballage P208. En conséquence, la présente </w:t>
      </w:r>
      <w:r w:rsidRPr="003442EC">
        <w:rPr>
          <w:lang w:val="fr-FR"/>
        </w:rPr>
        <w:lastRenderedPageBreak/>
        <w:t>proposition a incorporé cette demande. L</w:t>
      </w:r>
      <w:r w:rsidR="00101CC2">
        <w:rPr>
          <w:lang w:val="fr-FR"/>
        </w:rPr>
        <w:t>’</w:t>
      </w:r>
      <w:r w:rsidRPr="003442EC">
        <w:rPr>
          <w:lang w:val="fr-FR"/>
        </w:rPr>
        <w:t>EIGA estime qu</w:t>
      </w:r>
      <w:r w:rsidR="00101CC2">
        <w:rPr>
          <w:lang w:val="fr-FR"/>
        </w:rPr>
        <w:t>’</w:t>
      </w:r>
      <w:r w:rsidRPr="003442EC">
        <w:rPr>
          <w:lang w:val="fr-FR"/>
        </w:rPr>
        <w:t>il s</w:t>
      </w:r>
      <w:r w:rsidR="00101CC2">
        <w:rPr>
          <w:lang w:val="fr-FR"/>
        </w:rPr>
        <w:t>’</w:t>
      </w:r>
      <w:r w:rsidRPr="003442EC">
        <w:rPr>
          <w:lang w:val="fr-FR"/>
        </w:rPr>
        <w:t>agit d</w:t>
      </w:r>
      <w:r w:rsidR="00101CC2">
        <w:rPr>
          <w:lang w:val="fr-FR"/>
        </w:rPr>
        <w:t>’</w:t>
      </w:r>
      <w:r w:rsidRPr="003442EC">
        <w:rPr>
          <w:lang w:val="fr-FR"/>
        </w:rPr>
        <w:t>une omission qui aurait dû figurer dans l</w:t>
      </w:r>
      <w:r w:rsidR="00101CC2">
        <w:rPr>
          <w:lang w:val="fr-FR"/>
        </w:rPr>
        <w:t>’</w:t>
      </w:r>
      <w:r w:rsidRPr="003442EC">
        <w:rPr>
          <w:lang w:val="fr-FR"/>
        </w:rPr>
        <w:t>accord multilatéral M</w:t>
      </w:r>
      <w:r w:rsidR="007C2B66">
        <w:rPr>
          <w:lang w:val="fr-FR"/>
        </w:rPr>
        <w:t> </w:t>
      </w:r>
      <w:r w:rsidRPr="003442EC">
        <w:rPr>
          <w:lang w:val="fr-FR"/>
        </w:rPr>
        <w:t>299. Il s</w:t>
      </w:r>
      <w:r w:rsidR="00101CC2">
        <w:rPr>
          <w:lang w:val="fr-FR"/>
        </w:rPr>
        <w:t>’</w:t>
      </w:r>
      <w:r w:rsidRPr="003442EC">
        <w:rPr>
          <w:lang w:val="fr-FR"/>
        </w:rPr>
        <w:t>agit d</w:t>
      </w:r>
      <w:r w:rsidR="00101CC2">
        <w:rPr>
          <w:lang w:val="fr-FR"/>
        </w:rPr>
        <w:t>’</w:t>
      </w:r>
      <w:r w:rsidRPr="003442EC">
        <w:rPr>
          <w:lang w:val="fr-FR"/>
        </w:rPr>
        <w:t>une technologie relativement nouvelle et qui n</w:t>
      </w:r>
      <w:r w:rsidR="00101CC2">
        <w:rPr>
          <w:lang w:val="fr-FR"/>
        </w:rPr>
        <w:t>’</w:t>
      </w:r>
      <w:r w:rsidRPr="003442EC">
        <w:rPr>
          <w:lang w:val="fr-FR"/>
        </w:rPr>
        <w:t>est pas largement utilisée, ce qui peut expliquer pourquoi les gaz adsorbés ne sont pas mentionnés dans cet accord.</w:t>
      </w:r>
      <w:bookmarkStart w:id="9" w:name="_Hlk499546503"/>
      <w:bookmarkEnd w:id="8"/>
      <w:bookmarkEnd w:id="9"/>
    </w:p>
    <w:p w:rsidR="003F3880" w:rsidRPr="003442EC" w:rsidRDefault="003F3880" w:rsidP="003F3880">
      <w:pPr>
        <w:pStyle w:val="SingleTxtG"/>
        <w:rPr>
          <w:lang w:val="fr-FR"/>
        </w:rPr>
      </w:pPr>
      <w:bookmarkStart w:id="10" w:name="bookmark_26"/>
      <w:r w:rsidRPr="003442EC">
        <w:rPr>
          <w:lang w:val="fr-FR"/>
        </w:rPr>
        <w:t>4.</w:t>
      </w:r>
      <w:r w:rsidRPr="003442EC">
        <w:rPr>
          <w:lang w:val="fr-FR"/>
        </w:rPr>
        <w:tab/>
        <w:t>La demande de la Compressed Gas Association (CGA) prévoyait la possibilité d</w:t>
      </w:r>
      <w:r w:rsidR="00101CC2">
        <w:rPr>
          <w:lang w:val="fr-FR"/>
        </w:rPr>
        <w:t>’</w:t>
      </w:r>
      <w:r w:rsidRPr="003442EC">
        <w:rPr>
          <w:lang w:val="fr-FR"/>
        </w:rPr>
        <w:t>importer des bouteilles vides européennes vers les États-Unis et de les y remplir en vue de leur exportation. Cette proposition comprend la capacité d</w:t>
      </w:r>
      <w:r w:rsidR="00101CC2">
        <w:rPr>
          <w:lang w:val="fr-FR"/>
        </w:rPr>
        <w:t>’</w:t>
      </w:r>
      <w:r w:rsidRPr="003442EC">
        <w:rPr>
          <w:lang w:val="fr-FR"/>
        </w:rPr>
        <w:t>être en mesure d</w:t>
      </w:r>
      <w:r w:rsidR="00101CC2">
        <w:rPr>
          <w:lang w:val="fr-FR"/>
        </w:rPr>
        <w:t>’</w:t>
      </w:r>
      <w:r w:rsidRPr="003442EC">
        <w:rPr>
          <w:lang w:val="fr-FR"/>
        </w:rPr>
        <w:t xml:space="preserve">importer des bouteilles vides conforme à la réglementation du </w:t>
      </w:r>
      <w:proofErr w:type="spellStart"/>
      <w:r w:rsidRPr="003442EC">
        <w:rPr>
          <w:lang w:val="fr-FR"/>
        </w:rPr>
        <w:t>DoT</w:t>
      </w:r>
      <w:proofErr w:type="spellEnd"/>
      <w:r w:rsidRPr="003442EC">
        <w:rPr>
          <w:lang w:val="fr-FR"/>
        </w:rPr>
        <w:t xml:space="preserve"> pour les exporter vers des pays qui autorisent l</w:t>
      </w:r>
      <w:r w:rsidR="00101CC2">
        <w:rPr>
          <w:lang w:val="fr-FR"/>
        </w:rPr>
        <w:t>’</w:t>
      </w:r>
      <w:r w:rsidRPr="003442EC">
        <w:rPr>
          <w:lang w:val="fr-FR"/>
        </w:rPr>
        <w:t>utilisation de ces bouteilles.</w:t>
      </w:r>
      <w:bookmarkEnd w:id="10"/>
    </w:p>
    <w:p w:rsidR="003F3880" w:rsidRPr="003442EC" w:rsidRDefault="003F3880" w:rsidP="003F3880">
      <w:pPr>
        <w:pStyle w:val="SingleTxtG"/>
        <w:rPr>
          <w:lang w:val="fr-FR"/>
        </w:rPr>
      </w:pPr>
      <w:bookmarkStart w:id="11" w:name="bookmark_27"/>
      <w:r w:rsidRPr="003442EC">
        <w:rPr>
          <w:lang w:val="fr-FR"/>
        </w:rPr>
        <w:t>5.</w:t>
      </w:r>
      <w:r w:rsidRPr="003442EC">
        <w:rPr>
          <w:lang w:val="fr-FR"/>
        </w:rPr>
        <w:tab/>
        <w:t>Des progrès substantiels ayant été accomplis en ce qui concerne la soumission de la «</w:t>
      </w:r>
      <w:r w:rsidR="00590AF3">
        <w:rPr>
          <w:lang w:val="fr-FR"/>
        </w:rPr>
        <w:t> </w:t>
      </w:r>
      <w:r w:rsidRPr="003442EC">
        <w:rPr>
          <w:lang w:val="fr-FR"/>
        </w:rPr>
        <w:t>demande de réglemen</w:t>
      </w:r>
      <w:r w:rsidR="00750737">
        <w:rPr>
          <w:lang w:val="fr-FR"/>
        </w:rPr>
        <w:t>t</w:t>
      </w:r>
      <w:r w:rsidRPr="003442EC">
        <w:rPr>
          <w:lang w:val="fr-FR"/>
        </w:rPr>
        <w:t>ation</w:t>
      </w:r>
      <w:r w:rsidR="00590AF3">
        <w:rPr>
          <w:lang w:val="fr-FR"/>
        </w:rPr>
        <w:t> </w:t>
      </w:r>
      <w:r w:rsidRPr="003442EC">
        <w:rPr>
          <w:lang w:val="fr-FR"/>
        </w:rPr>
        <w:t>», l</w:t>
      </w:r>
      <w:r w:rsidR="00101CC2">
        <w:rPr>
          <w:lang w:val="fr-FR"/>
        </w:rPr>
        <w:t>’</w:t>
      </w:r>
      <w:r w:rsidRPr="003442EC">
        <w:rPr>
          <w:lang w:val="fr-FR"/>
        </w:rPr>
        <w:t>EIGA souhaiterait maintenant faire une proposition officielle visant à modifier le RID/ADR/ADN.</w:t>
      </w:r>
      <w:bookmarkEnd w:id="11"/>
    </w:p>
    <w:p w:rsidR="003F3880" w:rsidRPr="00ED3669" w:rsidRDefault="003F3880" w:rsidP="00ED3669">
      <w:pPr>
        <w:pStyle w:val="HChG"/>
      </w:pPr>
      <w:bookmarkStart w:id="12" w:name="bookmark_28"/>
      <w:r w:rsidRPr="003442EC">
        <w:rPr>
          <w:lang w:val="fr-FR"/>
        </w:rPr>
        <w:tab/>
      </w:r>
      <w:r w:rsidR="00ED3669">
        <w:rPr>
          <w:lang w:val="fr-FR"/>
        </w:rPr>
        <w:tab/>
      </w:r>
      <w:r w:rsidRPr="003442EC">
        <w:rPr>
          <w:lang w:val="fr-FR"/>
        </w:rPr>
        <w:t>Projet de proposition</w:t>
      </w:r>
      <w:bookmarkEnd w:id="12"/>
    </w:p>
    <w:p w:rsidR="003F3880" w:rsidRPr="003442EC" w:rsidRDefault="003F3880" w:rsidP="003F3880">
      <w:pPr>
        <w:pStyle w:val="SingleTxtG"/>
        <w:rPr>
          <w:lang w:val="fr-FR"/>
        </w:rPr>
      </w:pPr>
      <w:bookmarkStart w:id="13" w:name="bookmark_29"/>
      <w:r w:rsidRPr="003442EC">
        <w:rPr>
          <w:lang w:val="fr-FR"/>
        </w:rPr>
        <w:t>6.</w:t>
      </w:r>
      <w:r w:rsidRPr="003442EC">
        <w:rPr>
          <w:lang w:val="fr-FR"/>
        </w:rPr>
        <w:tab/>
        <w:t>Le texte ci-après est fondé sur l</w:t>
      </w:r>
      <w:r w:rsidR="00101CC2">
        <w:rPr>
          <w:lang w:val="fr-FR"/>
        </w:rPr>
        <w:t>’</w:t>
      </w:r>
      <w:r w:rsidR="00ED3669">
        <w:rPr>
          <w:lang w:val="fr-FR"/>
        </w:rPr>
        <w:t>accord multilatéral M </w:t>
      </w:r>
      <w:r w:rsidRPr="003442EC">
        <w:rPr>
          <w:lang w:val="fr-FR"/>
        </w:rPr>
        <w:t>299 de l</w:t>
      </w:r>
      <w:r w:rsidR="00101CC2">
        <w:rPr>
          <w:lang w:val="fr-FR"/>
        </w:rPr>
        <w:t>’</w:t>
      </w:r>
      <w:r w:rsidRPr="003442EC">
        <w:rPr>
          <w:lang w:val="fr-FR"/>
        </w:rPr>
        <w:t>ADR par une nouvelle disposition au paragraphe</w:t>
      </w:r>
      <w:r w:rsidR="00ED3669">
        <w:rPr>
          <w:lang w:val="fr-FR"/>
        </w:rPr>
        <w:t> </w:t>
      </w:r>
      <w:r w:rsidRPr="003442EC">
        <w:rPr>
          <w:lang w:val="fr-FR"/>
        </w:rPr>
        <w:t>e) et l</w:t>
      </w:r>
      <w:r w:rsidR="00101CC2">
        <w:rPr>
          <w:lang w:val="fr-FR"/>
        </w:rPr>
        <w:t>’</w:t>
      </w:r>
      <w:r w:rsidRPr="003442EC">
        <w:rPr>
          <w:lang w:val="fr-FR"/>
        </w:rPr>
        <w:t>inclusion des gaz de la classe</w:t>
      </w:r>
      <w:r w:rsidR="00ED3669">
        <w:rPr>
          <w:lang w:val="fr-FR"/>
        </w:rPr>
        <w:t> </w:t>
      </w:r>
      <w:r w:rsidRPr="003442EC">
        <w:rPr>
          <w:lang w:val="fr-FR"/>
        </w:rPr>
        <w:t>2 de l</w:t>
      </w:r>
      <w:r w:rsidR="00101CC2">
        <w:rPr>
          <w:lang w:val="fr-FR"/>
        </w:rPr>
        <w:t>’</w:t>
      </w:r>
      <w:r w:rsidRPr="003442EC">
        <w:rPr>
          <w:lang w:val="fr-FR"/>
        </w:rPr>
        <w:t>instruction d</w:t>
      </w:r>
      <w:r w:rsidR="00101CC2">
        <w:rPr>
          <w:lang w:val="fr-FR"/>
        </w:rPr>
        <w:t>’</w:t>
      </w:r>
      <w:r w:rsidRPr="003442EC">
        <w:rPr>
          <w:lang w:val="fr-FR"/>
        </w:rPr>
        <w:t>emballage P208.</w:t>
      </w:r>
      <w:bookmarkEnd w:id="13"/>
    </w:p>
    <w:p w:rsidR="003F3880" w:rsidRPr="003442EC" w:rsidRDefault="003F3880" w:rsidP="003F3880">
      <w:pPr>
        <w:pStyle w:val="SingleTxtG"/>
        <w:rPr>
          <w:lang w:val="fr-FR"/>
        </w:rPr>
      </w:pPr>
      <w:bookmarkStart w:id="14" w:name="bookmark_30"/>
      <w:r w:rsidRPr="003442EC">
        <w:rPr>
          <w:lang w:val="fr-FR"/>
        </w:rPr>
        <w:t>7.</w:t>
      </w:r>
      <w:r w:rsidRPr="003442EC">
        <w:rPr>
          <w:lang w:val="fr-FR"/>
        </w:rPr>
        <w:tab/>
        <w:t>La proposition a été rédigée en vue de son inclusion dans l</w:t>
      </w:r>
      <w:r w:rsidR="00101CC2">
        <w:rPr>
          <w:lang w:val="fr-FR"/>
        </w:rPr>
        <w:t>’</w:t>
      </w:r>
      <w:r w:rsidRPr="003442EC">
        <w:rPr>
          <w:lang w:val="fr-FR"/>
        </w:rPr>
        <w:t>ADN ainsi que dans le RID et l</w:t>
      </w:r>
      <w:r w:rsidR="00101CC2">
        <w:rPr>
          <w:lang w:val="fr-FR"/>
        </w:rPr>
        <w:t>’</w:t>
      </w:r>
      <w:r w:rsidRPr="003442EC">
        <w:rPr>
          <w:lang w:val="fr-FR"/>
        </w:rPr>
        <w:t>ADR. L</w:t>
      </w:r>
      <w:r w:rsidR="00101CC2">
        <w:rPr>
          <w:lang w:val="fr-FR"/>
        </w:rPr>
        <w:t>’</w:t>
      </w:r>
      <w:r w:rsidRPr="003442EC">
        <w:rPr>
          <w:lang w:val="fr-FR"/>
        </w:rPr>
        <w:t>EIGA n</w:t>
      </w:r>
      <w:r w:rsidR="00101CC2">
        <w:rPr>
          <w:lang w:val="fr-FR"/>
        </w:rPr>
        <w:t>’</w:t>
      </w:r>
      <w:r w:rsidRPr="003442EC">
        <w:rPr>
          <w:lang w:val="fr-FR"/>
        </w:rPr>
        <w:t>a connaissance d</w:t>
      </w:r>
      <w:r w:rsidR="00101CC2">
        <w:rPr>
          <w:lang w:val="fr-FR"/>
        </w:rPr>
        <w:t>’</w:t>
      </w:r>
      <w:r w:rsidRPr="003442EC">
        <w:rPr>
          <w:lang w:val="fr-FR"/>
        </w:rPr>
        <w:t xml:space="preserve">aucune nécessité de transporter de bouteilles conformes à la réglementation du </w:t>
      </w:r>
      <w:proofErr w:type="spellStart"/>
      <w:r w:rsidRPr="003442EC">
        <w:rPr>
          <w:lang w:val="fr-FR"/>
        </w:rPr>
        <w:t>DoT</w:t>
      </w:r>
      <w:proofErr w:type="spellEnd"/>
      <w:r w:rsidRPr="003442EC">
        <w:rPr>
          <w:lang w:val="fr-FR"/>
        </w:rPr>
        <w:t xml:space="preserve"> par voie navigable, mais a inclus cette option dans le souci de préserver l</w:t>
      </w:r>
      <w:r w:rsidR="00101CC2">
        <w:rPr>
          <w:lang w:val="fr-FR"/>
        </w:rPr>
        <w:t>’</w:t>
      </w:r>
      <w:r w:rsidRPr="003442EC">
        <w:rPr>
          <w:lang w:val="fr-FR"/>
        </w:rPr>
        <w:t>harmonisation des différents modes de transport.</w:t>
      </w:r>
      <w:bookmarkEnd w:id="14"/>
    </w:p>
    <w:p w:rsidR="003F3880" w:rsidRPr="00ED3669" w:rsidRDefault="003F3880" w:rsidP="003F3880">
      <w:pPr>
        <w:pStyle w:val="SingleTxtG"/>
        <w:spacing w:before="120"/>
        <w:rPr>
          <w:lang w:val="fr-FR"/>
        </w:rPr>
      </w:pPr>
      <w:bookmarkStart w:id="15" w:name="bookmark_31"/>
      <w:r w:rsidRPr="003442EC">
        <w:rPr>
          <w:lang w:val="fr-FR"/>
        </w:rPr>
        <w:t>8.</w:t>
      </w:r>
      <w:r w:rsidRPr="003442EC">
        <w:rPr>
          <w:lang w:val="fr-FR"/>
        </w:rPr>
        <w:tab/>
        <w:t>L</w:t>
      </w:r>
      <w:r w:rsidR="00101CC2">
        <w:rPr>
          <w:lang w:val="fr-FR"/>
        </w:rPr>
        <w:t>’</w:t>
      </w:r>
      <w:r w:rsidRPr="003442EC">
        <w:rPr>
          <w:lang w:val="fr-FR"/>
        </w:rPr>
        <w:t>EIGA suggère que le lieu le plus approprié pour ce texte est la section</w:t>
      </w:r>
      <w:r w:rsidR="00ED3669">
        <w:rPr>
          <w:lang w:val="fr-FR"/>
        </w:rPr>
        <w:t> </w:t>
      </w:r>
      <w:r w:rsidRPr="003442EC">
        <w:rPr>
          <w:lang w:val="fr-FR"/>
        </w:rPr>
        <w:t>1.1.4 du RID/ADR/ADN «</w:t>
      </w:r>
      <w:r w:rsidR="00ED3669">
        <w:rPr>
          <w:lang w:val="fr-FR"/>
        </w:rPr>
        <w:t> </w:t>
      </w:r>
      <w:r w:rsidRPr="003442EC">
        <w:rPr>
          <w:lang w:val="fr-FR"/>
        </w:rPr>
        <w:t>Applicabilité d</w:t>
      </w:r>
      <w:r w:rsidR="00101CC2">
        <w:rPr>
          <w:lang w:val="fr-FR"/>
        </w:rPr>
        <w:t>’</w:t>
      </w:r>
      <w:r w:rsidRPr="003442EC">
        <w:rPr>
          <w:lang w:val="fr-FR"/>
        </w:rPr>
        <w:t>autres règlements</w:t>
      </w:r>
      <w:r w:rsidR="00ED3669">
        <w:rPr>
          <w:lang w:val="fr-FR"/>
        </w:rPr>
        <w:t> </w:t>
      </w:r>
      <w:r w:rsidRPr="003442EC">
        <w:rPr>
          <w:lang w:val="fr-FR"/>
        </w:rPr>
        <w:t>».</w:t>
      </w:r>
      <w:bookmarkEnd w:id="15"/>
    </w:p>
    <w:p w:rsidR="003F3880" w:rsidRPr="003442EC" w:rsidRDefault="003F3880" w:rsidP="00ED3669">
      <w:pPr>
        <w:spacing w:before="120" w:after="120"/>
        <w:ind w:left="2268" w:right="1134" w:hanging="1134"/>
        <w:jc w:val="both"/>
        <w:rPr>
          <w:lang w:val="fr-FR"/>
        </w:rPr>
      </w:pPr>
      <w:bookmarkStart w:id="16" w:name="bookmark_32"/>
      <w:r w:rsidRPr="003442EC">
        <w:rPr>
          <w:lang w:val="fr-FR"/>
        </w:rPr>
        <w:t>«</w:t>
      </w:r>
      <w:r w:rsidR="00ED3669">
        <w:rPr>
          <w:lang w:val="fr-FR"/>
        </w:rPr>
        <w:t> </w:t>
      </w:r>
      <w:r w:rsidRPr="003442EC">
        <w:rPr>
          <w:lang w:val="fr-FR"/>
        </w:rPr>
        <w:t>1.1.4.6</w:t>
      </w:r>
      <w:r w:rsidRPr="003442EC">
        <w:rPr>
          <w:lang w:val="fr-FR"/>
        </w:rPr>
        <w:tab/>
      </w:r>
      <w:r w:rsidRPr="00636052">
        <w:rPr>
          <w:lang w:val="fr-FR"/>
        </w:rPr>
        <w:tab/>
      </w:r>
      <w:r w:rsidRPr="00636052">
        <w:rPr>
          <w:iCs/>
          <w:lang w:val="fr-FR"/>
        </w:rPr>
        <w:t>(</w:t>
      </w:r>
      <w:r w:rsidRPr="003442EC">
        <w:rPr>
          <w:i/>
          <w:iCs/>
          <w:lang w:val="fr-FR"/>
        </w:rPr>
        <w:t>Réservé</w:t>
      </w:r>
      <w:r w:rsidRPr="00636052">
        <w:rPr>
          <w:iCs/>
          <w:lang w:val="fr-FR"/>
        </w:rPr>
        <w:t>)</w:t>
      </w:r>
      <w:r w:rsidRPr="003442EC">
        <w:rPr>
          <w:lang w:val="fr-FR"/>
        </w:rPr>
        <w:tab/>
        <w:t>(ADR uniquement)</w:t>
      </w:r>
      <w:bookmarkEnd w:id="16"/>
    </w:p>
    <w:p w:rsidR="003F3880" w:rsidRPr="003442EC" w:rsidRDefault="003F3880" w:rsidP="003F3880">
      <w:pPr>
        <w:spacing w:before="120" w:after="120"/>
        <w:ind w:left="2268" w:right="1134" w:hanging="1134"/>
        <w:jc w:val="both"/>
        <w:rPr>
          <w:lang w:val="fr-FR"/>
        </w:rPr>
      </w:pPr>
      <w:bookmarkStart w:id="17" w:name="bookmark_33"/>
      <w:r w:rsidRPr="003442EC">
        <w:rPr>
          <w:lang w:val="fr-FR"/>
        </w:rPr>
        <w:t>1.1.4.7</w:t>
      </w:r>
      <w:r w:rsidRPr="003442EC">
        <w:rPr>
          <w:lang w:val="fr-FR"/>
        </w:rPr>
        <w:tab/>
      </w:r>
      <w:r w:rsidRPr="003442EC">
        <w:rPr>
          <w:lang w:val="fr-FR"/>
        </w:rPr>
        <w:tab/>
        <w:t>En dérogation aux dispositions des 6.2.3.4, 6.2.3.5, 6.2.3.6, 6.2.3.7, 6.2.3.8 et 6.2.3.9 de l</w:t>
      </w:r>
      <w:r w:rsidR="00101CC2">
        <w:rPr>
          <w:lang w:val="fr-FR"/>
        </w:rPr>
        <w:t>’</w:t>
      </w:r>
      <w:r w:rsidRPr="003442EC">
        <w:rPr>
          <w:lang w:val="fr-FR"/>
        </w:rPr>
        <w:t>ADR/du RID, les gaz et les liquides mentionnés dans les tableaux des instructions d</w:t>
      </w:r>
      <w:r w:rsidR="00101CC2">
        <w:rPr>
          <w:lang w:val="fr-FR"/>
        </w:rPr>
        <w:t>’</w:t>
      </w:r>
      <w:r w:rsidRPr="003442EC">
        <w:rPr>
          <w:lang w:val="fr-FR"/>
        </w:rPr>
        <w:t>emballage P200 et P208 du 4.1.4.1 de l</w:t>
      </w:r>
      <w:r w:rsidR="00101CC2">
        <w:rPr>
          <w:lang w:val="fr-FR"/>
        </w:rPr>
        <w:t>’</w:t>
      </w:r>
      <w:r w:rsidRPr="003442EC">
        <w:rPr>
          <w:lang w:val="fr-FR"/>
        </w:rPr>
        <w:t>ADR/du RID et importés conformément au 1.1.4.2 dans des récipients à pression rechargeables agréés par le Département des transports des États-Unis d</w:t>
      </w:r>
      <w:r w:rsidR="00101CC2">
        <w:rPr>
          <w:lang w:val="fr-FR"/>
        </w:rPr>
        <w:t>’</w:t>
      </w:r>
      <w:r w:rsidRPr="003442EC">
        <w:rPr>
          <w:lang w:val="fr-FR"/>
        </w:rPr>
        <w:t>Amérique peuvent être transportés depuis leur emplacement d</w:t>
      </w:r>
      <w:r w:rsidR="00101CC2">
        <w:rPr>
          <w:lang w:val="fr-FR"/>
        </w:rPr>
        <w:t>’</w:t>
      </w:r>
      <w:r w:rsidRPr="003442EC">
        <w:rPr>
          <w:lang w:val="fr-FR"/>
        </w:rPr>
        <w:t>entreposage temporaire jusqu</w:t>
      </w:r>
      <w:r w:rsidR="00101CC2">
        <w:rPr>
          <w:lang w:val="fr-FR"/>
        </w:rPr>
        <w:t>’</w:t>
      </w:r>
      <w:r w:rsidRPr="003442EC">
        <w:rPr>
          <w:lang w:val="fr-FR"/>
        </w:rPr>
        <w:t>aux utilisateurs finaux, en respectant les conditions suivantes</w:t>
      </w:r>
      <w:r w:rsidR="00BC2530">
        <w:rPr>
          <w:lang w:val="fr-FR"/>
        </w:rPr>
        <w:t> </w:t>
      </w:r>
      <w:r w:rsidRPr="003442EC">
        <w:rPr>
          <w:lang w:val="fr-FR"/>
        </w:rPr>
        <w:t>:</w:t>
      </w:r>
      <w:bookmarkEnd w:id="17"/>
    </w:p>
    <w:p w:rsidR="003F3880" w:rsidRPr="003442EC" w:rsidRDefault="003F3880" w:rsidP="003F3880">
      <w:pPr>
        <w:pStyle w:val="SingleTxtG"/>
        <w:ind w:left="2835" w:hanging="567"/>
        <w:rPr>
          <w:lang w:val="fr-FR"/>
        </w:rPr>
      </w:pPr>
      <w:bookmarkStart w:id="18" w:name="bookmark_34"/>
      <w:r w:rsidRPr="003442EC">
        <w:rPr>
          <w:lang w:val="fr-FR"/>
        </w:rPr>
        <w:t>a)</w:t>
      </w:r>
      <w:r w:rsidRPr="003442EC">
        <w:rPr>
          <w:lang w:val="fr-FR"/>
        </w:rPr>
        <w:tab/>
        <w:t>Si les récipients à pression sont importés d</w:t>
      </w:r>
      <w:r w:rsidR="00101CC2">
        <w:rPr>
          <w:lang w:val="fr-FR"/>
        </w:rPr>
        <w:t>’</w:t>
      </w:r>
      <w:r w:rsidRPr="003442EC">
        <w:rPr>
          <w:lang w:val="fr-FR"/>
        </w:rPr>
        <w:t>un État qui n</w:t>
      </w:r>
      <w:r w:rsidR="00101CC2">
        <w:rPr>
          <w:lang w:val="fr-FR"/>
        </w:rPr>
        <w:t>’</w:t>
      </w:r>
      <w:r w:rsidRPr="003442EC">
        <w:rPr>
          <w:lang w:val="fr-FR"/>
        </w:rPr>
        <w:t>a adhéré ni à l</w:t>
      </w:r>
      <w:r w:rsidR="00101CC2">
        <w:rPr>
          <w:lang w:val="fr-FR"/>
        </w:rPr>
        <w:t>’</w:t>
      </w:r>
      <w:r w:rsidRPr="003442EC">
        <w:rPr>
          <w:lang w:val="fr-FR"/>
        </w:rPr>
        <w:t>ADR, ni au RID</w:t>
      </w:r>
      <w:r w:rsidR="00BC2530">
        <w:rPr>
          <w:lang w:val="fr-FR"/>
        </w:rPr>
        <w:t>,</w:t>
      </w:r>
      <w:r w:rsidRPr="003442EC">
        <w:rPr>
          <w:lang w:val="fr-FR"/>
        </w:rPr>
        <w:t xml:space="preserve"> ni à l</w:t>
      </w:r>
      <w:r w:rsidR="00101CC2">
        <w:rPr>
          <w:lang w:val="fr-FR"/>
        </w:rPr>
        <w:t>’</w:t>
      </w:r>
      <w:r w:rsidRPr="003442EC">
        <w:rPr>
          <w:lang w:val="fr-FR"/>
        </w:rPr>
        <w:t>ADN, leur conformité au présent Accord doit être vérifiée et consignée par l</w:t>
      </w:r>
      <w:r w:rsidR="00101CC2">
        <w:rPr>
          <w:lang w:val="fr-FR"/>
        </w:rPr>
        <w:t>’</w:t>
      </w:r>
      <w:r w:rsidRPr="003442EC">
        <w:rPr>
          <w:lang w:val="fr-FR"/>
        </w:rPr>
        <w:t>expéditeur. La fiche de vérification doit être conservée pendant cinq ans, de façon à permettre à l</w:t>
      </w:r>
      <w:r w:rsidR="00101CC2">
        <w:rPr>
          <w:lang w:val="fr-FR"/>
        </w:rPr>
        <w:t>’</w:t>
      </w:r>
      <w:r w:rsidRPr="003442EC">
        <w:rPr>
          <w:lang w:val="fr-FR"/>
        </w:rPr>
        <w:t>autorité compétente d</w:t>
      </w:r>
      <w:r w:rsidR="00101CC2">
        <w:rPr>
          <w:lang w:val="fr-FR"/>
        </w:rPr>
        <w:t>’</w:t>
      </w:r>
      <w:r w:rsidRPr="003442EC">
        <w:rPr>
          <w:lang w:val="fr-FR"/>
        </w:rPr>
        <w:t>effectuer un contrôle, et doit comporter le numéro d</w:t>
      </w:r>
      <w:r w:rsidR="00101CC2">
        <w:rPr>
          <w:lang w:val="fr-FR"/>
        </w:rPr>
        <w:t>’</w:t>
      </w:r>
      <w:r w:rsidRPr="003442EC">
        <w:rPr>
          <w:lang w:val="fr-FR"/>
        </w:rPr>
        <w:t>identification du récipient à pression, le nom de la personne ayant vérifié le récipient et la date de la vérification</w:t>
      </w:r>
      <w:bookmarkEnd w:id="18"/>
      <w:r w:rsidRPr="003442EC">
        <w:rPr>
          <w:lang w:val="fr-FR"/>
        </w:rPr>
        <w:t> ;</w:t>
      </w:r>
    </w:p>
    <w:p w:rsidR="003F3880" w:rsidRPr="003442EC" w:rsidRDefault="003F3880" w:rsidP="003F3880">
      <w:pPr>
        <w:pStyle w:val="SingleTxtG"/>
        <w:ind w:left="2835" w:hanging="567"/>
        <w:rPr>
          <w:lang w:val="fr-FR"/>
        </w:rPr>
      </w:pPr>
      <w:bookmarkStart w:id="19" w:name="bookmark_35"/>
      <w:r w:rsidRPr="003442EC">
        <w:rPr>
          <w:lang w:val="fr-FR"/>
        </w:rPr>
        <w:t>b)</w:t>
      </w:r>
      <w:r w:rsidRPr="003442EC">
        <w:rPr>
          <w:lang w:val="fr-FR"/>
        </w:rPr>
        <w:tab/>
        <w:t>Les récipients à pression doivent être marqués et étiquetés conforméme</w:t>
      </w:r>
      <w:r w:rsidR="00F97784">
        <w:rPr>
          <w:lang w:val="fr-FR"/>
        </w:rPr>
        <w:t>nt aux dispositions du chapitre </w:t>
      </w:r>
      <w:r w:rsidRPr="003442EC">
        <w:rPr>
          <w:lang w:val="fr-FR"/>
        </w:rPr>
        <w:t>5.2 du RID, de l</w:t>
      </w:r>
      <w:r w:rsidR="00101CC2">
        <w:rPr>
          <w:lang w:val="fr-FR"/>
        </w:rPr>
        <w:t>’</w:t>
      </w:r>
      <w:r w:rsidRPr="003442EC">
        <w:rPr>
          <w:lang w:val="fr-FR"/>
        </w:rPr>
        <w:t>ADR ou de l</w:t>
      </w:r>
      <w:r w:rsidR="00101CC2">
        <w:rPr>
          <w:lang w:val="fr-FR"/>
        </w:rPr>
        <w:t>’</w:t>
      </w:r>
      <w:r w:rsidRPr="003442EC">
        <w:rPr>
          <w:lang w:val="fr-FR"/>
        </w:rPr>
        <w:t>ADN</w:t>
      </w:r>
      <w:bookmarkEnd w:id="19"/>
      <w:r w:rsidRPr="003442EC">
        <w:rPr>
          <w:lang w:val="fr-FR"/>
        </w:rPr>
        <w:t> ;</w:t>
      </w:r>
    </w:p>
    <w:p w:rsidR="003F3880" w:rsidRPr="003442EC" w:rsidRDefault="003F3880" w:rsidP="003F3880">
      <w:pPr>
        <w:pStyle w:val="SingleTxtG"/>
        <w:ind w:left="2835" w:hanging="567"/>
        <w:rPr>
          <w:lang w:val="fr-FR"/>
        </w:rPr>
      </w:pPr>
      <w:bookmarkStart w:id="20" w:name="bookmark_36"/>
      <w:r w:rsidRPr="003442EC">
        <w:rPr>
          <w:lang w:val="fr-FR"/>
        </w:rPr>
        <w:t>c)</w:t>
      </w:r>
      <w:r w:rsidRPr="003442EC">
        <w:rPr>
          <w:lang w:val="fr-FR"/>
        </w:rPr>
        <w:tab/>
        <w:t>Toutes les prescriptions pertinentes du RID, de l</w:t>
      </w:r>
      <w:r w:rsidR="00101CC2">
        <w:rPr>
          <w:lang w:val="fr-FR"/>
        </w:rPr>
        <w:t>’</w:t>
      </w:r>
      <w:r w:rsidRPr="003442EC">
        <w:rPr>
          <w:lang w:val="fr-FR"/>
        </w:rPr>
        <w:t>ADR ou de l</w:t>
      </w:r>
      <w:r w:rsidR="00101CC2">
        <w:rPr>
          <w:lang w:val="fr-FR"/>
        </w:rPr>
        <w:t>’</w:t>
      </w:r>
      <w:r w:rsidRPr="003442EC">
        <w:rPr>
          <w:lang w:val="fr-FR"/>
        </w:rPr>
        <w:t>ADN relatives au taux de remplissage et à la périodicité des épreuves doivent être observées</w:t>
      </w:r>
      <w:bookmarkEnd w:id="20"/>
      <w:r w:rsidRPr="003442EC">
        <w:rPr>
          <w:lang w:val="fr-FR"/>
        </w:rPr>
        <w:t> ;</w:t>
      </w:r>
    </w:p>
    <w:p w:rsidR="003F3880" w:rsidRPr="003442EC" w:rsidRDefault="003F3880" w:rsidP="003F3880">
      <w:pPr>
        <w:pStyle w:val="SingleTxtG"/>
        <w:ind w:left="2835" w:hanging="567"/>
        <w:rPr>
          <w:lang w:val="fr-FR"/>
        </w:rPr>
      </w:pPr>
      <w:bookmarkStart w:id="21" w:name="bookmark_37"/>
      <w:r w:rsidRPr="003442EC">
        <w:rPr>
          <w:lang w:val="fr-FR"/>
        </w:rPr>
        <w:t>d)</w:t>
      </w:r>
      <w:r w:rsidRPr="003442EC">
        <w:rPr>
          <w:lang w:val="fr-FR"/>
        </w:rPr>
        <w:tab/>
        <w:t>Lorsqu</w:t>
      </w:r>
      <w:r w:rsidR="00101CC2">
        <w:rPr>
          <w:lang w:val="fr-FR"/>
        </w:rPr>
        <w:t>’</w:t>
      </w:r>
      <w:r w:rsidRPr="003442EC">
        <w:rPr>
          <w:lang w:val="fr-FR"/>
        </w:rPr>
        <w:t>ils sont vides ou que l</w:t>
      </w:r>
      <w:r w:rsidR="00101CC2">
        <w:rPr>
          <w:lang w:val="fr-FR"/>
        </w:rPr>
        <w:t>’</w:t>
      </w:r>
      <w:r w:rsidRPr="003442EC">
        <w:rPr>
          <w:lang w:val="fr-FR"/>
        </w:rPr>
        <w:t>utilisateur final n</w:t>
      </w:r>
      <w:r w:rsidR="00101CC2">
        <w:rPr>
          <w:lang w:val="fr-FR"/>
        </w:rPr>
        <w:t>’</w:t>
      </w:r>
      <w:r w:rsidRPr="003442EC">
        <w:rPr>
          <w:lang w:val="fr-FR"/>
        </w:rPr>
        <w:t>a plus l</w:t>
      </w:r>
      <w:r w:rsidR="00101CC2">
        <w:rPr>
          <w:lang w:val="fr-FR"/>
        </w:rPr>
        <w:t>’</w:t>
      </w:r>
      <w:r w:rsidRPr="003442EC">
        <w:rPr>
          <w:lang w:val="fr-FR"/>
        </w:rPr>
        <w:t>usage du gaz ou du liquide qu</w:t>
      </w:r>
      <w:r w:rsidR="00101CC2">
        <w:rPr>
          <w:lang w:val="fr-FR"/>
        </w:rPr>
        <w:t>’</w:t>
      </w:r>
      <w:r w:rsidRPr="003442EC">
        <w:rPr>
          <w:lang w:val="fr-FR"/>
        </w:rPr>
        <w:t xml:space="preserve">ils contiennent, </w:t>
      </w:r>
      <w:bookmarkEnd w:id="21"/>
      <w:r w:rsidRPr="003442EC">
        <w:rPr>
          <w:lang w:val="fr-FR"/>
        </w:rPr>
        <w:t>les récipients à pression ne doivent pas être remplis à nouveau et doivent être réexportés vers le pays d</w:t>
      </w:r>
      <w:r w:rsidR="00101CC2">
        <w:rPr>
          <w:lang w:val="fr-FR"/>
        </w:rPr>
        <w:t>’</w:t>
      </w:r>
      <w:r w:rsidRPr="003442EC">
        <w:rPr>
          <w:lang w:val="fr-FR"/>
        </w:rPr>
        <w:t>origine ;</w:t>
      </w:r>
    </w:p>
    <w:p w:rsidR="003F3880" w:rsidRPr="003442EC" w:rsidRDefault="003F3880" w:rsidP="003F3880">
      <w:pPr>
        <w:pStyle w:val="SingleTxtG"/>
        <w:ind w:left="2835" w:hanging="567"/>
        <w:rPr>
          <w:lang w:val="fr-FR"/>
        </w:rPr>
      </w:pPr>
      <w:bookmarkStart w:id="22" w:name="bookmark_38"/>
      <w:r w:rsidRPr="003442EC">
        <w:rPr>
          <w:lang w:val="fr-FR"/>
        </w:rPr>
        <w:t>e)</w:t>
      </w:r>
      <w:r w:rsidRPr="003442EC">
        <w:rPr>
          <w:lang w:val="fr-FR"/>
        </w:rPr>
        <w:tab/>
        <w:t>Les récipients à pression importés agréés par le Département des transports des États-Unis d</w:t>
      </w:r>
      <w:r w:rsidR="00101CC2">
        <w:rPr>
          <w:lang w:val="fr-FR"/>
        </w:rPr>
        <w:t>’</w:t>
      </w:r>
      <w:r w:rsidRPr="003442EC">
        <w:rPr>
          <w:lang w:val="fr-FR"/>
        </w:rPr>
        <w:t>Amérique peuvent être remplis de gaz ou de liquide énumérés dans les tableaux de l</w:t>
      </w:r>
      <w:r w:rsidR="00101CC2">
        <w:rPr>
          <w:lang w:val="fr-FR"/>
        </w:rPr>
        <w:t>’</w:t>
      </w:r>
      <w:r w:rsidRPr="003442EC">
        <w:rPr>
          <w:lang w:val="fr-FR"/>
        </w:rPr>
        <w:t>instruction d</w:t>
      </w:r>
      <w:r w:rsidR="00101CC2">
        <w:rPr>
          <w:lang w:val="fr-FR"/>
        </w:rPr>
        <w:t>’</w:t>
      </w:r>
      <w:r w:rsidRPr="003442EC">
        <w:rPr>
          <w:lang w:val="fr-FR"/>
        </w:rPr>
        <w:t xml:space="preserve">emballage </w:t>
      </w:r>
      <w:r w:rsidRPr="003442EC">
        <w:rPr>
          <w:lang w:val="fr-FR"/>
        </w:rPr>
        <w:lastRenderedPageBreak/>
        <w:t>P200 du paragraphe</w:t>
      </w:r>
      <w:r w:rsidR="00F97784">
        <w:rPr>
          <w:lang w:val="fr-FR"/>
        </w:rPr>
        <w:t> </w:t>
      </w:r>
      <w:r w:rsidRPr="003442EC">
        <w:rPr>
          <w:lang w:val="fr-FR"/>
        </w:rPr>
        <w:t>4.1.4.1 de l</w:t>
      </w:r>
      <w:r w:rsidR="00101CC2">
        <w:rPr>
          <w:lang w:val="fr-FR"/>
        </w:rPr>
        <w:t>’</w:t>
      </w:r>
      <w:r w:rsidRPr="003442EC">
        <w:rPr>
          <w:lang w:val="fr-FR"/>
        </w:rPr>
        <w:t>ADR/du RID, à condition qu</w:t>
      </w:r>
      <w:r w:rsidR="00101CC2">
        <w:rPr>
          <w:lang w:val="fr-FR"/>
        </w:rPr>
        <w:t>’</w:t>
      </w:r>
      <w:r w:rsidRPr="003442EC">
        <w:rPr>
          <w:lang w:val="fr-FR"/>
        </w:rPr>
        <w:t>ils soient exportés vers des pays qui ne sont pas des États membres du RID/Parties contractantes à l</w:t>
      </w:r>
      <w:r w:rsidR="00101CC2">
        <w:rPr>
          <w:lang w:val="fr-FR"/>
        </w:rPr>
        <w:t>’</w:t>
      </w:r>
      <w:r w:rsidRPr="003442EC">
        <w:rPr>
          <w:lang w:val="fr-FR"/>
        </w:rPr>
        <w:t>ADR/Parties contractantes à l</w:t>
      </w:r>
      <w:r w:rsidR="00101CC2">
        <w:rPr>
          <w:lang w:val="fr-FR"/>
        </w:rPr>
        <w:t>’</w:t>
      </w:r>
      <w:r w:rsidRPr="003442EC">
        <w:rPr>
          <w:lang w:val="fr-FR"/>
        </w:rPr>
        <w:t>ADN. Toutes les prescriptions pertinentes du RID ou de l</w:t>
      </w:r>
      <w:r w:rsidR="00101CC2">
        <w:rPr>
          <w:lang w:val="fr-FR"/>
        </w:rPr>
        <w:t>’</w:t>
      </w:r>
      <w:r w:rsidRPr="003442EC">
        <w:rPr>
          <w:lang w:val="fr-FR"/>
        </w:rPr>
        <w:t>ADR relatives au taux de remplissage et à la périodicité des épreuves doivent être observées. Les récipients à pression doivent être marqués et étiquetés conformément aux dispositions du chapitre</w:t>
      </w:r>
      <w:r w:rsidR="009521E8">
        <w:rPr>
          <w:lang w:val="fr-FR"/>
        </w:rPr>
        <w:t> </w:t>
      </w:r>
      <w:r w:rsidRPr="003442EC">
        <w:rPr>
          <w:lang w:val="fr-FR"/>
        </w:rPr>
        <w:t>5</w:t>
      </w:r>
      <w:r w:rsidR="00B62FA4">
        <w:rPr>
          <w:lang w:val="fr-FR"/>
        </w:rPr>
        <w:t>.2</w:t>
      </w:r>
      <w:r w:rsidRPr="003442EC">
        <w:rPr>
          <w:lang w:val="fr-FR"/>
        </w:rPr>
        <w:t xml:space="preserve"> du RID, de l</w:t>
      </w:r>
      <w:r w:rsidR="00101CC2">
        <w:rPr>
          <w:lang w:val="fr-FR"/>
        </w:rPr>
        <w:t>’</w:t>
      </w:r>
      <w:r w:rsidRPr="003442EC">
        <w:rPr>
          <w:lang w:val="fr-FR"/>
        </w:rPr>
        <w:t>ADR ou de l</w:t>
      </w:r>
      <w:r w:rsidR="00101CC2">
        <w:rPr>
          <w:lang w:val="fr-FR"/>
        </w:rPr>
        <w:t>’</w:t>
      </w:r>
      <w:r w:rsidRPr="003442EC">
        <w:rPr>
          <w:lang w:val="fr-FR"/>
        </w:rPr>
        <w:t>ADN</w:t>
      </w:r>
      <w:bookmarkEnd w:id="22"/>
      <w:r w:rsidRPr="003442EC">
        <w:rPr>
          <w:lang w:val="fr-FR"/>
        </w:rPr>
        <w:t> ;</w:t>
      </w:r>
    </w:p>
    <w:p w:rsidR="003F3880" w:rsidRPr="003442EC" w:rsidRDefault="003F3880" w:rsidP="003F3880">
      <w:pPr>
        <w:pStyle w:val="SingleTxtG"/>
        <w:ind w:left="2835" w:hanging="567"/>
        <w:rPr>
          <w:lang w:val="fr-FR"/>
        </w:rPr>
      </w:pPr>
      <w:bookmarkStart w:id="23" w:name="bookmark_39"/>
      <w:r w:rsidRPr="003442EC">
        <w:rPr>
          <w:lang w:val="fr-FR"/>
        </w:rPr>
        <w:t>f)</w:t>
      </w:r>
      <w:r w:rsidRPr="003442EC">
        <w:rPr>
          <w:lang w:val="fr-FR"/>
        </w:rPr>
        <w:tab/>
        <w:t>L</w:t>
      </w:r>
      <w:r w:rsidR="00101CC2">
        <w:rPr>
          <w:lang w:val="fr-FR"/>
        </w:rPr>
        <w:t>’</w:t>
      </w:r>
      <w:r w:rsidRPr="003442EC">
        <w:rPr>
          <w:lang w:val="fr-FR"/>
        </w:rPr>
        <w:t>expéditeur chargé du trajet ADR/</w:t>
      </w:r>
      <w:r w:rsidR="00B62FA4">
        <w:rPr>
          <w:lang w:val="fr-FR"/>
        </w:rPr>
        <w:t>RID/</w:t>
      </w:r>
      <w:r w:rsidRPr="003442EC">
        <w:rPr>
          <w:lang w:val="fr-FR"/>
        </w:rPr>
        <w:t>ADN doit inscrire la mention suivante dans le document de transport</w:t>
      </w:r>
      <w:bookmarkEnd w:id="23"/>
      <w:r>
        <w:rPr>
          <w:lang w:val="fr-FR"/>
        </w:rPr>
        <w:t> :</w:t>
      </w:r>
    </w:p>
    <w:p w:rsidR="003F3880" w:rsidRDefault="00101CC2" w:rsidP="00101CC2">
      <w:pPr>
        <w:pStyle w:val="SingleTxtG"/>
        <w:ind w:left="3402"/>
        <w:rPr>
          <w:lang w:val="fr-FR"/>
        </w:rPr>
      </w:pPr>
      <w:bookmarkStart w:id="24" w:name="bookmark_40"/>
      <w:r>
        <w:rPr>
          <w:lang w:val="en-US"/>
        </w:rPr>
        <w:t>“</w:t>
      </w:r>
      <w:r w:rsidR="003F3880" w:rsidRPr="003442EC">
        <w:rPr>
          <w:lang w:val="fr-FR"/>
        </w:rPr>
        <w:t>Transport conformément au paragraphe 1.1.4.7</w:t>
      </w:r>
      <w:r>
        <w:rPr>
          <w:lang w:val="en-US"/>
        </w:rPr>
        <w:t>”</w:t>
      </w:r>
      <w:r w:rsidR="003F3880" w:rsidRPr="003442EC">
        <w:rPr>
          <w:lang w:val="fr-FR"/>
        </w:rPr>
        <w:t>.</w:t>
      </w:r>
      <w:r>
        <w:rPr>
          <w:lang w:val="fr-FR"/>
        </w:rPr>
        <w:t> </w:t>
      </w:r>
      <w:r w:rsidR="003F3880" w:rsidRPr="003442EC">
        <w:rPr>
          <w:lang w:val="fr-FR"/>
        </w:rPr>
        <w:t>».</w:t>
      </w:r>
      <w:bookmarkEnd w:id="24"/>
    </w:p>
    <w:p w:rsidR="00101CC2" w:rsidRPr="00101CC2" w:rsidRDefault="00101CC2" w:rsidP="00101CC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101CC2" w:rsidRPr="00101CC2" w:rsidSect="00D55E1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18" w:rsidRDefault="00B84718" w:rsidP="00F95C08">
      <w:pPr>
        <w:spacing w:line="240" w:lineRule="auto"/>
      </w:pPr>
    </w:p>
  </w:endnote>
  <w:endnote w:type="continuationSeparator" w:id="0">
    <w:p w:rsidR="00B84718" w:rsidRPr="00AC3823" w:rsidRDefault="00B84718" w:rsidP="00AC3823">
      <w:pPr>
        <w:pStyle w:val="Footer"/>
      </w:pPr>
    </w:p>
  </w:endnote>
  <w:endnote w:type="continuationNotice" w:id="1">
    <w:p w:rsidR="00B84718" w:rsidRDefault="00B847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1F" w:rsidRPr="00D55E1F" w:rsidRDefault="00D55E1F" w:rsidP="00D55E1F">
    <w:pPr>
      <w:pStyle w:val="Footer"/>
      <w:tabs>
        <w:tab w:val="right" w:pos="9638"/>
      </w:tabs>
    </w:pPr>
    <w:r w:rsidRPr="00D55E1F">
      <w:rPr>
        <w:b/>
        <w:sz w:val="18"/>
      </w:rPr>
      <w:fldChar w:fldCharType="begin"/>
    </w:r>
    <w:r w:rsidRPr="00D55E1F">
      <w:rPr>
        <w:b/>
        <w:sz w:val="18"/>
      </w:rPr>
      <w:instrText xml:space="preserve"> PAGE  \* MERGEFORMAT </w:instrText>
    </w:r>
    <w:r w:rsidRPr="00D55E1F">
      <w:rPr>
        <w:b/>
        <w:sz w:val="18"/>
      </w:rPr>
      <w:fldChar w:fldCharType="separate"/>
    </w:r>
    <w:r w:rsidR="00C11D06">
      <w:rPr>
        <w:b/>
        <w:noProof/>
        <w:sz w:val="18"/>
      </w:rPr>
      <w:t>2</w:t>
    </w:r>
    <w:r w:rsidRPr="00D55E1F">
      <w:rPr>
        <w:b/>
        <w:sz w:val="18"/>
      </w:rPr>
      <w:fldChar w:fldCharType="end"/>
    </w:r>
    <w:r>
      <w:rPr>
        <w:b/>
        <w:sz w:val="18"/>
      </w:rPr>
      <w:tab/>
    </w:r>
    <w:r>
      <w:t>GE.17-23040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1F" w:rsidRPr="00D55E1F" w:rsidRDefault="00D55E1F" w:rsidP="00D55E1F">
    <w:pPr>
      <w:pStyle w:val="Footer"/>
      <w:tabs>
        <w:tab w:val="right" w:pos="9638"/>
      </w:tabs>
      <w:rPr>
        <w:b/>
        <w:sz w:val="18"/>
      </w:rPr>
    </w:pPr>
    <w:r>
      <w:t>GE.17-23040</w:t>
    </w:r>
    <w:r>
      <w:tab/>
    </w:r>
    <w:r w:rsidRPr="00D55E1F">
      <w:rPr>
        <w:b/>
        <w:sz w:val="18"/>
      </w:rPr>
      <w:fldChar w:fldCharType="begin"/>
    </w:r>
    <w:r w:rsidRPr="00D55E1F">
      <w:rPr>
        <w:b/>
        <w:sz w:val="18"/>
      </w:rPr>
      <w:instrText xml:space="preserve"> PAGE  \* MERGEFORMAT </w:instrText>
    </w:r>
    <w:r w:rsidRPr="00D55E1F">
      <w:rPr>
        <w:b/>
        <w:sz w:val="18"/>
      </w:rPr>
      <w:fldChar w:fldCharType="separate"/>
    </w:r>
    <w:r w:rsidR="00C11D06">
      <w:rPr>
        <w:b/>
        <w:noProof/>
        <w:sz w:val="18"/>
      </w:rPr>
      <w:t>3</w:t>
    </w:r>
    <w:r w:rsidRPr="00D55E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D55E1F" w:rsidRDefault="00D55E1F" w:rsidP="00D55E1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17-23040  (F)</w:t>
    </w:r>
    <w:r w:rsidR="00E70DC0">
      <w:rPr>
        <w:sz w:val="20"/>
      </w:rPr>
      <w:t xml:space="preserve">    110118    110118</w:t>
    </w:r>
    <w:r>
      <w:rPr>
        <w:sz w:val="20"/>
      </w:rPr>
      <w:br/>
    </w:r>
    <w:r w:rsidRPr="00D55E1F">
      <w:rPr>
        <w:rFonts w:ascii="C39T30Lfz" w:hAnsi="C39T30Lfz"/>
        <w:sz w:val="56"/>
      </w:rPr>
      <w:t></w:t>
    </w:r>
    <w:r w:rsidRPr="00D55E1F">
      <w:rPr>
        <w:rFonts w:ascii="C39T30Lfz" w:hAnsi="C39T30Lfz"/>
        <w:sz w:val="56"/>
      </w:rPr>
      <w:t></w:t>
    </w:r>
    <w:r w:rsidRPr="00D55E1F">
      <w:rPr>
        <w:rFonts w:ascii="C39T30Lfz" w:hAnsi="C39T30Lfz"/>
        <w:sz w:val="56"/>
      </w:rPr>
      <w:t></w:t>
    </w:r>
    <w:r w:rsidRPr="00D55E1F">
      <w:rPr>
        <w:rFonts w:ascii="C39T30Lfz" w:hAnsi="C39T30Lfz"/>
        <w:sz w:val="56"/>
      </w:rPr>
      <w:t></w:t>
    </w:r>
    <w:r w:rsidRPr="00D55E1F">
      <w:rPr>
        <w:rFonts w:ascii="C39T30Lfz" w:hAnsi="C39T30Lfz"/>
        <w:sz w:val="56"/>
      </w:rPr>
      <w:t></w:t>
    </w:r>
    <w:r w:rsidRPr="00D55E1F">
      <w:rPr>
        <w:rFonts w:ascii="C39T30Lfz" w:hAnsi="C39T30Lfz"/>
        <w:sz w:val="56"/>
      </w:rPr>
      <w:t></w:t>
    </w:r>
    <w:r w:rsidRPr="00D55E1F">
      <w:rPr>
        <w:rFonts w:ascii="C39T30Lfz" w:hAnsi="C39T30Lfz"/>
        <w:sz w:val="56"/>
      </w:rPr>
      <w:t></w:t>
    </w:r>
    <w:r w:rsidRPr="00D55E1F">
      <w:rPr>
        <w:rFonts w:ascii="C39T30Lfz" w:hAnsi="C39T30Lfz"/>
        <w:sz w:val="56"/>
      </w:rPr>
      <w:t></w:t>
    </w:r>
    <w:r w:rsidRPr="00D55E1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8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18" w:rsidRPr="00AC3823" w:rsidRDefault="00B8471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4718" w:rsidRPr="00AC3823" w:rsidRDefault="00B8471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84718" w:rsidRPr="00AC3823" w:rsidRDefault="00B84718">
      <w:pPr>
        <w:spacing w:line="240" w:lineRule="auto"/>
        <w:rPr>
          <w:sz w:val="2"/>
          <w:szCs w:val="2"/>
        </w:rPr>
      </w:pPr>
    </w:p>
  </w:footnote>
  <w:footnote w:id="2">
    <w:p w:rsidR="00590AF3" w:rsidRPr="00590AF3" w:rsidRDefault="00590AF3">
      <w:pPr>
        <w:pStyle w:val="FootnoteText"/>
      </w:pPr>
      <w:bookmarkStart w:id="3" w:name="footnoteBookmark_21"/>
      <w:r>
        <w:rPr>
          <w:rStyle w:val="FootnoteReference"/>
        </w:rPr>
        <w:tab/>
      </w:r>
      <w:r w:rsidRPr="00590AF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2018-2019 (ECE/TRANS/WP.15/237, annexe V (9.2)).</w:t>
      </w:r>
    </w:p>
    <w:bookmarkEnd w:id="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1F" w:rsidRPr="00D55E1F" w:rsidRDefault="00C11D06">
    <w:pPr>
      <w:pStyle w:val="Header"/>
    </w:pPr>
    <w:r>
      <w:fldChar w:fldCharType="begin"/>
    </w:r>
    <w:r>
      <w:instrText xml:space="preserve"> TITLE  \*</w:instrText>
    </w:r>
    <w:r>
      <w:instrText xml:space="preserve"> MERGEFORMAT </w:instrText>
    </w:r>
    <w:r>
      <w:fldChar w:fldCharType="separate"/>
    </w:r>
    <w:r w:rsidR="00265A3D">
      <w:t>ECE/TRANS/WP.15/AC.1/2018/3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1F" w:rsidRPr="00D55E1F" w:rsidRDefault="00C11D06" w:rsidP="00D55E1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65A3D">
      <w:t>ECE/TRANS/WP.15/AC.1/2018/3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18"/>
    <w:rsid w:val="00017F94"/>
    <w:rsid w:val="00023842"/>
    <w:rsid w:val="000334F9"/>
    <w:rsid w:val="00041B52"/>
    <w:rsid w:val="00045FEB"/>
    <w:rsid w:val="0007796D"/>
    <w:rsid w:val="00091D8F"/>
    <w:rsid w:val="000B7790"/>
    <w:rsid w:val="00101CC2"/>
    <w:rsid w:val="00111F2F"/>
    <w:rsid w:val="001202DF"/>
    <w:rsid w:val="0014365E"/>
    <w:rsid w:val="00143C66"/>
    <w:rsid w:val="00176178"/>
    <w:rsid w:val="001F525A"/>
    <w:rsid w:val="00223272"/>
    <w:rsid w:val="0024779E"/>
    <w:rsid w:val="00257168"/>
    <w:rsid w:val="00265A3D"/>
    <w:rsid w:val="002744B8"/>
    <w:rsid w:val="002832AC"/>
    <w:rsid w:val="002D7C93"/>
    <w:rsid w:val="00305801"/>
    <w:rsid w:val="003916DE"/>
    <w:rsid w:val="003F3880"/>
    <w:rsid w:val="00441C3B"/>
    <w:rsid w:val="00446FE5"/>
    <w:rsid w:val="00452396"/>
    <w:rsid w:val="004837D8"/>
    <w:rsid w:val="004E468C"/>
    <w:rsid w:val="005505B7"/>
    <w:rsid w:val="00573BE5"/>
    <w:rsid w:val="00586ED3"/>
    <w:rsid w:val="00590AF3"/>
    <w:rsid w:val="00596AA9"/>
    <w:rsid w:val="00636052"/>
    <w:rsid w:val="00680E7C"/>
    <w:rsid w:val="0071601D"/>
    <w:rsid w:val="00750737"/>
    <w:rsid w:val="007A62E6"/>
    <w:rsid w:val="007C2B66"/>
    <w:rsid w:val="007F20FA"/>
    <w:rsid w:val="0080684C"/>
    <w:rsid w:val="00845C29"/>
    <w:rsid w:val="00855041"/>
    <w:rsid w:val="00871C75"/>
    <w:rsid w:val="008776DC"/>
    <w:rsid w:val="009446C0"/>
    <w:rsid w:val="009521E8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62FA4"/>
    <w:rsid w:val="00B765F7"/>
    <w:rsid w:val="00B84718"/>
    <w:rsid w:val="00BA0CA9"/>
    <w:rsid w:val="00BC2530"/>
    <w:rsid w:val="00C02897"/>
    <w:rsid w:val="00C11D06"/>
    <w:rsid w:val="00C97039"/>
    <w:rsid w:val="00D3439C"/>
    <w:rsid w:val="00D55E1F"/>
    <w:rsid w:val="00DB1831"/>
    <w:rsid w:val="00DD3BFD"/>
    <w:rsid w:val="00DE4A18"/>
    <w:rsid w:val="00DF6678"/>
    <w:rsid w:val="00E0299A"/>
    <w:rsid w:val="00E174A4"/>
    <w:rsid w:val="00E70DC0"/>
    <w:rsid w:val="00E85C74"/>
    <w:rsid w:val="00EA6547"/>
    <w:rsid w:val="00ED3669"/>
    <w:rsid w:val="00EF2E22"/>
    <w:rsid w:val="00F35BAF"/>
    <w:rsid w:val="00F35BF9"/>
    <w:rsid w:val="00F660DF"/>
    <w:rsid w:val="00F94664"/>
    <w:rsid w:val="00F9573C"/>
    <w:rsid w:val="00F95C08"/>
    <w:rsid w:val="00F9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EFADF40-2B56-4517-8802-69FD2E5D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semiHidden/>
    <w:rsid w:val="003F3880"/>
    <w:pPr>
      <w:kinsoku/>
      <w:overflowPunct/>
      <w:autoSpaceDE/>
      <w:autoSpaceDN/>
      <w:adjustRightInd/>
      <w:snapToGrid/>
    </w:pPr>
    <w:rPr>
      <w:rFonts w:eastAsia="Times New Roman" w:cs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3F3880"/>
    <w:rPr>
      <w:rFonts w:ascii="Times New Roman" w:hAnsi="Times New Roman" w:cs="Courier New"/>
      <w:sz w:val="20"/>
      <w:szCs w:val="20"/>
      <w:lang w:val="en-GB" w:eastAsia="en-US"/>
    </w:rPr>
  </w:style>
  <w:style w:type="character" w:customStyle="1" w:styleId="H1GChar">
    <w:name w:val="_ H_1_G Char"/>
    <w:link w:val="H1G"/>
    <w:rsid w:val="003F388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3F388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3F3880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ECE/TRANS/WP.15/AC.1/2018/3</vt:lpstr>
      <vt:lpstr>ECE/TRANS/WP.15/AC.1/2018/3</vt:lpstr>
    </vt:vector>
  </TitlesOfParts>
  <Company>DCM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ECE/TRANS/WP.15/AC.1/2018/3</dc:title>
  <dc:subject/>
  <dc:creator>Corinne ROBERT</dc:creator>
  <cp:keywords/>
  <cp:lastModifiedBy>Christine Barrio-Champeau</cp:lastModifiedBy>
  <cp:revision>2</cp:revision>
  <cp:lastPrinted>2018-01-11T09:38:00Z</cp:lastPrinted>
  <dcterms:created xsi:type="dcterms:W3CDTF">2018-01-12T12:00:00Z</dcterms:created>
  <dcterms:modified xsi:type="dcterms:W3CDTF">2018-01-12T12:00:00Z</dcterms:modified>
</cp:coreProperties>
</file>