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7265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72656" w:rsidP="00F72656">
            <w:pPr>
              <w:jc w:val="right"/>
            </w:pPr>
            <w:r w:rsidRPr="00F72656">
              <w:rPr>
                <w:sz w:val="40"/>
              </w:rPr>
              <w:t>ECE</w:t>
            </w:r>
            <w:r>
              <w:t>/TRANS/WP.15/AC.1/2018/2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7265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F72656" w:rsidRDefault="00F72656" w:rsidP="00F72656">
            <w:pPr>
              <w:spacing w:line="240" w:lineRule="exact"/>
            </w:pPr>
            <w:r>
              <w:t>21 décembre 2017</w:t>
            </w:r>
          </w:p>
          <w:p w:rsidR="00F72656" w:rsidRDefault="00F72656" w:rsidP="00F72656">
            <w:pPr>
              <w:spacing w:line="240" w:lineRule="exact"/>
            </w:pPr>
            <w:r>
              <w:t>Français</w:t>
            </w:r>
          </w:p>
          <w:p w:rsidR="00F72656" w:rsidRPr="00DB58B5" w:rsidRDefault="00F72656" w:rsidP="00F7265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10E3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95764" w:rsidRPr="009E01B8" w:rsidRDefault="00995764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995764" w:rsidRPr="00926E87" w:rsidRDefault="00995764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810E3F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713641" w:rsidRDefault="00713641" w:rsidP="00713641">
      <w:pPr>
        <w:spacing w:before="120"/>
      </w:pPr>
      <w:bookmarkStart w:id="1" w:name="bookmark_14"/>
      <w:r>
        <w:rPr>
          <w:lang w:val="fr-FR"/>
        </w:rPr>
        <w:t>Berne, 12-16 mars 2018</w:t>
      </w:r>
      <w:bookmarkEnd w:id="1"/>
    </w:p>
    <w:p w:rsidR="00713641" w:rsidRDefault="00713641" w:rsidP="00713641">
      <w:bookmarkStart w:id="2" w:name="bookmark_15"/>
      <w:r>
        <w:rPr>
          <w:lang w:val="fr-FR"/>
        </w:rPr>
        <w:t>Point 5 a) de l</w:t>
      </w:r>
      <w:r w:rsidR="00810E3F">
        <w:rPr>
          <w:lang w:val="fr-FR"/>
        </w:rPr>
        <w:t>’</w:t>
      </w:r>
      <w:r>
        <w:rPr>
          <w:lang w:val="fr-FR"/>
        </w:rPr>
        <w:t>ordre du jour provisoire</w:t>
      </w:r>
      <w:bookmarkEnd w:id="2"/>
    </w:p>
    <w:p w:rsidR="00713641" w:rsidRPr="002E42E8" w:rsidRDefault="00713641" w:rsidP="00713641">
      <w:pPr>
        <w:rPr>
          <w:b/>
        </w:rPr>
      </w:pPr>
      <w:bookmarkStart w:id="3" w:name="bookmark_16"/>
      <w:r w:rsidRPr="002E42E8">
        <w:rPr>
          <w:b/>
          <w:lang w:val="fr-FR"/>
        </w:rPr>
        <w:t>Propositions d</w:t>
      </w:r>
      <w:r w:rsidR="00810E3F">
        <w:rPr>
          <w:b/>
          <w:lang w:val="fr-FR"/>
        </w:rPr>
        <w:t>’</w:t>
      </w:r>
      <w:r w:rsidRPr="002E42E8">
        <w:rPr>
          <w:b/>
          <w:lang w:val="fr-FR"/>
        </w:rPr>
        <w:t>amendements au RID/ADR/ADN : questions en suspens</w:t>
      </w:r>
      <w:bookmarkEnd w:id="3"/>
    </w:p>
    <w:p w:rsidR="00713641" w:rsidRPr="007B6FA5" w:rsidRDefault="00713641" w:rsidP="00713641">
      <w:pPr>
        <w:pStyle w:val="HChG"/>
      </w:pPr>
      <w:bookmarkStart w:id="4" w:name="bookmark_17"/>
      <w:r>
        <w:rPr>
          <w:lang w:val="fr-FR"/>
        </w:rPr>
        <w:tab/>
      </w:r>
      <w:r>
        <w:rPr>
          <w:lang w:val="fr-FR"/>
        </w:rPr>
        <w:tab/>
        <w:t>Préciser les prescription</w:t>
      </w:r>
      <w:r w:rsidRPr="00713641">
        <w:t>s</w:t>
      </w:r>
      <w:r>
        <w:rPr>
          <w:lang w:val="fr-FR"/>
        </w:rPr>
        <w:t xml:space="preserve"> relatives à la protection des robinets dans le paragraphe 4.1.6.8</w:t>
      </w:r>
      <w:bookmarkEnd w:id="4"/>
    </w:p>
    <w:p w:rsidR="00F9573C" w:rsidRDefault="00713641" w:rsidP="00713641">
      <w:pPr>
        <w:pStyle w:val="H1G"/>
        <w:rPr>
          <w:rStyle w:val="FootnoteReference"/>
          <w:b w:val="0"/>
          <w:sz w:val="20"/>
          <w:vertAlign w:val="baseline"/>
          <w:lang w:val="fr-FR"/>
        </w:rPr>
      </w:pPr>
      <w:bookmarkStart w:id="5" w:name="bookmark_18"/>
      <w:r>
        <w:rPr>
          <w:lang w:val="fr-FR"/>
        </w:rPr>
        <w:tab/>
      </w:r>
      <w:r>
        <w:rPr>
          <w:lang w:val="fr-FR"/>
        </w:rPr>
        <w:tab/>
        <w:t>Communication du Gouvernement allemand</w:t>
      </w:r>
      <w:r w:rsidRPr="00713641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  <w:bookmarkEnd w:id="5"/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B3501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3501B" w:rsidRPr="000001E7" w:rsidRDefault="00B3501B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B3501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3501B" w:rsidRDefault="00B3501B" w:rsidP="004C5CCB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2552" w:hanging="2268"/>
            </w:pPr>
            <w:bookmarkStart w:id="7" w:name="bookmark_21"/>
            <w:r>
              <w:rPr>
                <w:b/>
                <w:bCs/>
                <w:lang w:val="fr-FR"/>
              </w:rPr>
              <w:t>Résumé analytique :</w:t>
            </w:r>
            <w:r>
              <w:rPr>
                <w:lang w:val="fr-FR"/>
              </w:rPr>
              <w:tab/>
              <w:t>Préciser les prescriptions relatives à la protection des robinets.</w:t>
            </w:r>
            <w:bookmarkEnd w:id="7"/>
          </w:p>
        </w:tc>
      </w:tr>
      <w:tr w:rsidR="00B3501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3501B" w:rsidRDefault="00B3501B" w:rsidP="004C5CCB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2552" w:hanging="2268"/>
              <w:rPr>
                <w:b/>
                <w:bCs/>
                <w:lang w:val="fr-FR"/>
              </w:rPr>
            </w:pPr>
            <w:bookmarkStart w:id="8" w:name="bookmark_22"/>
            <w:r>
              <w:rPr>
                <w:b/>
                <w:bCs/>
                <w:lang w:val="fr-FR"/>
              </w:rPr>
              <w:t>Mesures à prendre :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  <w:t>Ajout au paragraphe 4.1.6.8.</w:t>
            </w:r>
            <w:bookmarkEnd w:id="8"/>
          </w:p>
        </w:tc>
      </w:tr>
      <w:tr w:rsidR="00B3501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3501B" w:rsidRDefault="00B3501B" w:rsidP="004C5CCB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2552" w:hanging="2268"/>
              <w:rPr>
                <w:b/>
                <w:bCs/>
                <w:lang w:val="fr-FR"/>
              </w:rPr>
            </w:pPr>
            <w:bookmarkStart w:id="9" w:name="bookmark_23"/>
            <w:r>
              <w:rPr>
                <w:b/>
                <w:bCs/>
                <w:lang w:val="fr-FR"/>
              </w:rPr>
              <w:t>Documents connexes :</w:t>
            </w:r>
            <w:r>
              <w:rPr>
                <w:lang w:val="fr-FR"/>
              </w:rPr>
              <w:tab/>
              <w:t xml:space="preserve">Document informel INF.33 de la session de septembre 2017 et </w:t>
            </w:r>
            <w:r w:rsidRPr="0074169E">
              <w:rPr>
                <w:spacing w:val="-2"/>
                <w:lang w:val="fr-FR"/>
              </w:rPr>
              <w:t>document ECE/TRANS/WP.15/AC.1/148, paragraphe</w:t>
            </w:r>
            <w:r w:rsidR="0074169E">
              <w:rPr>
                <w:spacing w:val="-2"/>
                <w:lang w:val="fr-FR"/>
              </w:rPr>
              <w:t> </w:t>
            </w:r>
            <w:r w:rsidRPr="0074169E">
              <w:rPr>
                <w:spacing w:val="-2"/>
                <w:lang w:val="fr-FR"/>
              </w:rPr>
              <w:t>71 (rapport</w:t>
            </w:r>
            <w:r>
              <w:rPr>
                <w:lang w:val="fr-FR"/>
              </w:rPr>
              <w:t xml:space="preserve"> de la Réunion commune, Genève, 19-29</w:t>
            </w:r>
            <w:r w:rsidR="0074169E">
              <w:rPr>
                <w:lang w:val="fr-FR"/>
              </w:rPr>
              <w:t> </w:t>
            </w:r>
            <w:r>
              <w:rPr>
                <w:lang w:val="fr-FR"/>
              </w:rPr>
              <w:t>septembre 2017).</w:t>
            </w:r>
            <w:bookmarkEnd w:id="9"/>
          </w:p>
        </w:tc>
      </w:tr>
      <w:tr w:rsidR="00B3501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B3501B" w:rsidRDefault="00B3501B" w:rsidP="00216E0F"/>
        </w:tc>
      </w:tr>
    </w:tbl>
    <w:p w:rsidR="00713641" w:rsidRDefault="004B25D4" w:rsidP="004B25D4">
      <w:pPr>
        <w:pStyle w:val="HChG"/>
        <w:rPr>
          <w:lang w:val="fr-FR"/>
        </w:rPr>
      </w:pPr>
      <w:r>
        <w:tab/>
      </w:r>
      <w:r>
        <w:tab/>
      </w:r>
      <w:r w:rsidRPr="004B25D4">
        <w:t>Introduction</w:t>
      </w:r>
    </w:p>
    <w:p w:rsidR="004B25D4" w:rsidRDefault="004B25D4" w:rsidP="004B25D4">
      <w:pPr>
        <w:pStyle w:val="SingleTxtG"/>
        <w:rPr>
          <w:lang w:val="fr-FR"/>
        </w:rPr>
      </w:pPr>
      <w:bookmarkStart w:id="10" w:name="bookmark_25"/>
      <w:r>
        <w:rPr>
          <w:lang w:val="fr-FR"/>
        </w:rPr>
        <w:t>1.</w:t>
      </w:r>
      <w:r>
        <w:rPr>
          <w:lang w:val="fr-FR"/>
        </w:rPr>
        <w:tab/>
        <w:t>Au paragraphe 4.1.6.8, il est prescrit que les robinets doivent être conçus et fabriqués de façon à pouvoir résister à des dégâts sans perte de contenu ou être protégés contre toute avarie par une ou plusieurs des méthodes énumérées aux alinéas a) à e) du même paragraphe.</w:t>
      </w:r>
      <w:bookmarkEnd w:id="10"/>
    </w:p>
    <w:p w:rsidR="004B25D4" w:rsidRDefault="00CD3AC4" w:rsidP="00CD3AC4">
      <w:pPr>
        <w:pStyle w:val="SingleTxtG"/>
        <w:rPr>
          <w:lang w:val="fr-FR"/>
        </w:rPr>
      </w:pPr>
      <w:bookmarkStart w:id="11" w:name="bookmark_26"/>
      <w:r w:rsidRPr="00CD3AC4">
        <w:rPr>
          <w:lang w:val="fr-FR"/>
        </w:rPr>
        <w:t>2.</w:t>
      </w:r>
      <w:r w:rsidRPr="00CD3AC4">
        <w:rPr>
          <w:lang w:val="fr-FR"/>
        </w:rPr>
        <w:tab/>
        <w:t>Depuis plusieurs années, les robinets peuvent être munis d</w:t>
      </w:r>
      <w:r w:rsidR="00810E3F">
        <w:rPr>
          <w:lang w:val="fr-FR"/>
        </w:rPr>
        <w:t>’</w:t>
      </w:r>
      <w:r w:rsidRPr="00CD3AC4">
        <w:rPr>
          <w:lang w:val="fr-FR"/>
        </w:rPr>
        <w:t xml:space="preserve">éléments qui restent en place pendant le transport. Des exemples de tels éléments sont les dispositifs de manutention (principalement en ce qui concerne les robinets de bouteilles à gaz avec détendeur intégré, </w:t>
      </w:r>
      <w:r>
        <w:rPr>
          <w:lang w:val="fr-FR"/>
        </w:rPr>
        <w:t>voir fig. </w:t>
      </w:r>
      <w:r w:rsidRPr="00CD3AC4">
        <w:rPr>
          <w:lang w:val="fr-FR"/>
        </w:rPr>
        <w:t>1) ou les adaptateurs (par exemple en ce qui concerne les robinets de bouteilles à gaz à fermeture automatique, voir fig</w:t>
      </w:r>
      <w:r>
        <w:rPr>
          <w:lang w:val="fr-FR"/>
        </w:rPr>
        <w:t>. </w:t>
      </w:r>
      <w:r w:rsidRPr="00CD3AC4">
        <w:rPr>
          <w:lang w:val="fr-FR"/>
        </w:rPr>
        <w:t xml:space="preserve">2). Ces éléments ne sont pas </w:t>
      </w:r>
      <w:r w:rsidRPr="00CD3AC4">
        <w:rPr>
          <w:lang w:val="fr-FR"/>
        </w:rPr>
        <w:lastRenderedPageBreak/>
        <w:t>destinés à protéger le robinet conformément aux alinéas b) ou c) du 4.1.6.8, ni conçus de manière à le faire.</w:t>
      </w:r>
      <w:bookmarkEnd w:id="11"/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4791"/>
        <w:gridCol w:w="4791"/>
      </w:tblGrid>
      <w:tr w:rsidR="0025447C" w:rsidRPr="00E34982" w:rsidTr="009D0649">
        <w:tc>
          <w:tcPr>
            <w:tcW w:w="4791" w:type="dxa"/>
          </w:tcPr>
          <w:p w:rsidR="0025447C" w:rsidRPr="00E34982" w:rsidRDefault="0025447C" w:rsidP="007E7F62">
            <w:pPr>
              <w:spacing w:before="60" w:after="60"/>
              <w:ind w:left="57" w:right="57"/>
            </w:pPr>
            <w:bookmarkStart w:id="12" w:name="bookmark_27"/>
            <w:r w:rsidRPr="00541C8F">
              <w:rPr>
                <w:b/>
                <w:lang w:val="fr-FR"/>
              </w:rPr>
              <w:t>Figure 1</w:t>
            </w:r>
            <w:r w:rsidR="009D0649">
              <w:rPr>
                <w:b/>
                <w:lang w:val="fr-FR"/>
              </w:rPr>
              <w:br/>
            </w:r>
            <w:r>
              <w:rPr>
                <w:lang w:val="fr-FR"/>
              </w:rPr>
              <w:t>Robinet de bouteille à gaz muni d</w:t>
            </w:r>
            <w:r w:rsidR="00810E3F">
              <w:rPr>
                <w:lang w:val="fr-FR"/>
              </w:rPr>
              <w:t>’</w:t>
            </w:r>
            <w:r>
              <w:rPr>
                <w:lang w:val="fr-FR"/>
              </w:rPr>
              <w:t xml:space="preserve">un dispositif </w:t>
            </w:r>
            <w:r w:rsidR="007E7F62">
              <w:rPr>
                <w:lang w:val="fr-FR"/>
              </w:rPr>
              <w:br/>
            </w:r>
            <w:r>
              <w:rPr>
                <w:lang w:val="fr-FR"/>
              </w:rPr>
              <w:t>de manutention solidaire</w:t>
            </w:r>
            <w:bookmarkEnd w:id="12"/>
          </w:p>
        </w:tc>
        <w:tc>
          <w:tcPr>
            <w:tcW w:w="4791" w:type="dxa"/>
          </w:tcPr>
          <w:p w:rsidR="0025447C" w:rsidRPr="00E34982" w:rsidRDefault="0025447C" w:rsidP="007E7F62">
            <w:pPr>
              <w:spacing w:before="60" w:after="60"/>
              <w:ind w:left="57" w:right="57"/>
            </w:pPr>
            <w:bookmarkStart w:id="13" w:name="bookmark_28"/>
            <w:r w:rsidRPr="00541C8F">
              <w:rPr>
                <w:b/>
                <w:lang w:val="fr-FR"/>
              </w:rPr>
              <w:t>Figure 2</w:t>
            </w:r>
            <w:r w:rsidR="007E7F62">
              <w:rPr>
                <w:b/>
                <w:lang w:val="fr-FR"/>
              </w:rPr>
              <w:t xml:space="preserve"> </w:t>
            </w:r>
            <w:r w:rsidR="007E7F62">
              <w:rPr>
                <w:b/>
                <w:lang w:val="fr-FR"/>
              </w:rPr>
              <w:br/>
            </w:r>
            <w:r>
              <w:rPr>
                <w:lang w:val="fr-FR"/>
              </w:rPr>
              <w:t xml:space="preserve">Robinet de bouteille à GPL </w:t>
            </w:r>
            <w:r w:rsidRPr="00541C8F">
              <w:rPr>
                <w:lang w:val="fr-FR"/>
              </w:rPr>
              <w:t>muni d</w:t>
            </w:r>
            <w:r w:rsidR="00810E3F">
              <w:rPr>
                <w:lang w:val="fr-FR"/>
              </w:rPr>
              <w:t>’</w:t>
            </w:r>
            <w:r w:rsidRPr="00541C8F">
              <w:rPr>
                <w:lang w:val="fr-FR"/>
              </w:rPr>
              <w:t xml:space="preserve">un </w:t>
            </w:r>
            <w:r>
              <w:rPr>
                <w:lang w:val="fr-FR"/>
              </w:rPr>
              <w:t>adaptateur intégré pour le remplissage et le vidage</w:t>
            </w:r>
            <w:bookmarkEnd w:id="13"/>
          </w:p>
        </w:tc>
      </w:tr>
      <w:tr w:rsidR="0025447C" w:rsidTr="009D0649">
        <w:tc>
          <w:tcPr>
            <w:tcW w:w="4791" w:type="dxa"/>
          </w:tcPr>
          <w:p w:rsidR="0025447C" w:rsidRDefault="0025447C" w:rsidP="008D258E">
            <w:pPr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1861200" cy="2433600"/>
                  <wp:effectExtent l="0" t="0" r="5715" b="5080"/>
                  <wp:docPr id="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200" cy="24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25447C" w:rsidRDefault="008909CB" w:rsidP="008D258E">
            <w:pPr>
              <w:jc w:val="center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511724</wp:posOffset>
                  </wp:positionH>
                  <wp:positionV relativeFrom="paragraph">
                    <wp:posOffset>5715</wp:posOffset>
                  </wp:positionV>
                  <wp:extent cx="2084070" cy="2433320"/>
                  <wp:effectExtent l="0" t="0" r="0" b="5080"/>
                  <wp:wrapNone/>
                  <wp:docPr id="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243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909CB" w:rsidRPr="00E34982" w:rsidRDefault="008909CB" w:rsidP="008909CB">
      <w:pPr>
        <w:pStyle w:val="SingleTxtG"/>
        <w:spacing w:before="240"/>
      </w:pPr>
      <w:r>
        <w:rPr>
          <w:lang w:val="fr-FR"/>
        </w:rPr>
        <w:t>3.</w:t>
      </w:r>
      <w:r>
        <w:rPr>
          <w:lang w:val="fr-FR"/>
        </w:rPr>
        <w:tab/>
        <w:t>Installer de tels éléments sur des robinets intrinsèquement fixes pourrait nuire à leur robustesse intrinsèque. À cet égard, s</w:t>
      </w:r>
      <w:r w:rsidR="00810E3F">
        <w:rPr>
          <w:lang w:val="fr-FR"/>
        </w:rPr>
        <w:t>’</w:t>
      </w:r>
      <w:r>
        <w:rPr>
          <w:lang w:val="fr-FR"/>
        </w:rPr>
        <w:t>il n</w:t>
      </w:r>
      <w:r w:rsidR="00810E3F">
        <w:rPr>
          <w:lang w:val="fr-FR"/>
        </w:rPr>
        <w:t>’</w:t>
      </w:r>
      <w:r>
        <w:rPr>
          <w:lang w:val="fr-FR"/>
        </w:rPr>
        <w:t>est pas possible de démontrer qu</w:t>
      </w:r>
      <w:r w:rsidR="00810E3F">
        <w:rPr>
          <w:lang w:val="fr-FR"/>
        </w:rPr>
        <w:t>’</w:t>
      </w:r>
      <w:r>
        <w:rPr>
          <w:lang w:val="fr-FR"/>
        </w:rPr>
        <w:t>un robinet muni d</w:t>
      </w:r>
      <w:r w:rsidR="00810E3F">
        <w:rPr>
          <w:lang w:val="fr-FR"/>
        </w:rPr>
        <w:t>’</w:t>
      </w:r>
      <w:r>
        <w:rPr>
          <w:lang w:val="fr-FR"/>
        </w:rPr>
        <w:t>un élément supplémentaire conserve sa robustesse intrinsèque, une des méthodes de protection du robinet prévues aux alinéas</w:t>
      </w:r>
      <w:r w:rsidR="00810E3F">
        <w:rPr>
          <w:lang w:val="fr-FR"/>
        </w:rPr>
        <w:t> </w:t>
      </w:r>
      <w:r>
        <w:rPr>
          <w:lang w:val="fr-FR"/>
        </w:rPr>
        <w:t>a) à e) du paragraphe</w:t>
      </w:r>
      <w:r w:rsidR="00810E3F">
        <w:rPr>
          <w:lang w:val="fr-FR"/>
        </w:rPr>
        <w:t> </w:t>
      </w:r>
      <w:r>
        <w:rPr>
          <w:lang w:val="fr-FR"/>
        </w:rPr>
        <w:t>4.1.6.8 doit être utilisée.</w:t>
      </w:r>
    </w:p>
    <w:p w:rsidR="00CC1C31" w:rsidRDefault="008909CB" w:rsidP="008909CB">
      <w:pPr>
        <w:pStyle w:val="SingleTxtG"/>
        <w:spacing w:before="240"/>
        <w:rPr>
          <w:lang w:val="fr-FR"/>
        </w:rPr>
      </w:pPr>
      <w:bookmarkStart w:id="14" w:name="bookmark_30"/>
      <w:r>
        <w:rPr>
          <w:lang w:val="fr-FR"/>
        </w:rPr>
        <w:t>4.</w:t>
      </w:r>
      <w:r>
        <w:rPr>
          <w:lang w:val="fr-FR"/>
        </w:rPr>
        <w:tab/>
        <w:t>Si de tels éléments sont installés sur un robinet qui n</w:t>
      </w:r>
      <w:r w:rsidR="00810E3F">
        <w:rPr>
          <w:lang w:val="fr-FR"/>
        </w:rPr>
        <w:t>’</w:t>
      </w:r>
      <w:r>
        <w:rPr>
          <w:lang w:val="fr-FR"/>
        </w:rPr>
        <w:t>est pas intrinsèquement robuste, et doit donc être doté d</w:t>
      </w:r>
      <w:r w:rsidR="00810E3F">
        <w:rPr>
          <w:lang w:val="fr-FR"/>
        </w:rPr>
        <w:t>’</w:t>
      </w:r>
      <w:r>
        <w:rPr>
          <w:lang w:val="fr-FR"/>
        </w:rPr>
        <w:t>une protection, il se peut que la protection initialement fournie aux robinets dotés d</w:t>
      </w:r>
      <w:r w:rsidR="00810E3F">
        <w:rPr>
          <w:lang w:val="fr-FR"/>
        </w:rPr>
        <w:t>’</w:t>
      </w:r>
      <w:r>
        <w:rPr>
          <w:lang w:val="fr-FR"/>
        </w:rPr>
        <w:t>un élément supplémentaire ne soit plus suffisante. En conséquence, s</w:t>
      </w:r>
      <w:r w:rsidR="00810E3F">
        <w:rPr>
          <w:lang w:val="fr-FR"/>
        </w:rPr>
        <w:t>’</w:t>
      </w:r>
      <w:r>
        <w:rPr>
          <w:lang w:val="fr-FR"/>
        </w:rPr>
        <w:t>il n</w:t>
      </w:r>
      <w:r w:rsidR="00810E3F">
        <w:rPr>
          <w:lang w:val="fr-FR"/>
        </w:rPr>
        <w:t>’</w:t>
      </w:r>
      <w:r>
        <w:rPr>
          <w:lang w:val="fr-FR"/>
        </w:rPr>
        <w:t xml:space="preserve">est pas </w:t>
      </w:r>
      <w:r w:rsidRPr="00D830AF">
        <w:rPr>
          <w:lang w:val="fr-FR"/>
        </w:rPr>
        <w:t xml:space="preserve">possible de démontrer </w:t>
      </w:r>
      <w:r>
        <w:rPr>
          <w:lang w:val="fr-FR"/>
        </w:rPr>
        <w:t>que la protection des robinets munis d</w:t>
      </w:r>
      <w:r w:rsidR="00810E3F">
        <w:rPr>
          <w:lang w:val="fr-FR"/>
        </w:rPr>
        <w:t>’</w:t>
      </w:r>
      <w:r>
        <w:rPr>
          <w:lang w:val="fr-FR"/>
        </w:rPr>
        <w:t>un élément supplémentaire soit toujours appropriée, une autre méthode de protection des robinets conformément aux alinéas</w:t>
      </w:r>
      <w:r w:rsidR="00810E3F">
        <w:rPr>
          <w:lang w:val="fr-FR"/>
        </w:rPr>
        <w:t> </w:t>
      </w:r>
      <w:r>
        <w:rPr>
          <w:lang w:val="fr-FR"/>
        </w:rPr>
        <w:t>a) à e) du paragraphe</w:t>
      </w:r>
      <w:r w:rsidR="00810E3F">
        <w:rPr>
          <w:lang w:val="fr-FR"/>
        </w:rPr>
        <w:t> </w:t>
      </w:r>
      <w:r>
        <w:rPr>
          <w:lang w:val="fr-FR"/>
        </w:rPr>
        <w:t>4.1.6.8 doit être utilisée.</w:t>
      </w:r>
      <w:bookmarkEnd w:id="14"/>
    </w:p>
    <w:p w:rsidR="00810E3F" w:rsidRDefault="00810E3F" w:rsidP="00810E3F">
      <w:pPr>
        <w:pStyle w:val="HChG"/>
        <w:rPr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:rsidR="00810E3F" w:rsidRPr="00E34982" w:rsidRDefault="00810E3F" w:rsidP="00810E3F">
      <w:pPr>
        <w:pStyle w:val="SingleTxtG"/>
      </w:pPr>
      <w:bookmarkStart w:id="15" w:name="bookmark_32"/>
      <w:r>
        <w:rPr>
          <w:lang w:val="fr-FR"/>
        </w:rPr>
        <w:t>5.</w:t>
      </w:r>
      <w:r>
        <w:rPr>
          <w:lang w:val="fr-FR"/>
        </w:rPr>
        <w:tab/>
        <w:t>Ajouter à la fin du paragraphe 4.1.6.8 le nouvel alinéa suivant :</w:t>
      </w:r>
      <w:bookmarkEnd w:id="15"/>
    </w:p>
    <w:p w:rsidR="00810E3F" w:rsidRPr="00E34982" w:rsidRDefault="00810E3F" w:rsidP="00810E3F">
      <w:pPr>
        <w:pStyle w:val="SingleTxtG"/>
      </w:pPr>
      <w:bookmarkStart w:id="16" w:name="bookmark_33"/>
      <w:r>
        <w:rPr>
          <w:lang w:val="fr-FR"/>
        </w:rPr>
        <w:t xml:space="preserve">« Si les robinets sont munis d’autres éléments qui doivent rester en place pendant le </w:t>
      </w:r>
      <w:proofErr w:type="gramStart"/>
      <w:r>
        <w:rPr>
          <w:lang w:val="fr-FR"/>
        </w:rPr>
        <w:t>transport</w:t>
      </w:r>
      <w:proofErr w:type="gramEnd"/>
      <w:r>
        <w:rPr>
          <w:lang w:val="fr-FR"/>
        </w:rPr>
        <w:t xml:space="preserve"> (par exemple un dispositif de manutention ou un adaptateur), ces éléments doivent être compris dans l’évaluation.</w:t>
      </w:r>
      <w:r w:rsidR="008F2F8B">
        <w:rPr>
          <w:lang w:val="fr-FR"/>
        </w:rPr>
        <w:t> </w:t>
      </w:r>
      <w:r>
        <w:rPr>
          <w:lang w:val="fr-FR"/>
        </w:rPr>
        <w:t>».</w:t>
      </w:r>
      <w:bookmarkEnd w:id="16"/>
    </w:p>
    <w:p w:rsidR="00810E3F" w:rsidRPr="00E34982" w:rsidRDefault="00810E3F" w:rsidP="00810E3F">
      <w:pPr>
        <w:pStyle w:val="HChG"/>
      </w:pPr>
      <w:bookmarkStart w:id="17" w:name="bookmark_34"/>
      <w:r>
        <w:rPr>
          <w:lang w:val="fr-FR"/>
        </w:rPr>
        <w:tab/>
      </w:r>
      <w:r>
        <w:rPr>
          <w:lang w:val="fr-FR"/>
        </w:rPr>
        <w:tab/>
      </w:r>
      <w:r w:rsidRPr="0050309F">
        <w:rPr>
          <w:bCs/>
          <w:lang w:val="fr-FR"/>
        </w:rPr>
        <w:t>Justification</w:t>
      </w:r>
    </w:p>
    <w:p w:rsidR="00810E3F" w:rsidRDefault="00810E3F" w:rsidP="00810E3F">
      <w:pPr>
        <w:pStyle w:val="SingleTxtG"/>
        <w:rPr>
          <w:lang w:val="fr-FR"/>
        </w:rPr>
      </w:pPr>
      <w:r>
        <w:rPr>
          <w:lang w:val="fr-FR"/>
        </w:rPr>
        <w:t>Clarification de la situation juridique.</w:t>
      </w:r>
      <w:bookmarkEnd w:id="17"/>
    </w:p>
    <w:p w:rsidR="00810E3F" w:rsidRPr="00810E3F" w:rsidRDefault="00810E3F" w:rsidP="00810E3F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810E3F" w:rsidRPr="00810E3F" w:rsidSect="00F7265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83" w:rsidRDefault="006D6083" w:rsidP="00F95C08">
      <w:pPr>
        <w:spacing w:line="240" w:lineRule="auto"/>
      </w:pPr>
    </w:p>
  </w:endnote>
  <w:endnote w:type="continuationSeparator" w:id="0">
    <w:p w:rsidR="006D6083" w:rsidRPr="00AC3823" w:rsidRDefault="006D6083" w:rsidP="00AC3823">
      <w:pPr>
        <w:pStyle w:val="Footer"/>
      </w:pPr>
    </w:p>
  </w:endnote>
  <w:endnote w:type="continuationNotice" w:id="1">
    <w:p w:rsidR="006D6083" w:rsidRDefault="006D60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56" w:rsidRPr="00F72656" w:rsidRDefault="00F72656" w:rsidP="00F72656">
    <w:pPr>
      <w:pStyle w:val="Footer"/>
      <w:tabs>
        <w:tab w:val="right" w:pos="9638"/>
      </w:tabs>
    </w:pPr>
    <w:r w:rsidRPr="00F72656">
      <w:rPr>
        <w:b/>
        <w:sz w:val="18"/>
      </w:rPr>
      <w:fldChar w:fldCharType="begin"/>
    </w:r>
    <w:r w:rsidRPr="00F72656">
      <w:rPr>
        <w:b/>
        <w:sz w:val="18"/>
      </w:rPr>
      <w:instrText xml:space="preserve"> PAGE  \* MERGEFORMAT </w:instrText>
    </w:r>
    <w:r w:rsidRPr="00F72656">
      <w:rPr>
        <w:b/>
        <w:sz w:val="18"/>
      </w:rPr>
      <w:fldChar w:fldCharType="separate"/>
    </w:r>
    <w:r w:rsidR="00DD5675">
      <w:rPr>
        <w:b/>
        <w:noProof/>
        <w:sz w:val="18"/>
      </w:rPr>
      <w:t>2</w:t>
    </w:r>
    <w:r w:rsidRPr="00F72656">
      <w:rPr>
        <w:b/>
        <w:sz w:val="18"/>
      </w:rPr>
      <w:fldChar w:fldCharType="end"/>
    </w:r>
    <w:r>
      <w:rPr>
        <w:b/>
        <w:sz w:val="18"/>
      </w:rPr>
      <w:tab/>
    </w:r>
    <w:r>
      <w:t>GE.17-23039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56" w:rsidRPr="00F72656" w:rsidRDefault="00F72656" w:rsidP="00F72656">
    <w:pPr>
      <w:pStyle w:val="Footer"/>
      <w:tabs>
        <w:tab w:val="right" w:pos="9638"/>
      </w:tabs>
      <w:rPr>
        <w:b/>
        <w:sz w:val="18"/>
      </w:rPr>
    </w:pPr>
    <w:r>
      <w:t>GE.17-23039</w:t>
    </w:r>
    <w:r>
      <w:tab/>
    </w:r>
    <w:r w:rsidRPr="00F72656">
      <w:rPr>
        <w:b/>
        <w:sz w:val="18"/>
      </w:rPr>
      <w:fldChar w:fldCharType="begin"/>
    </w:r>
    <w:r w:rsidRPr="00F72656">
      <w:rPr>
        <w:b/>
        <w:sz w:val="18"/>
      </w:rPr>
      <w:instrText xml:space="preserve"> PAGE  \* MERGEFORMAT </w:instrText>
    </w:r>
    <w:r w:rsidRPr="00F72656">
      <w:rPr>
        <w:b/>
        <w:sz w:val="18"/>
      </w:rPr>
      <w:fldChar w:fldCharType="separate"/>
    </w:r>
    <w:r w:rsidR="004979A1">
      <w:rPr>
        <w:b/>
        <w:noProof/>
        <w:sz w:val="18"/>
      </w:rPr>
      <w:t>2</w:t>
    </w:r>
    <w:r w:rsidRPr="00F726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F72656" w:rsidRDefault="00F72656" w:rsidP="00F7265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</w:t>
    </w:r>
    <w:proofErr w:type="gramStart"/>
    <w:r>
      <w:rPr>
        <w:sz w:val="20"/>
      </w:rPr>
      <w:t>23039  (</w:t>
    </w:r>
    <w:proofErr w:type="gramEnd"/>
    <w:r>
      <w:rPr>
        <w:sz w:val="20"/>
      </w:rPr>
      <w:t>F)    120118    150118</w:t>
    </w:r>
    <w:r>
      <w:rPr>
        <w:sz w:val="20"/>
      </w:rPr>
      <w:br/>
    </w:r>
    <w:r w:rsidRPr="00F72656">
      <w:rPr>
        <w:rFonts w:ascii="C39T30Lfz" w:hAnsi="C39T30Lfz"/>
        <w:sz w:val="56"/>
      </w:rPr>
      <w:t></w:t>
    </w:r>
    <w:r w:rsidRPr="00F72656">
      <w:rPr>
        <w:rFonts w:ascii="C39T30Lfz" w:hAnsi="C39T30Lfz"/>
        <w:sz w:val="56"/>
      </w:rPr>
      <w:t></w:t>
    </w:r>
    <w:r w:rsidRPr="00F72656">
      <w:rPr>
        <w:rFonts w:ascii="C39T30Lfz" w:hAnsi="C39T30Lfz"/>
        <w:sz w:val="56"/>
      </w:rPr>
      <w:t></w:t>
    </w:r>
    <w:r w:rsidRPr="00F72656">
      <w:rPr>
        <w:rFonts w:ascii="C39T30Lfz" w:hAnsi="C39T30Lfz"/>
        <w:sz w:val="56"/>
      </w:rPr>
      <w:t></w:t>
    </w:r>
    <w:r w:rsidRPr="00F72656">
      <w:rPr>
        <w:rFonts w:ascii="C39T30Lfz" w:hAnsi="C39T30Lfz"/>
        <w:sz w:val="56"/>
      </w:rPr>
      <w:t></w:t>
    </w:r>
    <w:r w:rsidRPr="00F72656">
      <w:rPr>
        <w:rFonts w:ascii="C39T30Lfz" w:hAnsi="C39T30Lfz"/>
        <w:sz w:val="56"/>
      </w:rPr>
      <w:t></w:t>
    </w:r>
    <w:r w:rsidRPr="00F72656">
      <w:rPr>
        <w:rFonts w:ascii="C39T30Lfz" w:hAnsi="C39T30Lfz"/>
        <w:sz w:val="56"/>
      </w:rPr>
      <w:t></w:t>
    </w:r>
    <w:r w:rsidRPr="00F72656">
      <w:rPr>
        <w:rFonts w:ascii="C39T30Lfz" w:hAnsi="C39T30Lfz"/>
        <w:sz w:val="56"/>
      </w:rPr>
      <w:t></w:t>
    </w:r>
    <w:r w:rsidRPr="00F7265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8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83" w:rsidRPr="00AC3823" w:rsidRDefault="006D608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6083" w:rsidRPr="00AC3823" w:rsidRDefault="006D608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D6083" w:rsidRPr="00AC3823" w:rsidRDefault="006D6083">
      <w:pPr>
        <w:spacing w:line="240" w:lineRule="auto"/>
        <w:rPr>
          <w:sz w:val="2"/>
          <w:szCs w:val="2"/>
        </w:rPr>
      </w:pPr>
    </w:p>
  </w:footnote>
  <w:footnote w:id="2">
    <w:p w:rsidR="00713641" w:rsidRPr="004B355A" w:rsidRDefault="000707FD" w:rsidP="00713641">
      <w:pPr>
        <w:pStyle w:val="FootnoteText"/>
      </w:pPr>
      <w:bookmarkStart w:id="6" w:name="footnoteBookmark_19"/>
      <w:r>
        <w:rPr>
          <w:sz w:val="20"/>
          <w:lang w:val="fr-FR"/>
        </w:rPr>
        <w:tab/>
        <w:t>*</w:t>
      </w:r>
      <w:r w:rsidR="00713641" w:rsidRPr="000707FD">
        <w:rPr>
          <w:sz w:val="20"/>
          <w:lang w:val="fr-FR"/>
        </w:rPr>
        <w:tab/>
      </w:r>
      <w:r w:rsidR="00713641">
        <w:rPr>
          <w:lang w:val="fr-FR"/>
        </w:rPr>
        <w:t>Conformément au programme de travail du Comité des transports intérieurs pour 2018-2019 (ECE/TRANS/WP.15/237, annexe</w:t>
      </w:r>
      <w:r w:rsidR="00CD3AC4">
        <w:rPr>
          <w:lang w:val="fr-FR"/>
        </w:rPr>
        <w:t> </w:t>
      </w:r>
      <w:r w:rsidR="00713641">
        <w:rPr>
          <w:lang w:val="fr-FR"/>
        </w:rPr>
        <w:t>V (9.2)).</w:t>
      </w:r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56" w:rsidRPr="00F72656" w:rsidRDefault="00DD567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979A1">
      <w:t>ECE/TRANS/WP.15/AC.1/2018/2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56" w:rsidRPr="00F72656" w:rsidRDefault="00DD5675" w:rsidP="00F7265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979A1">
      <w:t>ECE/TRANS/WP.15/AC.1/2018/2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83"/>
    <w:rsid w:val="00017F94"/>
    <w:rsid w:val="00023842"/>
    <w:rsid w:val="000334F9"/>
    <w:rsid w:val="00045FEB"/>
    <w:rsid w:val="000707FD"/>
    <w:rsid w:val="0007796D"/>
    <w:rsid w:val="000B7790"/>
    <w:rsid w:val="00111F2F"/>
    <w:rsid w:val="0014365E"/>
    <w:rsid w:val="00143C66"/>
    <w:rsid w:val="00176178"/>
    <w:rsid w:val="001F525A"/>
    <w:rsid w:val="0021558E"/>
    <w:rsid w:val="00223272"/>
    <w:rsid w:val="0024779E"/>
    <w:rsid w:val="0025447C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979A1"/>
    <w:rsid w:val="004B25D4"/>
    <w:rsid w:val="004C5CCB"/>
    <w:rsid w:val="004E468C"/>
    <w:rsid w:val="005505B7"/>
    <w:rsid w:val="00573BE5"/>
    <w:rsid w:val="00586ED3"/>
    <w:rsid w:val="00596AA9"/>
    <w:rsid w:val="006D6083"/>
    <w:rsid w:val="00713641"/>
    <w:rsid w:val="0071601D"/>
    <w:rsid w:val="0074169E"/>
    <w:rsid w:val="007A62E6"/>
    <w:rsid w:val="007E7F62"/>
    <w:rsid w:val="007F20FA"/>
    <w:rsid w:val="0080684C"/>
    <w:rsid w:val="00810E3F"/>
    <w:rsid w:val="00871C75"/>
    <w:rsid w:val="008776DC"/>
    <w:rsid w:val="008909CB"/>
    <w:rsid w:val="008F2F8B"/>
    <w:rsid w:val="009446C0"/>
    <w:rsid w:val="0096145B"/>
    <w:rsid w:val="009705C8"/>
    <w:rsid w:val="00995764"/>
    <w:rsid w:val="009C1CF4"/>
    <w:rsid w:val="009D0649"/>
    <w:rsid w:val="009F6B74"/>
    <w:rsid w:val="00A30353"/>
    <w:rsid w:val="00AC3823"/>
    <w:rsid w:val="00AE323C"/>
    <w:rsid w:val="00AF0CB5"/>
    <w:rsid w:val="00B00181"/>
    <w:rsid w:val="00B00B0D"/>
    <w:rsid w:val="00B3501B"/>
    <w:rsid w:val="00B765F7"/>
    <w:rsid w:val="00BA0CA9"/>
    <w:rsid w:val="00C02897"/>
    <w:rsid w:val="00C97039"/>
    <w:rsid w:val="00CC1C31"/>
    <w:rsid w:val="00CD3AC4"/>
    <w:rsid w:val="00CD4807"/>
    <w:rsid w:val="00D3439C"/>
    <w:rsid w:val="00DB1831"/>
    <w:rsid w:val="00DD28A3"/>
    <w:rsid w:val="00DD3BFD"/>
    <w:rsid w:val="00DD5675"/>
    <w:rsid w:val="00DF6678"/>
    <w:rsid w:val="00E0299A"/>
    <w:rsid w:val="00E85C74"/>
    <w:rsid w:val="00EA6547"/>
    <w:rsid w:val="00EF2E22"/>
    <w:rsid w:val="00F35BAF"/>
    <w:rsid w:val="00F660DF"/>
    <w:rsid w:val="00F72656"/>
    <w:rsid w:val="00F87222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514671-80D4-4CE4-967A-93640BDA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1364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71364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ECE/TRANS/WP.15/AC.1/2018/2</vt:lpstr>
      <vt:lpstr>ECE/TRANS/WP.15/AC.1/2018/2</vt:lpstr>
    </vt:vector>
  </TitlesOfParts>
  <Company>DCM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ECE/TRANS/WP.15/AC.1/2018/2</dc:title>
  <dc:subject/>
  <dc:creator>Corinne ROBERT</dc:creator>
  <cp:keywords/>
  <cp:lastModifiedBy>Christine Barrio-Champeau</cp:lastModifiedBy>
  <cp:revision>2</cp:revision>
  <cp:lastPrinted>2018-01-15T06:58:00Z</cp:lastPrinted>
  <dcterms:created xsi:type="dcterms:W3CDTF">2018-01-17T08:30:00Z</dcterms:created>
  <dcterms:modified xsi:type="dcterms:W3CDTF">2018-01-17T08:30:00Z</dcterms:modified>
</cp:coreProperties>
</file>