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0305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03053" w:rsidP="00F03053">
            <w:pPr>
              <w:jc w:val="right"/>
            </w:pPr>
            <w:r w:rsidRPr="00F03053">
              <w:rPr>
                <w:sz w:val="40"/>
              </w:rPr>
              <w:t>ECE</w:t>
            </w:r>
            <w:r>
              <w:t>/TRANS/WP.15/AC.1/2018/18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03053" w:rsidP="00C97039">
            <w:pPr>
              <w:spacing w:before="240"/>
            </w:pPr>
            <w:r>
              <w:t>Distr. générale</w:t>
            </w:r>
          </w:p>
          <w:p w:rsidR="00F03053" w:rsidRDefault="00F03053" w:rsidP="00F03053">
            <w:pPr>
              <w:spacing w:line="240" w:lineRule="exact"/>
            </w:pPr>
            <w:r>
              <w:t>26 juin 2018</w:t>
            </w:r>
          </w:p>
          <w:p w:rsidR="00F03053" w:rsidRDefault="00F03053" w:rsidP="00F03053">
            <w:pPr>
              <w:spacing w:line="240" w:lineRule="exact"/>
            </w:pPr>
            <w:r>
              <w:t>Français</w:t>
            </w:r>
          </w:p>
          <w:p w:rsidR="00F03053" w:rsidRPr="00DB58B5" w:rsidRDefault="00F03053" w:rsidP="00F0305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03053" w:rsidRPr="009E01B8" w:rsidRDefault="00F0305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F03053" w:rsidRPr="00926E87" w:rsidRDefault="00F03053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F03053" w:rsidRDefault="00F03053" w:rsidP="001D0972">
      <w:r>
        <w:t xml:space="preserve">Genève, </w:t>
      </w:r>
      <w:r w:rsidRPr="00F03053">
        <w:rPr>
          <w:lang w:val="fr-FR"/>
        </w:rPr>
        <w:t>17-21 septembre 2018</w:t>
      </w:r>
    </w:p>
    <w:p w:rsidR="00F03053" w:rsidRDefault="00F03053" w:rsidP="00AF0CB5">
      <w:r w:rsidRPr="00B93E72">
        <w:t xml:space="preserve">Point </w:t>
      </w:r>
      <w:r>
        <w:t>5 a)</w:t>
      </w:r>
      <w:r w:rsidRPr="00B93E72">
        <w:t xml:space="preserve"> de l’ordre du jour provisoire</w:t>
      </w:r>
    </w:p>
    <w:p w:rsidR="00F9573C" w:rsidRDefault="00F03053" w:rsidP="00AF0CB5">
      <w:pPr>
        <w:rPr>
          <w:b/>
          <w:lang w:val="fr-FR"/>
        </w:rPr>
      </w:pPr>
      <w:r w:rsidRPr="00F03053">
        <w:rPr>
          <w:b/>
          <w:lang w:val="fr-FR"/>
        </w:rPr>
        <w:t xml:space="preserve">Propositions diverses d’amendements au RID/ADR/ADN : </w:t>
      </w:r>
      <w:r w:rsidRPr="00F03053">
        <w:rPr>
          <w:b/>
        </w:rPr>
        <w:br/>
      </w:r>
      <w:r w:rsidRPr="00F03053">
        <w:rPr>
          <w:b/>
          <w:lang w:val="fr-FR"/>
        </w:rPr>
        <w:t>Questions en suspens</w:t>
      </w:r>
    </w:p>
    <w:p w:rsidR="00F03053" w:rsidRPr="00F03053" w:rsidRDefault="00F03053" w:rsidP="00F03053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F03053">
        <w:rPr>
          <w:lang w:val="fr-FR"/>
        </w:rPr>
        <w:t>Nu</w:t>
      </w:r>
      <w:r w:rsidR="001D0972">
        <w:rPr>
          <w:lang w:val="fr-FR"/>
        </w:rPr>
        <w:t>méro d’identification du danger </w:t>
      </w:r>
      <w:r w:rsidRPr="00F03053">
        <w:rPr>
          <w:lang w:val="fr-FR"/>
        </w:rPr>
        <w:t>836</w:t>
      </w:r>
    </w:p>
    <w:p w:rsidR="00F03053" w:rsidRDefault="00F03053" w:rsidP="00F03053">
      <w:pPr>
        <w:pStyle w:val="H1G"/>
        <w:rPr>
          <w:b w:val="0"/>
          <w:sz w:val="20"/>
          <w:lang w:val="fr-FR"/>
        </w:rPr>
      </w:pPr>
      <w:r w:rsidRPr="00F03053">
        <w:rPr>
          <w:lang w:val="fr-FR"/>
        </w:rPr>
        <w:tab/>
      </w:r>
      <w:r w:rsidRPr="00F03053">
        <w:rPr>
          <w:lang w:val="fr-FR"/>
        </w:rPr>
        <w:tab/>
        <w:t>Communication du Gouvernement espagnol</w:t>
      </w:r>
      <w:r w:rsidRPr="00F03053">
        <w:rPr>
          <w:b w:val="0"/>
          <w:sz w:val="20"/>
          <w:lang w:val="en-GB"/>
        </w:rPr>
        <w:footnoteReference w:id="2"/>
      </w:r>
      <w:r w:rsidRPr="006E42B8">
        <w:rPr>
          <w:b w:val="0"/>
          <w:position w:val="6"/>
          <w:sz w:val="20"/>
          <w:lang w:val="fr-FR"/>
        </w:rPr>
        <w:t>,</w:t>
      </w:r>
      <w:r>
        <w:rPr>
          <w:vertAlign w:val="superscript"/>
          <w:lang w:val="fr-FR"/>
        </w:rPr>
        <w:t xml:space="preserve"> </w:t>
      </w:r>
      <w:r w:rsidRPr="00F03053">
        <w:rPr>
          <w:b w:val="0"/>
          <w:sz w:val="20"/>
          <w:lang w:val="fr-FR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F030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03053" w:rsidRPr="000001E7" w:rsidRDefault="00F03053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F030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03053" w:rsidRDefault="00F03053" w:rsidP="00F03053">
            <w:pPr>
              <w:pStyle w:val="SingleTxtG"/>
              <w:ind w:left="3402" w:hanging="2268"/>
              <w:jc w:val="left"/>
            </w:pPr>
            <w:r w:rsidRPr="00F03053"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 w:rsidRPr="00F03053">
              <w:rPr>
                <w:bCs/>
                <w:lang w:val="fr-FR"/>
              </w:rPr>
              <w:t>:</w:t>
            </w:r>
            <w:r w:rsidRPr="00F03053">
              <w:rPr>
                <w:lang w:val="fr-FR"/>
              </w:rPr>
              <w:tab/>
              <w:t>Proposition visant à introduire le numéro d’identification d</w:t>
            </w:r>
            <w:r w:rsidR="00884C8D">
              <w:rPr>
                <w:lang w:val="fr-FR"/>
              </w:rPr>
              <w:t>u </w:t>
            </w:r>
            <w:r w:rsidR="001D0972">
              <w:rPr>
                <w:lang w:val="fr-FR"/>
              </w:rPr>
              <w:t>danger 836 pour le numéro ONU </w:t>
            </w:r>
            <w:r w:rsidRPr="00F03053">
              <w:rPr>
                <w:lang w:val="fr-FR"/>
              </w:rPr>
              <w:t>2683, SULFURE D’AMMONIUM EN SOLUTION.</w:t>
            </w:r>
          </w:p>
        </w:tc>
      </w:tr>
      <w:tr w:rsidR="00F030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03053" w:rsidRDefault="00F03053" w:rsidP="00F03053">
            <w:pPr>
              <w:pStyle w:val="SingleTxtG"/>
              <w:ind w:left="3402" w:hanging="2268"/>
              <w:jc w:val="left"/>
            </w:pPr>
            <w:r w:rsidRPr="00F03053">
              <w:rPr>
                <w:b/>
                <w:bCs/>
                <w:lang w:val="fr-FR"/>
              </w:rPr>
              <w:t>Mesure à prendre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lang w:val="fr-FR"/>
              </w:rPr>
              <w:t>:</w:t>
            </w:r>
            <w:r w:rsidRPr="00F03053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F03053">
              <w:rPr>
                <w:lang w:val="fr-FR"/>
              </w:rPr>
              <w:t>Modifier la colonne 20 du tablea</w:t>
            </w:r>
            <w:r w:rsidR="001D0972">
              <w:rPr>
                <w:lang w:val="fr-FR"/>
              </w:rPr>
              <w:t>u A figurant au chapitre </w:t>
            </w:r>
            <w:r>
              <w:rPr>
                <w:lang w:val="fr-FR"/>
              </w:rPr>
              <w:t>3.2 du </w:t>
            </w:r>
            <w:r w:rsidRPr="00F03053">
              <w:rPr>
                <w:lang w:val="fr-FR"/>
              </w:rPr>
              <w:t xml:space="preserve">RID et de l’ADR </w:t>
            </w:r>
            <w:r>
              <w:rPr>
                <w:lang w:val="fr-FR"/>
              </w:rPr>
              <w:t>concernant le numéro ONU </w:t>
            </w:r>
            <w:r w:rsidRPr="00F03053">
              <w:rPr>
                <w:lang w:val="fr-FR"/>
              </w:rPr>
              <w:t>2683.</w:t>
            </w:r>
          </w:p>
        </w:tc>
      </w:tr>
      <w:tr w:rsidR="00F030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03053" w:rsidRPr="00F03053" w:rsidRDefault="00F03053" w:rsidP="00F03053">
            <w:pPr>
              <w:pStyle w:val="SingleTxtG"/>
              <w:ind w:left="3402" w:hanging="2268"/>
              <w:jc w:val="left"/>
              <w:rPr>
                <w:b/>
                <w:bCs/>
                <w:lang w:val="fr-FR"/>
              </w:rPr>
            </w:pPr>
            <w:r w:rsidRPr="00F03053"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</w:t>
            </w:r>
            <w:r w:rsidRPr="00F03053">
              <w:rPr>
                <w:bCs/>
                <w:lang w:val="fr-FR"/>
              </w:rPr>
              <w:t>:</w:t>
            </w:r>
            <w:r>
              <w:rPr>
                <w:b/>
                <w:bCs/>
                <w:lang w:val="fr-FR"/>
              </w:rPr>
              <w:tab/>
            </w:r>
            <w:r w:rsidRPr="00F03053">
              <w:rPr>
                <w:bCs/>
                <w:lang w:val="fr-FR"/>
              </w:rPr>
              <w:t>Document informel INF.15 (Espagne) (session de printemps 2018) ECE/TRANS/WP.15/AC.1/150, paragraphes 39 à 43.</w:t>
            </w:r>
          </w:p>
        </w:tc>
      </w:tr>
      <w:tr w:rsidR="00F0305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03053" w:rsidRDefault="00F03053" w:rsidP="00216E0F"/>
        </w:tc>
      </w:tr>
    </w:tbl>
    <w:p w:rsidR="00F03053" w:rsidRDefault="00F03053" w:rsidP="00F03053">
      <w:pPr>
        <w:rPr>
          <w:lang w:val="fr-FR"/>
        </w:rPr>
      </w:pPr>
    </w:p>
    <w:p w:rsidR="00F03053" w:rsidRPr="00F03053" w:rsidRDefault="00F03053" w:rsidP="00F03053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F03053">
        <w:rPr>
          <w:lang w:val="fr-FR"/>
        </w:rPr>
        <w:t>Contexte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1.</w:t>
      </w:r>
      <w:r w:rsidRPr="00F03053">
        <w:rPr>
          <w:lang w:val="fr-FR"/>
        </w:rPr>
        <w:tab/>
        <w:t>À la session de printemps de la Réunion commune, l’Espagne a présenté le document informel INF.15, dans lequel il est proposé d’introduire, pour le numéro ONU</w:t>
      </w:r>
      <w:r>
        <w:rPr>
          <w:lang w:val="fr-FR"/>
        </w:rPr>
        <w:t> </w:t>
      </w:r>
      <w:r w:rsidRPr="00F03053">
        <w:rPr>
          <w:lang w:val="fr-FR"/>
        </w:rPr>
        <w:t>2683, SULFURE D’AMMONIUM EN SOLUTION, le nu</w:t>
      </w:r>
      <w:r w:rsidR="001D0972">
        <w:rPr>
          <w:lang w:val="fr-FR"/>
        </w:rPr>
        <w:t>méro d’identification du danger </w:t>
      </w:r>
      <w:r w:rsidRPr="00F03053">
        <w:rPr>
          <w:lang w:val="fr-FR"/>
        </w:rPr>
        <w:t xml:space="preserve">836, à la place de celui qui lui est </w:t>
      </w:r>
      <w:r>
        <w:rPr>
          <w:lang w:val="fr-FR"/>
        </w:rPr>
        <w:t>attribué actuellement, à savoir </w:t>
      </w:r>
      <w:r w:rsidRPr="00F03053">
        <w:rPr>
          <w:lang w:val="fr-FR"/>
        </w:rPr>
        <w:t>86. Cette matière est corrosive, inflammable et toxique, et le numéro d’</w:t>
      </w:r>
      <w:r>
        <w:rPr>
          <w:lang w:val="fr-FR"/>
        </w:rPr>
        <w:t>identification du danger </w:t>
      </w:r>
      <w:r w:rsidRPr="00F03053">
        <w:rPr>
          <w:lang w:val="fr-FR"/>
        </w:rPr>
        <w:t>836 permettrait de faire connaître ces trois risques.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2.</w:t>
      </w:r>
      <w:r w:rsidRPr="00F03053">
        <w:rPr>
          <w:lang w:val="fr-FR"/>
        </w:rPr>
        <w:tab/>
        <w:t>Lors de la Réunion commune, cette proposition a été examinée et jugée intéressante, mais il a été estimé que l’attribution de ce numéro d’identification du danger pourrait peut-être contrevenir aux principes au titre desquels le numéro d’identification du danger avait été attribué (ECE/TR</w:t>
      </w:r>
      <w:r>
        <w:rPr>
          <w:lang w:val="fr-FR"/>
        </w:rPr>
        <w:t>ANS/WP.15/AC.1/150, par. </w:t>
      </w:r>
      <w:r w:rsidRPr="00F03053">
        <w:rPr>
          <w:lang w:val="fr-FR"/>
        </w:rPr>
        <w:t xml:space="preserve">39 à 43). 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3.</w:t>
      </w:r>
      <w:r w:rsidRPr="00F03053">
        <w:rPr>
          <w:lang w:val="fr-FR"/>
        </w:rPr>
        <w:tab/>
        <w:t>Les parties intéressées ont été invitées à collaborer avec l’Espagne en présentant d’autres cas où un examen des numéros d’identification du danger pourrait être nécessaire, afin de pouvoir établir une proposition révisée pour la session d’automne.</w:t>
      </w:r>
    </w:p>
    <w:p w:rsidR="00F03053" w:rsidRPr="00F03053" w:rsidRDefault="00F03053" w:rsidP="00F03053">
      <w:pPr>
        <w:pStyle w:val="HChG"/>
      </w:pPr>
      <w:r w:rsidRPr="00F03053">
        <w:rPr>
          <w:lang w:val="fr-FR"/>
        </w:rPr>
        <w:tab/>
      </w:r>
      <w:r w:rsidRPr="00F03053">
        <w:rPr>
          <w:lang w:val="fr-FR"/>
        </w:rPr>
        <w:tab/>
        <w:t>Introduction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4.</w:t>
      </w:r>
      <w:r w:rsidRPr="00F03053">
        <w:rPr>
          <w:lang w:val="fr-FR"/>
        </w:rPr>
        <w:tab/>
        <w:t xml:space="preserve">L’Espagne a reçu des observations de la Pologne, de l’Allemagne et des Pays-Bas à ce sujet. 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5.</w:t>
      </w:r>
      <w:r w:rsidRPr="00F03053">
        <w:rPr>
          <w:lang w:val="fr-FR"/>
        </w:rPr>
        <w:tab/>
        <w:t>La logique d’attribution du numéro d’identification du danger a fait l’objet d’une révision conjointe. Le principal problème relevé réside</w:t>
      </w:r>
      <w:r>
        <w:rPr>
          <w:lang w:val="fr-FR"/>
        </w:rPr>
        <w:t xml:space="preserve"> </w:t>
      </w:r>
      <w:r w:rsidRPr="00F03053">
        <w:rPr>
          <w:lang w:val="fr-FR"/>
        </w:rPr>
        <w:t>dans la difficulté de faire connaître l’ensemble des</w:t>
      </w:r>
      <w:r>
        <w:rPr>
          <w:lang w:val="fr-FR"/>
        </w:rPr>
        <w:t xml:space="preserve"> </w:t>
      </w:r>
      <w:r w:rsidRPr="00F03053">
        <w:rPr>
          <w:lang w:val="fr-FR"/>
        </w:rPr>
        <w:t>informations sur</w:t>
      </w:r>
      <w:r>
        <w:rPr>
          <w:lang w:val="fr-FR"/>
        </w:rPr>
        <w:t xml:space="preserve"> </w:t>
      </w:r>
      <w:r w:rsidRPr="00F03053">
        <w:rPr>
          <w:lang w:val="fr-FR"/>
        </w:rPr>
        <w:t>les dangers</w:t>
      </w:r>
      <w:r>
        <w:rPr>
          <w:lang w:val="fr-FR"/>
        </w:rPr>
        <w:t xml:space="preserve"> </w:t>
      </w:r>
      <w:r w:rsidRPr="00F03053">
        <w:rPr>
          <w:lang w:val="fr-FR"/>
        </w:rPr>
        <w:t>à l’aide d’un maximum de trois chiffres dans</w:t>
      </w:r>
      <w:r>
        <w:rPr>
          <w:lang w:val="fr-FR"/>
        </w:rPr>
        <w:t xml:space="preserve"> </w:t>
      </w:r>
      <w:r w:rsidRPr="00F03053">
        <w:rPr>
          <w:lang w:val="fr-FR"/>
        </w:rPr>
        <w:t>ce numéro d’identification</w:t>
      </w:r>
      <w:r>
        <w:rPr>
          <w:lang w:val="fr-FR"/>
        </w:rPr>
        <w:t xml:space="preserve"> </w:t>
      </w:r>
      <w:r w:rsidR="001D0972">
        <w:rPr>
          <w:lang w:val="fr-FR"/>
        </w:rPr>
        <w:t>(+ </w:t>
      </w:r>
      <w:r w:rsidRPr="00F03053">
        <w:rPr>
          <w:lang w:val="fr-FR"/>
        </w:rPr>
        <w:t>« X »). Il faut parfois</w:t>
      </w:r>
      <w:r>
        <w:rPr>
          <w:lang w:val="fr-FR"/>
        </w:rPr>
        <w:t xml:space="preserve"> </w:t>
      </w:r>
      <w:r w:rsidRPr="00F03053">
        <w:rPr>
          <w:lang w:val="fr-FR"/>
        </w:rPr>
        <w:t>faire un choix entre les différentes informations à transmettre à l’aide de</w:t>
      </w:r>
      <w:r>
        <w:rPr>
          <w:lang w:val="fr-FR"/>
        </w:rPr>
        <w:t xml:space="preserve"> </w:t>
      </w:r>
      <w:r w:rsidRPr="00F03053">
        <w:rPr>
          <w:lang w:val="fr-FR"/>
        </w:rPr>
        <w:t xml:space="preserve">trois chiffres seulement, car il arrive qu’un chiffre apparaissait deux fois pour signaler un risque plus élevé et que, pour certains numéros ONU, plus de trois dangers doivent être signalés. 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6.</w:t>
      </w:r>
      <w:r w:rsidRPr="00F03053">
        <w:rPr>
          <w:lang w:val="fr-FR"/>
        </w:rPr>
        <w:tab/>
        <w:t>Toutefois, le cas présenté par l’Espagne est légèrement différent. Alors que la matière présente trois dangers et que trois chiffres auraient pu être utilisés, il ne lui en a été attribué que deux. Sans préjudice de la démarche adoptée pour attribuer le numéro d’identific</w:t>
      </w:r>
      <w:r w:rsidR="003C0745">
        <w:rPr>
          <w:lang w:val="fr-FR"/>
        </w:rPr>
        <w:t>ation du danger jusqu’à présent</w:t>
      </w:r>
      <w:r w:rsidRPr="00F03053">
        <w:rPr>
          <w:lang w:val="fr-FR"/>
        </w:rPr>
        <w:t xml:space="preserve">, un troisième chiffre pourrait être ajouté et les renseignements transmis par le numéro d’identification du danger pourraient être plus complets. 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7.</w:t>
      </w:r>
      <w:r w:rsidRPr="00F03053">
        <w:rPr>
          <w:lang w:val="fr-FR"/>
        </w:rPr>
        <w:tab/>
        <w:t>Contrairement à tous les autres cas où seuls deux chiffres ont été attribués à un numéro ONU,</w:t>
      </w:r>
      <w:r>
        <w:rPr>
          <w:lang w:val="fr-FR"/>
        </w:rPr>
        <w:t xml:space="preserve"> </w:t>
      </w:r>
      <w:r w:rsidRPr="00F03053">
        <w:rPr>
          <w:lang w:val="fr-FR"/>
        </w:rPr>
        <w:t>le numéro en question présente plus de deux dangers.</w:t>
      </w:r>
      <w:r>
        <w:rPr>
          <w:lang w:val="fr-FR"/>
        </w:rPr>
        <w:t xml:space="preserve"> 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8.</w:t>
      </w:r>
      <w:r w:rsidRPr="00F03053">
        <w:rPr>
          <w:lang w:val="fr-FR"/>
        </w:rPr>
        <w:tab/>
        <w:t>Il était aussi suggéré dans le document original présenté par l’Espagne d’attribuer ce numéro d’identific</w:t>
      </w:r>
      <w:r>
        <w:rPr>
          <w:lang w:val="fr-FR"/>
        </w:rPr>
        <w:t>ation du danger aux numéros ONU </w:t>
      </w:r>
      <w:r w:rsidR="00401303">
        <w:rPr>
          <w:lang w:val="fr-FR"/>
        </w:rPr>
        <w:t>2029 et </w:t>
      </w:r>
      <w:r w:rsidRPr="00F03053">
        <w:rPr>
          <w:lang w:val="fr-FR"/>
        </w:rPr>
        <w:t>3484, car ils présentent les mêmes associations de dangers.</w:t>
      </w:r>
      <w:r>
        <w:rPr>
          <w:lang w:val="fr-FR"/>
        </w:rPr>
        <w:t xml:space="preserve"> </w:t>
      </w:r>
      <w:r w:rsidRPr="00F03053">
        <w:rPr>
          <w:lang w:val="fr-FR"/>
        </w:rPr>
        <w:t>Un</w:t>
      </w:r>
      <w:r w:rsidR="005715D0">
        <w:rPr>
          <w:lang w:val="fr-FR"/>
        </w:rPr>
        <w:t>e</w:t>
      </w:r>
      <w:r w:rsidRPr="00F03053">
        <w:rPr>
          <w:lang w:val="fr-FR"/>
        </w:rPr>
        <w:t xml:space="preserve"> telle démarche ne serait toutefois pas cohérente avec les attributions systématiques de numéros d’identification du danger, car dans ces deux cas le numéro d’</w:t>
      </w:r>
      <w:r>
        <w:rPr>
          <w:lang w:val="fr-FR"/>
        </w:rPr>
        <w:t>identification du danger </w:t>
      </w:r>
      <w:r w:rsidR="005715D0">
        <w:rPr>
          <w:lang w:val="fr-FR"/>
        </w:rPr>
        <w:t xml:space="preserve">886 (qui </w:t>
      </w:r>
      <w:r w:rsidRPr="00F03053">
        <w:rPr>
          <w:lang w:val="fr-FR"/>
        </w:rPr>
        <w:t xml:space="preserve">n’est </w:t>
      </w:r>
      <w:r>
        <w:rPr>
          <w:lang w:val="fr-FR"/>
        </w:rPr>
        <w:t>attribué au numéro ONU </w:t>
      </w:r>
      <w:r w:rsidRPr="00F03053">
        <w:rPr>
          <w:lang w:val="fr-FR"/>
        </w:rPr>
        <w:t>2029</w:t>
      </w:r>
      <w:r>
        <w:rPr>
          <w:lang w:val="fr-FR"/>
        </w:rPr>
        <w:t xml:space="preserve"> </w:t>
      </w:r>
      <w:r w:rsidRPr="00F03053">
        <w:rPr>
          <w:lang w:val="fr-FR"/>
        </w:rPr>
        <w:t>que dans le cadre du RID)</w:t>
      </w:r>
      <w:r>
        <w:rPr>
          <w:lang w:val="fr-FR"/>
        </w:rPr>
        <w:t xml:space="preserve"> </w:t>
      </w:r>
      <w:r w:rsidRPr="00F03053">
        <w:rPr>
          <w:lang w:val="fr-FR"/>
        </w:rPr>
        <w:t>vise à signaler un important danger de corrosion. Par conséquent, cette proposition se limite au</w:t>
      </w:r>
      <w:r>
        <w:rPr>
          <w:lang w:val="fr-FR"/>
        </w:rPr>
        <w:t xml:space="preserve"> numéro ONU </w:t>
      </w:r>
      <w:r w:rsidRPr="00F03053">
        <w:rPr>
          <w:lang w:val="fr-FR"/>
        </w:rPr>
        <w:t>2683.</w:t>
      </w:r>
    </w:p>
    <w:p w:rsidR="00F03053" w:rsidRPr="00F03053" w:rsidRDefault="00F03053" w:rsidP="00F03053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F03053">
        <w:rPr>
          <w:lang w:val="fr-FR"/>
        </w:rPr>
        <w:t>Propositions</w:t>
      </w:r>
    </w:p>
    <w:p w:rsidR="00F03053" w:rsidRPr="00F03053" w:rsidRDefault="00F03053" w:rsidP="00F03053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Modifier le tableau A du chapitre </w:t>
      </w:r>
      <w:r w:rsidRPr="00F03053">
        <w:rPr>
          <w:lang w:val="fr-FR"/>
        </w:rPr>
        <w:t xml:space="preserve">3.2 </w:t>
      </w:r>
      <w:r w:rsidR="00401303">
        <w:rPr>
          <w:lang w:val="fr-FR"/>
        </w:rPr>
        <w:t>du RID/de l’ADR comme suit (les </w:t>
      </w:r>
      <w:r w:rsidRPr="00F03053">
        <w:rPr>
          <w:lang w:val="fr-FR"/>
        </w:rPr>
        <w:t xml:space="preserve">changements apparaissent en caractères </w:t>
      </w:r>
      <w:r w:rsidRPr="00F03053">
        <w:rPr>
          <w:b/>
          <w:bCs/>
          <w:u w:val="single"/>
          <w:lang w:val="fr-FR"/>
        </w:rPr>
        <w:t>gras soulignés</w:t>
      </w:r>
      <w:r w:rsidRPr="00F03053">
        <w:rPr>
          <w:lang w:val="fr-FR"/>
        </w:rPr>
        <w:t>)</w:t>
      </w:r>
      <w:r>
        <w:rPr>
          <w:lang w:val="fr-FR"/>
        </w:rPr>
        <w:t> :</w:t>
      </w:r>
    </w:p>
    <w:tbl>
      <w:tblPr>
        <w:tblW w:w="8503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62"/>
        <w:gridCol w:w="1026"/>
        <w:gridCol w:w="1027"/>
        <w:gridCol w:w="1027"/>
        <w:gridCol w:w="1026"/>
        <w:gridCol w:w="1027"/>
        <w:gridCol w:w="1027"/>
      </w:tblGrid>
      <w:tr w:rsidR="00F03053" w:rsidRPr="005715D0" w:rsidTr="00F612BC">
        <w:trPr>
          <w:trHeight w:val="20"/>
          <w:tblHeader/>
        </w:trPr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  <w:lang w:val="en-GB"/>
              </w:rPr>
            </w:pPr>
            <w:r w:rsidRPr="005715D0">
              <w:rPr>
                <w:b/>
                <w:sz w:val="14"/>
                <w:szCs w:val="14"/>
                <w:lang w:val="fr-FR"/>
              </w:rPr>
              <w:t>N° ONU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  <w:lang w:val="en-GB"/>
              </w:rPr>
            </w:pPr>
            <w:r w:rsidRPr="005715D0">
              <w:rPr>
                <w:b/>
                <w:bCs/>
                <w:sz w:val="14"/>
                <w:szCs w:val="14"/>
                <w:lang w:val="fr-FR"/>
              </w:rPr>
              <w:t>Nom et description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  <w:lang w:val="en-GB"/>
              </w:rPr>
            </w:pPr>
            <w:r w:rsidRPr="005715D0">
              <w:rPr>
                <w:b/>
                <w:bCs/>
                <w:sz w:val="14"/>
                <w:szCs w:val="14"/>
                <w:lang w:val="fr-FR"/>
              </w:rPr>
              <w:t>Classe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  <w:lang w:val="en-GB"/>
              </w:rPr>
            </w:pPr>
            <w:r w:rsidRPr="005715D0">
              <w:rPr>
                <w:b/>
                <w:bCs/>
                <w:sz w:val="14"/>
                <w:szCs w:val="14"/>
                <w:lang w:val="fr-FR"/>
              </w:rPr>
              <w:t>Code de classification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  <w:lang w:val="en-GB"/>
              </w:rPr>
            </w:pPr>
            <w:r w:rsidRPr="005715D0">
              <w:rPr>
                <w:b/>
                <w:bCs/>
                <w:sz w:val="14"/>
                <w:szCs w:val="14"/>
                <w:lang w:val="fr-FR"/>
              </w:rPr>
              <w:t>Groupe d’emballage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  <w:lang w:val="en-GB"/>
              </w:rPr>
            </w:pPr>
            <w:r w:rsidRPr="005715D0">
              <w:rPr>
                <w:b/>
                <w:bCs/>
                <w:sz w:val="14"/>
                <w:szCs w:val="14"/>
                <w:lang w:val="fr-FR"/>
              </w:rPr>
              <w:t>Étiquettes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</w:rPr>
            </w:pPr>
            <w:r w:rsidRPr="005715D0">
              <w:rPr>
                <w:b/>
                <w:sz w:val="14"/>
                <w:szCs w:val="14"/>
                <w:lang w:val="fr-FR"/>
              </w:rPr>
              <w:t>Véhicule pour transport en citernes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03053" w:rsidRPr="005715D0" w:rsidRDefault="00F03053" w:rsidP="00C67158">
            <w:pPr>
              <w:spacing w:before="80" w:after="80" w:line="220" w:lineRule="atLeast"/>
              <w:ind w:left="57"/>
              <w:rPr>
                <w:b/>
                <w:bCs/>
                <w:sz w:val="14"/>
                <w:szCs w:val="14"/>
                <w:lang w:val="en-GB"/>
              </w:rPr>
            </w:pPr>
            <w:r w:rsidRPr="005715D0">
              <w:rPr>
                <w:b/>
                <w:sz w:val="14"/>
                <w:szCs w:val="14"/>
                <w:lang w:val="fr-FR"/>
              </w:rPr>
              <w:t>Numéro d’identification du danger</w:t>
            </w:r>
          </w:p>
        </w:tc>
      </w:tr>
      <w:tr w:rsidR="00F03053" w:rsidRPr="00C67158" w:rsidTr="00F612BC"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sz w:val="18"/>
                <w:szCs w:val="18"/>
                <w:lang w:val="es-ES"/>
              </w:rPr>
            </w:pPr>
            <w:r w:rsidRPr="00C67158">
              <w:rPr>
                <w:b/>
                <w:sz w:val="18"/>
                <w:szCs w:val="18"/>
                <w:lang w:val="es-ES"/>
              </w:rPr>
              <w:t> 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C67158">
              <w:rPr>
                <w:b/>
                <w:sz w:val="18"/>
                <w:szCs w:val="18"/>
                <w:lang w:val="fr-FR"/>
              </w:rPr>
              <w:t>3.1.2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C67158">
              <w:rPr>
                <w:b/>
                <w:sz w:val="18"/>
                <w:szCs w:val="18"/>
                <w:lang w:val="fr-FR"/>
              </w:rPr>
              <w:t>2.2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C67158">
              <w:rPr>
                <w:b/>
                <w:sz w:val="18"/>
                <w:szCs w:val="18"/>
                <w:lang w:val="fr-FR"/>
              </w:rPr>
              <w:t>2.2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C67158">
              <w:rPr>
                <w:b/>
                <w:sz w:val="18"/>
                <w:szCs w:val="18"/>
                <w:lang w:val="fr-FR"/>
              </w:rPr>
              <w:t>2.1.1.3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C67158">
              <w:rPr>
                <w:b/>
                <w:sz w:val="18"/>
                <w:szCs w:val="18"/>
                <w:lang w:val="fr-FR"/>
              </w:rPr>
              <w:t>5.2.2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C67158">
              <w:rPr>
                <w:b/>
                <w:sz w:val="18"/>
                <w:szCs w:val="18"/>
                <w:lang w:val="fr-FR"/>
              </w:rPr>
              <w:t>9.1.1.2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C67158">
              <w:rPr>
                <w:b/>
                <w:sz w:val="18"/>
                <w:szCs w:val="18"/>
                <w:lang w:val="fr-FR"/>
              </w:rPr>
              <w:t>5.3.2.3</w:t>
            </w:r>
          </w:p>
        </w:tc>
      </w:tr>
      <w:tr w:rsidR="00F03053" w:rsidRPr="005715D0" w:rsidTr="00F612BC"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5715D0">
              <w:rPr>
                <w:b/>
                <w:sz w:val="18"/>
                <w:szCs w:val="18"/>
                <w:lang w:val="fr-FR"/>
              </w:rPr>
              <w:t>(1)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5715D0">
              <w:rPr>
                <w:b/>
                <w:sz w:val="18"/>
                <w:szCs w:val="18"/>
                <w:lang w:val="fr-FR"/>
              </w:rPr>
              <w:t>(2)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s-ES"/>
              </w:rPr>
            </w:pPr>
            <w:r w:rsidRPr="005715D0">
              <w:rPr>
                <w:b/>
                <w:bCs/>
                <w:sz w:val="18"/>
                <w:szCs w:val="18"/>
                <w:lang w:val="es-ES"/>
              </w:rPr>
              <w:t>(3a)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s-ES"/>
              </w:rPr>
            </w:pPr>
            <w:r w:rsidRPr="005715D0">
              <w:rPr>
                <w:b/>
                <w:bCs/>
                <w:sz w:val="18"/>
                <w:szCs w:val="18"/>
                <w:lang w:val="es-ES"/>
              </w:rPr>
              <w:t>(3b)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5715D0">
              <w:rPr>
                <w:b/>
                <w:sz w:val="18"/>
                <w:szCs w:val="18"/>
                <w:lang w:val="fr-FR"/>
              </w:rPr>
              <w:t>(4)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5715D0">
              <w:rPr>
                <w:b/>
                <w:sz w:val="18"/>
                <w:szCs w:val="18"/>
                <w:lang w:val="fr-FR"/>
              </w:rPr>
              <w:t>(5)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5715D0">
              <w:rPr>
                <w:b/>
                <w:sz w:val="18"/>
                <w:szCs w:val="18"/>
                <w:lang w:val="fr-FR"/>
              </w:rPr>
              <w:t>(14)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3053" w:rsidRPr="005715D0" w:rsidRDefault="00F03053" w:rsidP="00C67158">
            <w:pPr>
              <w:spacing w:before="60" w:after="60" w:line="220" w:lineRule="atLeast"/>
              <w:ind w:left="57"/>
              <w:rPr>
                <w:b/>
                <w:bCs/>
                <w:sz w:val="18"/>
                <w:szCs w:val="18"/>
                <w:lang w:val="en-GB"/>
              </w:rPr>
            </w:pPr>
            <w:r w:rsidRPr="005715D0">
              <w:rPr>
                <w:b/>
                <w:sz w:val="18"/>
                <w:szCs w:val="18"/>
                <w:lang w:val="fr-FR"/>
              </w:rPr>
              <w:t>(20)</w:t>
            </w:r>
          </w:p>
        </w:tc>
      </w:tr>
      <w:tr w:rsidR="00F03053" w:rsidRPr="00C67158" w:rsidTr="00F612BC"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67158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  <w:lang w:val="es-ES"/>
              </w:rPr>
            </w:pPr>
            <w:r w:rsidRPr="00C67158">
              <w:rPr>
                <w:sz w:val="18"/>
                <w:szCs w:val="18"/>
                <w:lang w:val="es-ES"/>
              </w:rPr>
              <w:t>2683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71566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C67158">
              <w:rPr>
                <w:sz w:val="18"/>
                <w:szCs w:val="18"/>
                <w:lang w:val="fr-FR"/>
              </w:rPr>
              <w:t xml:space="preserve">SULFURE D’AMMONIUM </w:t>
            </w:r>
            <w:r w:rsidR="00C71566">
              <w:rPr>
                <w:sz w:val="18"/>
                <w:szCs w:val="18"/>
                <w:lang w:val="fr-FR"/>
              </w:rPr>
              <w:br/>
            </w:r>
            <w:r w:rsidRPr="00C67158">
              <w:rPr>
                <w:sz w:val="18"/>
                <w:szCs w:val="18"/>
                <w:lang w:val="fr-FR"/>
              </w:rPr>
              <w:t>EN SOLUTION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71566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C67158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71566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C71566">
              <w:rPr>
                <w:sz w:val="18"/>
                <w:szCs w:val="18"/>
              </w:rPr>
              <w:t>CFT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71566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C71566">
              <w:rPr>
                <w:sz w:val="18"/>
                <w:szCs w:val="18"/>
              </w:rPr>
              <w:t>II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71566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C71566">
              <w:rPr>
                <w:sz w:val="18"/>
                <w:szCs w:val="18"/>
              </w:rPr>
              <w:t>8</w:t>
            </w:r>
            <w:r w:rsidRPr="00C71566">
              <w:rPr>
                <w:sz w:val="18"/>
                <w:szCs w:val="18"/>
              </w:rPr>
              <w:br/>
              <w:t>+3</w:t>
            </w:r>
            <w:r w:rsidRPr="00C71566">
              <w:rPr>
                <w:sz w:val="18"/>
                <w:szCs w:val="18"/>
              </w:rPr>
              <w:br/>
              <w:t>+6,1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71566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C71566">
              <w:rPr>
                <w:sz w:val="18"/>
                <w:szCs w:val="18"/>
              </w:rPr>
              <w:t>FL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03053" w:rsidRPr="00C71566" w:rsidRDefault="00F03053" w:rsidP="00C67158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C67158">
              <w:rPr>
                <w:sz w:val="18"/>
                <w:szCs w:val="18"/>
                <w:lang w:val="fr-FR"/>
              </w:rPr>
              <w:t>8</w:t>
            </w:r>
            <w:r w:rsidRPr="005715D0">
              <w:rPr>
                <w:b/>
                <w:bCs/>
                <w:sz w:val="18"/>
                <w:szCs w:val="18"/>
                <w:u w:val="single"/>
                <w:lang w:val="fr-FR"/>
              </w:rPr>
              <w:t>3</w:t>
            </w:r>
            <w:r w:rsidRPr="00C67158">
              <w:rPr>
                <w:sz w:val="18"/>
                <w:szCs w:val="18"/>
                <w:lang w:val="fr-FR"/>
              </w:rPr>
              <w:t>6</w:t>
            </w:r>
          </w:p>
        </w:tc>
      </w:tr>
    </w:tbl>
    <w:p w:rsidR="00F03053" w:rsidRPr="00C67158" w:rsidRDefault="00F03053" w:rsidP="00F03053">
      <w:pPr>
        <w:pStyle w:val="SingleTxtG"/>
        <w:spacing w:before="240"/>
        <w:rPr>
          <w:lang w:val="fr-FR"/>
        </w:rPr>
      </w:pPr>
      <w:r w:rsidRPr="00F03053">
        <w:rPr>
          <w:lang w:val="fr-FR"/>
        </w:rPr>
        <w:t>10.</w:t>
      </w:r>
      <w:r w:rsidRPr="00F03053">
        <w:rPr>
          <w:lang w:val="fr-FR"/>
        </w:rPr>
        <w:tab/>
        <w:t xml:space="preserve">Insérer le numéro d’identification du danger 836 au paragraphe 5.3.2.3.2 comme suit (les changements apparaissent en caractères </w:t>
      </w:r>
      <w:r w:rsidRPr="00F03053">
        <w:rPr>
          <w:b/>
          <w:bCs/>
          <w:u w:val="single"/>
          <w:lang w:val="fr-FR"/>
        </w:rPr>
        <w:t>gras soulignés</w:t>
      </w:r>
      <w:r w:rsidR="00C67158">
        <w:rPr>
          <w:lang w:val="fr-FR"/>
        </w:rPr>
        <w:t>) :</w:t>
      </w:r>
    </w:p>
    <w:p w:rsidR="00F03053" w:rsidRPr="00F03053" w:rsidRDefault="00F03053" w:rsidP="00F03053">
      <w:pPr>
        <w:pStyle w:val="SingleTxtG"/>
        <w:rPr>
          <w:b/>
        </w:rPr>
      </w:pPr>
      <w:r w:rsidRPr="00F03053">
        <w:rPr>
          <w:b/>
          <w:bCs/>
          <w:u w:val="single"/>
        </w:rPr>
        <w:t>« </w:t>
      </w:r>
      <w:r w:rsidRPr="0072196E">
        <w:rPr>
          <w:b/>
          <w:bCs/>
          <w:u w:val="single"/>
          <w:lang w:val="fr-FR"/>
        </w:rPr>
        <w:t xml:space="preserve">836 </w:t>
      </w:r>
      <w:r w:rsidRPr="0072196E">
        <w:rPr>
          <w:u w:val="single"/>
          <w:lang w:val="fr-FR"/>
        </w:rPr>
        <w:tab/>
      </w:r>
      <w:r w:rsidRPr="00F03053">
        <w:rPr>
          <w:b/>
          <w:bCs/>
          <w:u w:val="single"/>
          <w:lang w:val="fr-FR"/>
        </w:rPr>
        <w:t>Matière corrosive ou faiblement corrosive,</w:t>
      </w:r>
      <w:r>
        <w:rPr>
          <w:b/>
          <w:bCs/>
          <w:u w:val="single"/>
          <w:lang w:val="fr-FR"/>
        </w:rPr>
        <w:t xml:space="preserve"> </w:t>
      </w:r>
      <w:r w:rsidRPr="00F03053">
        <w:rPr>
          <w:b/>
          <w:bCs/>
          <w:u w:val="single"/>
          <w:lang w:val="fr-FR"/>
        </w:rPr>
        <w:t>in</w:t>
      </w:r>
      <w:r w:rsidR="00C67158">
        <w:rPr>
          <w:b/>
          <w:bCs/>
          <w:u w:val="single"/>
          <w:lang w:val="fr-FR"/>
        </w:rPr>
        <w:t>flammable (point d’éclair de 23 </w:t>
      </w:r>
      <w:r w:rsidR="005715D0">
        <w:rPr>
          <w:b/>
          <w:bCs/>
          <w:u w:val="single"/>
          <w:lang w:val="fr-FR"/>
        </w:rPr>
        <w:t>°C à 60</w:t>
      </w:r>
      <w:r w:rsidR="00C67158">
        <w:rPr>
          <w:b/>
          <w:bCs/>
          <w:u w:val="single"/>
          <w:lang w:val="fr-FR"/>
        </w:rPr>
        <w:t> </w:t>
      </w:r>
      <w:r w:rsidRPr="00F03053">
        <w:rPr>
          <w:b/>
          <w:bCs/>
          <w:u w:val="single"/>
          <w:lang w:val="fr-FR"/>
        </w:rPr>
        <w:t>°C, valeurs limites comprises) et toxique. »</w:t>
      </w:r>
    </w:p>
    <w:p w:rsidR="00F03053" w:rsidRPr="00F03053" w:rsidRDefault="00F03053" w:rsidP="00F03053">
      <w:pPr>
        <w:pStyle w:val="HChG"/>
      </w:pPr>
      <w:r w:rsidRPr="00F03053">
        <w:rPr>
          <w:lang w:val="fr-FR"/>
        </w:rPr>
        <w:tab/>
      </w:r>
      <w:r w:rsidRPr="00F03053">
        <w:rPr>
          <w:lang w:val="fr-FR"/>
        </w:rPr>
        <w:tab/>
        <w:t>Justification</w:t>
      </w:r>
    </w:p>
    <w:p w:rsidR="00F03053" w:rsidRPr="00F03053" w:rsidRDefault="00F03053" w:rsidP="00F03053">
      <w:pPr>
        <w:pStyle w:val="SingleTxtG"/>
      </w:pPr>
      <w:r w:rsidRPr="00F03053">
        <w:rPr>
          <w:lang w:val="fr-FR"/>
        </w:rPr>
        <w:t>11.</w:t>
      </w:r>
      <w:r w:rsidRPr="00F03053">
        <w:rPr>
          <w:lang w:val="fr-FR"/>
        </w:rPr>
        <w:tab/>
        <w:t>Les services d’urgence bénéficieraient d’un affichage plus exact des dangers potentiels.</w:t>
      </w:r>
    </w:p>
    <w:p w:rsidR="00F03053" w:rsidRPr="00C67158" w:rsidRDefault="00C67158" w:rsidP="00C6715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03053" w:rsidRPr="00C67158" w:rsidSect="00F030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8A" w:rsidRDefault="0070158A" w:rsidP="00F95C08">
      <w:pPr>
        <w:spacing w:line="240" w:lineRule="auto"/>
      </w:pPr>
    </w:p>
  </w:endnote>
  <w:endnote w:type="continuationSeparator" w:id="0">
    <w:p w:rsidR="0070158A" w:rsidRPr="00AC3823" w:rsidRDefault="0070158A" w:rsidP="00AC3823">
      <w:pPr>
        <w:pStyle w:val="Footer"/>
      </w:pPr>
    </w:p>
  </w:endnote>
  <w:endnote w:type="continuationNotice" w:id="1">
    <w:p w:rsidR="0070158A" w:rsidRDefault="007015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53" w:rsidRPr="00F03053" w:rsidRDefault="00F03053" w:rsidP="00F03053">
    <w:pPr>
      <w:pStyle w:val="Footer"/>
      <w:tabs>
        <w:tab w:val="right" w:pos="9638"/>
      </w:tabs>
    </w:pPr>
    <w:r w:rsidRPr="00F03053">
      <w:rPr>
        <w:b/>
        <w:sz w:val="18"/>
      </w:rPr>
      <w:fldChar w:fldCharType="begin"/>
    </w:r>
    <w:r w:rsidRPr="00F03053">
      <w:rPr>
        <w:b/>
        <w:sz w:val="18"/>
      </w:rPr>
      <w:instrText xml:space="preserve"> PAGE  \* MERGEFORMAT </w:instrText>
    </w:r>
    <w:r w:rsidRPr="00F03053">
      <w:rPr>
        <w:b/>
        <w:sz w:val="18"/>
      </w:rPr>
      <w:fldChar w:fldCharType="separate"/>
    </w:r>
    <w:r w:rsidR="003F1B87">
      <w:rPr>
        <w:b/>
        <w:noProof/>
        <w:sz w:val="18"/>
      </w:rPr>
      <w:t>2</w:t>
    </w:r>
    <w:r w:rsidRPr="00F03053">
      <w:rPr>
        <w:b/>
        <w:sz w:val="18"/>
      </w:rPr>
      <w:fldChar w:fldCharType="end"/>
    </w:r>
    <w:r>
      <w:rPr>
        <w:b/>
        <w:sz w:val="18"/>
      </w:rPr>
      <w:tab/>
    </w:r>
    <w:r>
      <w:t>GE.18-10438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53" w:rsidRPr="00F03053" w:rsidRDefault="00F03053" w:rsidP="00F03053">
    <w:pPr>
      <w:pStyle w:val="Footer"/>
      <w:tabs>
        <w:tab w:val="right" w:pos="9638"/>
      </w:tabs>
      <w:rPr>
        <w:b/>
        <w:sz w:val="18"/>
      </w:rPr>
    </w:pPr>
    <w:r>
      <w:t>GE.18-10438</w:t>
    </w:r>
    <w:r>
      <w:tab/>
    </w:r>
    <w:r w:rsidRPr="00F03053">
      <w:rPr>
        <w:b/>
        <w:sz w:val="18"/>
      </w:rPr>
      <w:fldChar w:fldCharType="begin"/>
    </w:r>
    <w:r w:rsidRPr="00F03053">
      <w:rPr>
        <w:b/>
        <w:sz w:val="18"/>
      </w:rPr>
      <w:instrText xml:space="preserve"> PAGE  \* MERGEFORMAT </w:instrText>
    </w:r>
    <w:r w:rsidRPr="00F03053">
      <w:rPr>
        <w:b/>
        <w:sz w:val="18"/>
      </w:rPr>
      <w:fldChar w:fldCharType="separate"/>
    </w:r>
    <w:r w:rsidR="003F1B87">
      <w:rPr>
        <w:b/>
        <w:noProof/>
        <w:sz w:val="18"/>
      </w:rPr>
      <w:t>3</w:t>
    </w:r>
    <w:r w:rsidRPr="00F030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03053" w:rsidRDefault="00F03053" w:rsidP="00F0305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18-10438 (F)</w:t>
    </w:r>
    <w:r w:rsidR="001D0972">
      <w:rPr>
        <w:sz w:val="20"/>
      </w:rPr>
      <w:t xml:space="preserve">    110718    060818</w:t>
    </w:r>
    <w:r>
      <w:rPr>
        <w:sz w:val="20"/>
      </w:rPr>
      <w:br/>
    </w:r>
    <w:r w:rsidRPr="00F03053">
      <w:rPr>
        <w:rFonts w:ascii="C39T30Lfz" w:hAnsi="C39T30Lfz"/>
        <w:sz w:val="56"/>
      </w:rPr>
      <w:t></w:t>
    </w:r>
    <w:r w:rsidRPr="00F03053">
      <w:rPr>
        <w:rFonts w:ascii="C39T30Lfz" w:hAnsi="C39T30Lfz"/>
        <w:sz w:val="56"/>
      </w:rPr>
      <w:t></w:t>
    </w:r>
    <w:r w:rsidRPr="00F03053">
      <w:rPr>
        <w:rFonts w:ascii="C39T30Lfz" w:hAnsi="C39T30Lfz"/>
        <w:sz w:val="56"/>
      </w:rPr>
      <w:t></w:t>
    </w:r>
    <w:r w:rsidRPr="00F03053">
      <w:rPr>
        <w:rFonts w:ascii="C39T30Lfz" w:hAnsi="C39T30Lfz"/>
        <w:sz w:val="56"/>
      </w:rPr>
      <w:t></w:t>
    </w:r>
    <w:r w:rsidRPr="00F03053">
      <w:rPr>
        <w:rFonts w:ascii="C39T30Lfz" w:hAnsi="C39T30Lfz"/>
        <w:sz w:val="56"/>
      </w:rPr>
      <w:t></w:t>
    </w:r>
    <w:r w:rsidRPr="00F03053">
      <w:rPr>
        <w:rFonts w:ascii="C39T30Lfz" w:hAnsi="C39T30Lfz"/>
        <w:sz w:val="56"/>
      </w:rPr>
      <w:t></w:t>
    </w:r>
    <w:r w:rsidRPr="00F03053">
      <w:rPr>
        <w:rFonts w:ascii="C39T30Lfz" w:hAnsi="C39T30Lfz"/>
        <w:sz w:val="56"/>
      </w:rPr>
      <w:t></w:t>
    </w:r>
    <w:r w:rsidRPr="00F03053">
      <w:rPr>
        <w:rFonts w:ascii="C39T30Lfz" w:hAnsi="C39T30Lfz"/>
        <w:sz w:val="56"/>
      </w:rPr>
      <w:t></w:t>
    </w:r>
    <w:r w:rsidRPr="00F0305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15/AC.1/2018/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15/AC.1/2018/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8A" w:rsidRPr="00AC3823" w:rsidRDefault="007015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158A" w:rsidRPr="00AC3823" w:rsidRDefault="007015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158A" w:rsidRPr="00AC3823" w:rsidRDefault="0070158A">
      <w:pPr>
        <w:spacing w:line="240" w:lineRule="auto"/>
        <w:rPr>
          <w:sz w:val="2"/>
          <w:szCs w:val="2"/>
        </w:rPr>
      </w:pPr>
    </w:p>
  </w:footnote>
  <w:footnote w:id="2">
    <w:p w:rsidR="00F03053" w:rsidRPr="00102AE5" w:rsidRDefault="00F03053" w:rsidP="00F03053">
      <w:pPr>
        <w:pStyle w:val="FootnoteText"/>
      </w:pPr>
      <w:r>
        <w:rPr>
          <w:lang w:val="fr-FR"/>
        </w:rPr>
        <w:tab/>
      </w:r>
      <w:r w:rsidRPr="002A7916">
        <w:rPr>
          <w:rStyle w:val="FootnoteReference"/>
        </w:rPr>
        <w:footnoteRef/>
      </w:r>
      <w:r>
        <w:rPr>
          <w:lang w:val="fr-FR"/>
        </w:rPr>
        <w:tab/>
        <w:t>Conformément au programme de travail du Comité des transports intérieurs pour 2018-2019 (ECE/TRANS/2018/21/Add.1, module 9, 9.2)).</w:t>
      </w:r>
    </w:p>
  </w:footnote>
  <w:footnote w:id="3">
    <w:p w:rsidR="00F03053" w:rsidRPr="00F03053" w:rsidRDefault="00F03053" w:rsidP="00F03053">
      <w:pPr>
        <w:pStyle w:val="FootnoteText"/>
      </w:pPr>
      <w:r>
        <w:rPr>
          <w:lang w:val="fr-FR"/>
        </w:rPr>
        <w:tab/>
      </w:r>
      <w:r w:rsidRPr="00F03053">
        <w:rPr>
          <w:rStyle w:val="FootnoteReference"/>
        </w:rPr>
        <w:t>**</w:t>
      </w:r>
      <w:r w:rsidRPr="00F03053">
        <w:rPr>
          <w:rStyle w:val="FootnoteReference"/>
        </w:rPr>
        <w:tab/>
      </w:r>
      <w:r>
        <w:rPr>
          <w:lang w:val="fr-FR"/>
        </w:rPr>
        <w:t>Diffusée par l’Organisation intergouvernementale pour les transports internationaux ferroviaires (OTIF) sous la cote OTIF/RID/RC/2018/18.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53" w:rsidRPr="00F03053" w:rsidRDefault="003F1B87">
    <w:pPr>
      <w:pStyle w:val="Header"/>
    </w:pPr>
    <w:fldSimple w:instr=" TITLE  \* MERGEFORMAT ">
      <w:r>
        <w:t>ECE/TRANS/WP.15/AC.1/2018/18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53" w:rsidRPr="00F03053" w:rsidRDefault="003F1B87" w:rsidP="00F03053">
    <w:pPr>
      <w:pStyle w:val="Header"/>
      <w:jc w:val="right"/>
    </w:pPr>
    <w:fldSimple w:instr=" TITLE  \* MERGEFORMAT ">
      <w:r>
        <w:t>ECE/TRANS/WP.15/AC.1/2018/18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8A"/>
    <w:rsid w:val="00017F94"/>
    <w:rsid w:val="00023842"/>
    <w:rsid w:val="000334F9"/>
    <w:rsid w:val="0003773D"/>
    <w:rsid w:val="00045FEB"/>
    <w:rsid w:val="0007796D"/>
    <w:rsid w:val="000B7790"/>
    <w:rsid w:val="00111F2F"/>
    <w:rsid w:val="0014365E"/>
    <w:rsid w:val="00143C66"/>
    <w:rsid w:val="00176178"/>
    <w:rsid w:val="001D0972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0745"/>
    <w:rsid w:val="003F1B87"/>
    <w:rsid w:val="00401303"/>
    <w:rsid w:val="00441C3B"/>
    <w:rsid w:val="00446FE5"/>
    <w:rsid w:val="00452396"/>
    <w:rsid w:val="004837D8"/>
    <w:rsid w:val="004E468C"/>
    <w:rsid w:val="005505B7"/>
    <w:rsid w:val="005715D0"/>
    <w:rsid w:val="00573BE5"/>
    <w:rsid w:val="00586ED3"/>
    <w:rsid w:val="00596AA9"/>
    <w:rsid w:val="006E42B8"/>
    <w:rsid w:val="0070158A"/>
    <w:rsid w:val="0071601D"/>
    <w:rsid w:val="0072196E"/>
    <w:rsid w:val="007A62E6"/>
    <w:rsid w:val="007F20FA"/>
    <w:rsid w:val="007F350B"/>
    <w:rsid w:val="0080684C"/>
    <w:rsid w:val="00871C75"/>
    <w:rsid w:val="008776DC"/>
    <w:rsid w:val="00884C8D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C7AA4"/>
    <w:rsid w:val="00BD3BEC"/>
    <w:rsid w:val="00C02897"/>
    <w:rsid w:val="00C67158"/>
    <w:rsid w:val="00C71566"/>
    <w:rsid w:val="00C75167"/>
    <w:rsid w:val="00C97039"/>
    <w:rsid w:val="00CC332A"/>
    <w:rsid w:val="00D3439C"/>
    <w:rsid w:val="00DB1831"/>
    <w:rsid w:val="00DD3BFD"/>
    <w:rsid w:val="00DF6678"/>
    <w:rsid w:val="00E0299A"/>
    <w:rsid w:val="00E85C74"/>
    <w:rsid w:val="00EA6547"/>
    <w:rsid w:val="00EF2E22"/>
    <w:rsid w:val="00F03053"/>
    <w:rsid w:val="00F35BAF"/>
    <w:rsid w:val="00F612BC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04C2AF-D18A-4AF7-9FCA-C7C4AA9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0305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ECE/TRANS/WP.15/AC.1/2018/18</vt:lpstr>
      <vt:lpstr>ECE/TRANS/WP.15/AC.1/2018/18</vt:lpstr>
    </vt:vector>
  </TitlesOfParts>
  <Company>DCM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ECE/TRANS/WP.15/AC.1/2018/18</dc:title>
  <dc:subject/>
  <dc:creator>Edith BOURION</dc:creator>
  <cp:keywords/>
  <cp:lastModifiedBy>Christine Barrio-Champeau</cp:lastModifiedBy>
  <cp:revision>2</cp:revision>
  <cp:lastPrinted>2018-08-06T07:50:00Z</cp:lastPrinted>
  <dcterms:created xsi:type="dcterms:W3CDTF">2018-08-06T09:17:00Z</dcterms:created>
  <dcterms:modified xsi:type="dcterms:W3CDTF">2018-08-06T09:17:00Z</dcterms:modified>
</cp:coreProperties>
</file>