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DB46A4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B46A4" w:rsidRDefault="00DB46A4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B46A4" w:rsidRPr="00B11BB4" w:rsidRDefault="00DB46A4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DB46A4" w:rsidRPr="00507993" w:rsidRDefault="00DB46A4" w:rsidP="00317376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</w:t>
            </w:r>
            <w:r w:rsidR="00317376">
              <w:rPr>
                <w:b/>
                <w:sz w:val="24"/>
                <w:szCs w:val="24"/>
              </w:rPr>
              <w:t>.</w:t>
            </w:r>
            <w:r w:rsidR="003F2B4A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DB46A4" w:rsidRPr="00760688" w:rsidRDefault="00DB46A4" w:rsidP="00BB20C7">
      <w:pPr>
        <w:spacing w:before="120"/>
        <w:rPr>
          <w:b/>
          <w:sz w:val="28"/>
          <w:szCs w:val="28"/>
        </w:rPr>
      </w:pPr>
      <w:r w:rsidRPr="00760688">
        <w:rPr>
          <w:b/>
          <w:sz w:val="28"/>
          <w:szCs w:val="28"/>
        </w:rPr>
        <w:t>Economic Commission for Europe</w:t>
      </w:r>
    </w:p>
    <w:p w:rsidR="00DB46A4" w:rsidRPr="00760688" w:rsidRDefault="00DB46A4" w:rsidP="00BB20C7">
      <w:pPr>
        <w:spacing w:before="120"/>
        <w:rPr>
          <w:sz w:val="28"/>
          <w:szCs w:val="28"/>
        </w:rPr>
      </w:pPr>
      <w:r w:rsidRPr="00760688">
        <w:rPr>
          <w:sz w:val="28"/>
          <w:szCs w:val="28"/>
        </w:rPr>
        <w:t>Inland Transport Committee</w:t>
      </w:r>
    </w:p>
    <w:p w:rsidR="00DB46A4" w:rsidRPr="00760688" w:rsidRDefault="00DB46A4" w:rsidP="00BB20C7">
      <w:pPr>
        <w:spacing w:before="120" w:after="120"/>
        <w:rPr>
          <w:b/>
          <w:sz w:val="24"/>
          <w:szCs w:val="24"/>
        </w:rPr>
      </w:pPr>
      <w:r w:rsidRPr="00760688">
        <w:rPr>
          <w:b/>
          <w:sz w:val="24"/>
          <w:szCs w:val="24"/>
        </w:rPr>
        <w:t>Working Party on the Transport of Dangerous Goods</w:t>
      </w:r>
      <w:r w:rsidRPr="00760688">
        <w:rPr>
          <w:b/>
          <w:sz w:val="24"/>
          <w:szCs w:val="24"/>
        </w:rPr>
        <w:tab/>
      </w:r>
      <w:r w:rsidRPr="00760688">
        <w:rPr>
          <w:b/>
          <w:sz w:val="24"/>
          <w:szCs w:val="24"/>
        </w:rPr>
        <w:tab/>
      </w:r>
      <w:r w:rsidRPr="00760688">
        <w:rPr>
          <w:b/>
          <w:sz w:val="24"/>
          <w:szCs w:val="24"/>
        </w:rPr>
        <w:tab/>
      </w:r>
      <w:r w:rsidRPr="00760688">
        <w:rPr>
          <w:b/>
          <w:sz w:val="24"/>
          <w:szCs w:val="24"/>
        </w:rPr>
        <w:tab/>
      </w:r>
      <w:r w:rsidRPr="00760688">
        <w:rPr>
          <w:b/>
          <w:sz w:val="24"/>
          <w:szCs w:val="24"/>
        </w:rPr>
        <w:tab/>
      </w:r>
      <w:r w:rsidR="00BC270E">
        <w:rPr>
          <w:b/>
          <w:bCs/>
        </w:rPr>
        <w:t>14</w:t>
      </w:r>
      <w:r w:rsidR="002D656A" w:rsidRPr="00760688">
        <w:rPr>
          <w:b/>
          <w:bCs/>
        </w:rPr>
        <w:t xml:space="preserve"> February</w:t>
      </w:r>
      <w:r w:rsidRPr="00760688">
        <w:rPr>
          <w:b/>
          <w:bCs/>
        </w:rPr>
        <w:t xml:space="preserve"> 2018</w:t>
      </w:r>
    </w:p>
    <w:p w:rsidR="00DB46A4" w:rsidRPr="00760688" w:rsidRDefault="00DB46A4" w:rsidP="00BB20C7">
      <w:pPr>
        <w:rPr>
          <w:b/>
        </w:rPr>
      </w:pPr>
      <w:r w:rsidRPr="00760688">
        <w:rPr>
          <w:b/>
        </w:rPr>
        <w:t>Joint Meeting of the RID Committee of Experts and the</w:t>
      </w:r>
    </w:p>
    <w:p w:rsidR="00DB46A4" w:rsidRPr="00760688" w:rsidRDefault="00DB46A4" w:rsidP="00BB20C7">
      <w:pPr>
        <w:rPr>
          <w:b/>
        </w:rPr>
      </w:pPr>
      <w:r w:rsidRPr="00760688">
        <w:rPr>
          <w:b/>
        </w:rPr>
        <w:t>Working Party on the Transport of Dangerous Goods</w:t>
      </w:r>
    </w:p>
    <w:p w:rsidR="00DB46A4" w:rsidRPr="00760688" w:rsidRDefault="00DB46A4" w:rsidP="00BB20C7">
      <w:pPr>
        <w:rPr>
          <w:b/>
          <w:bCs/>
        </w:rPr>
      </w:pPr>
      <w:r w:rsidRPr="00760688">
        <w:t>Bern, 12-16 March 2018</w:t>
      </w:r>
      <w:r w:rsidRPr="00760688">
        <w:tab/>
      </w:r>
      <w:r w:rsidRPr="00760688">
        <w:tab/>
      </w:r>
      <w:r w:rsidRPr="00760688">
        <w:tab/>
      </w:r>
      <w:r w:rsidRPr="00760688">
        <w:tab/>
      </w:r>
      <w:r w:rsidRPr="00760688">
        <w:tab/>
      </w:r>
      <w:r w:rsidRPr="00760688">
        <w:tab/>
      </w:r>
      <w:r w:rsidRPr="00760688">
        <w:tab/>
      </w:r>
      <w:r w:rsidRPr="00760688">
        <w:tab/>
      </w:r>
      <w:r w:rsidRPr="00760688">
        <w:tab/>
      </w:r>
    </w:p>
    <w:p w:rsidR="006C710C" w:rsidRPr="00760688" w:rsidRDefault="004A6B3A" w:rsidP="006C710C">
      <w:r w:rsidRPr="00760688">
        <w:t>Item 5 (a</w:t>
      </w:r>
      <w:r w:rsidR="006C710C" w:rsidRPr="00760688">
        <w:t>) of the provisional agenda</w:t>
      </w:r>
    </w:p>
    <w:p w:rsidR="00DB46A4" w:rsidRPr="00760688" w:rsidRDefault="006C710C" w:rsidP="006C710C">
      <w:pPr>
        <w:rPr>
          <w:b/>
        </w:rPr>
      </w:pPr>
      <w:r w:rsidRPr="00760688">
        <w:rPr>
          <w:b/>
        </w:rPr>
        <w:t>Proposals for amendments to RID/ADR/ADN:</w:t>
      </w:r>
      <w:r w:rsidRPr="00760688">
        <w:rPr>
          <w:b/>
        </w:rPr>
        <w:br/>
      </w:r>
      <w:r w:rsidR="008304D4">
        <w:rPr>
          <w:b/>
          <w:bCs/>
        </w:rPr>
        <w:t>pending issues</w:t>
      </w:r>
    </w:p>
    <w:p w:rsidR="006C710C" w:rsidRPr="00760688" w:rsidRDefault="004A6B3A" w:rsidP="003F2B4A">
      <w:pPr>
        <w:pStyle w:val="HChG"/>
        <w:keepNext w:val="0"/>
        <w:keepLines w:val="0"/>
        <w:rPr>
          <w:lang w:val="en-US"/>
        </w:rPr>
      </w:pPr>
      <w:r w:rsidRPr="00760688">
        <w:rPr>
          <w:lang w:val="en-US"/>
        </w:rPr>
        <w:tab/>
      </w:r>
      <w:r w:rsidRPr="00760688">
        <w:rPr>
          <w:lang w:val="en-US"/>
        </w:rPr>
        <w:tab/>
        <w:t>Application of special provision CW24/CV24</w:t>
      </w:r>
    </w:p>
    <w:p w:rsidR="006C710C" w:rsidRPr="00760688" w:rsidRDefault="002D656A" w:rsidP="003F2B4A">
      <w:pPr>
        <w:pStyle w:val="H1G"/>
        <w:keepNext w:val="0"/>
        <w:keepLines w:val="0"/>
        <w:ind w:firstLine="0"/>
      </w:pPr>
      <w:r w:rsidRPr="00760688">
        <w:t>Transmitted by the European Chemical Industry Council (CEFIC)</w:t>
      </w:r>
    </w:p>
    <w:p w:rsidR="00A525AC" w:rsidRPr="00760688" w:rsidRDefault="003F2B4A" w:rsidP="003F2B4A">
      <w:pPr>
        <w:pStyle w:val="HChG"/>
        <w:keepNext w:val="0"/>
        <w:keepLines w:val="0"/>
      </w:pPr>
      <w:r>
        <w:tab/>
      </w:r>
      <w:r>
        <w:tab/>
      </w:r>
      <w:r w:rsidR="00A525AC" w:rsidRPr="00760688">
        <w:t>Introduction</w:t>
      </w:r>
    </w:p>
    <w:p w:rsidR="006C710C" w:rsidRPr="00760688" w:rsidRDefault="008304D4" w:rsidP="003F2B4A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EC35F0" w:rsidRPr="00760688">
        <w:rPr>
          <w:lang w:val="en-US"/>
        </w:rPr>
        <w:t>In document ECE/TRANS/WP.15/AC.1/2018/5</w:t>
      </w:r>
      <w:r w:rsidR="006C710C" w:rsidRPr="00760688">
        <w:rPr>
          <w:lang w:val="en-US"/>
        </w:rPr>
        <w:t xml:space="preserve">, </w:t>
      </w:r>
      <w:r w:rsidR="00EC35F0" w:rsidRPr="00760688">
        <w:rPr>
          <w:lang w:val="en-US"/>
        </w:rPr>
        <w:t>Poland raises a couple of questions regarding the application of special provision</w:t>
      </w:r>
      <w:r w:rsidR="006C710C" w:rsidRPr="00760688">
        <w:rPr>
          <w:lang w:val="en-US"/>
        </w:rPr>
        <w:t xml:space="preserve"> </w:t>
      </w:r>
      <w:r w:rsidR="00C32683" w:rsidRPr="00760688">
        <w:rPr>
          <w:lang w:val="en-US"/>
        </w:rPr>
        <w:t xml:space="preserve">CW24/CV24 in relation to organic peroxides (5.2) and the alignment of allocation of CW24/CV24 in RID and ADR for a </w:t>
      </w:r>
      <w:r w:rsidR="00760688" w:rsidRPr="00760688">
        <w:rPr>
          <w:lang w:val="en-US"/>
        </w:rPr>
        <w:t xml:space="preserve">some </w:t>
      </w:r>
      <w:r w:rsidR="00C32683" w:rsidRPr="00760688">
        <w:rPr>
          <w:lang w:val="en-US"/>
        </w:rPr>
        <w:t xml:space="preserve">particular </w:t>
      </w:r>
      <w:bookmarkStart w:id="0" w:name="_GoBack"/>
      <w:bookmarkEnd w:id="0"/>
      <w:r w:rsidR="00C32683" w:rsidRPr="00760688">
        <w:rPr>
          <w:lang w:val="en-US"/>
        </w:rPr>
        <w:t>substances.</w:t>
      </w:r>
    </w:p>
    <w:p w:rsidR="00760688" w:rsidRDefault="003F2B4A" w:rsidP="003F2B4A">
      <w:pPr>
        <w:pStyle w:val="H1G"/>
        <w:keepNext w:val="0"/>
        <w:keepLines w:val="0"/>
      </w:pPr>
      <w:r>
        <w:tab/>
      </w:r>
      <w:r>
        <w:tab/>
      </w:r>
      <w:r w:rsidR="00A525AC" w:rsidRPr="00760688">
        <w:t>Background information</w:t>
      </w:r>
    </w:p>
    <w:p w:rsidR="00760688" w:rsidRDefault="008304D4" w:rsidP="008304D4">
      <w:pPr>
        <w:pStyle w:val="H23"/>
        <w:spacing w:before="120" w:after="120"/>
      </w:pPr>
      <w:r>
        <w:tab/>
      </w:r>
      <w:r>
        <w:tab/>
        <w:t>O</w:t>
      </w:r>
      <w:r w:rsidR="00851E66">
        <w:t>rganic peroxide</w:t>
      </w:r>
      <w:r w:rsidR="00BD3BEF">
        <w:t>s</w:t>
      </w:r>
      <w:r w:rsidR="009273F3">
        <w:t xml:space="preserve"> – wooden pallets</w:t>
      </w:r>
    </w:p>
    <w:p w:rsidR="003F2B4A" w:rsidRDefault="008304D4" w:rsidP="008304D4">
      <w:pPr>
        <w:pStyle w:val="SingleTxtG"/>
      </w:pPr>
      <w:r>
        <w:t>2.</w:t>
      </w:r>
      <w:r>
        <w:tab/>
      </w:r>
      <w:r w:rsidR="00BD3BEF">
        <w:t>Organic peroxides are traditi</w:t>
      </w:r>
      <w:r w:rsidR="002A7EE5">
        <w:t>onally classified in class 5.2 and have no or only weak oxidizing properties</w:t>
      </w:r>
      <w:r w:rsidR="00BD3BEF">
        <w:t>. In the past however</w:t>
      </w:r>
      <w:r w:rsidR="002A7EE5">
        <w:t>,</w:t>
      </w:r>
      <w:r w:rsidR="00BD3BEF">
        <w:t xml:space="preserve"> they were labelled with the </w:t>
      </w:r>
      <w:r w:rsidR="002A7EE5">
        <w:t xml:space="preserve">yellow </w:t>
      </w:r>
      <w:r w:rsidR="00BD3BEF">
        <w:t>oxidizer label</w:t>
      </w:r>
      <w:r w:rsidR="008672BC">
        <w:t xml:space="preserve"> because they were seen as derivatives form hydrogen peroxide (being an oxidizing liquid)</w:t>
      </w:r>
      <w:r w:rsidR="00BD3BEF">
        <w:t xml:space="preserve">. </w:t>
      </w:r>
      <w:r w:rsidR="00EE5840">
        <w:t xml:space="preserve">Also in the old supply and use regulations in EU they were classified as oxidizers. </w:t>
      </w:r>
      <w:r w:rsidR="002A7EE5">
        <w:t xml:space="preserve">A couple of years ago </w:t>
      </w:r>
      <w:r w:rsidR="00EE5840">
        <w:t xml:space="preserve">the transport </w:t>
      </w:r>
      <w:r w:rsidR="002A7EE5">
        <w:t>hazard label was changed to a specific one for organic peroxides to reflect their flammable properties instead of their oxidizing properties.</w:t>
      </w:r>
      <w:r w:rsidR="00EE5840">
        <w:t xml:space="preserve"> Also in GHS and CLP the flammable hazard label was incorporated to reflect the correct properties.</w:t>
      </w:r>
    </w:p>
    <w:p w:rsidR="003F2B4A" w:rsidRDefault="008304D4" w:rsidP="003F2B4A">
      <w:pPr>
        <w:pStyle w:val="SingleTxtG"/>
      </w:pPr>
      <w:r>
        <w:t>3.</w:t>
      </w:r>
      <w:r>
        <w:tab/>
      </w:r>
      <w:r w:rsidR="002A7EE5">
        <w:t xml:space="preserve">From the time when organic peroxides are handled, transported and stored, wooden pallets are used without problems. As referred to in the document of Poland, in the best practices standard </w:t>
      </w:r>
      <w:r w:rsidR="00EF3903">
        <w:t xml:space="preserve">“Safe Transport of Organic Peroxides” </w:t>
      </w:r>
      <w:r w:rsidR="002A7EE5">
        <w:t>of the European Organic Peroxide Safety Group</w:t>
      </w:r>
      <w:r w:rsidRPr="008304D4">
        <w:rPr>
          <w:rStyle w:val="FootnoteReference"/>
          <w:b/>
          <w:bCs/>
        </w:rPr>
        <w:footnoteReference w:id="2"/>
      </w:r>
      <w:r w:rsidR="002A7EE5">
        <w:t xml:space="preserve">, </w:t>
      </w:r>
      <w:r w:rsidR="00EF3903">
        <w:t xml:space="preserve">the following recommendation is given regarding the use of pallets: </w:t>
      </w:r>
    </w:p>
    <w:p w:rsidR="00EF3903" w:rsidRPr="00AB1B26" w:rsidRDefault="00EF3903" w:rsidP="00572ADB">
      <w:pPr>
        <w:pStyle w:val="SingleTxtG"/>
        <w:rPr>
          <w:i/>
          <w:lang w:eastAsia="fr-FR"/>
        </w:rPr>
      </w:pPr>
      <w:r w:rsidRPr="00AB1B26">
        <w:rPr>
          <w:i/>
          <w:lang w:eastAsia="fr-FR"/>
        </w:rPr>
        <w:t>Either plastic or wooden pallets may be used during storage or transportation</w:t>
      </w:r>
      <w:r w:rsidR="00572ADB">
        <w:rPr>
          <w:i/>
          <w:lang w:eastAsia="fr-FR"/>
        </w:rPr>
        <w:t xml:space="preserve"> </w:t>
      </w:r>
      <w:r w:rsidRPr="00AB1B26">
        <w:rPr>
          <w:i/>
          <w:lang w:eastAsia="fr-FR"/>
        </w:rPr>
        <w:t>of packaged Organic Peroxides.</w:t>
      </w:r>
    </w:p>
    <w:p w:rsidR="00EF3903" w:rsidRPr="00AB1B26" w:rsidRDefault="00EF3903" w:rsidP="003F2B4A">
      <w:pPr>
        <w:suppressAutoHyphens w:val="0"/>
        <w:autoSpaceDE w:val="0"/>
        <w:autoSpaceDN w:val="0"/>
        <w:adjustRightInd w:val="0"/>
        <w:spacing w:before="120" w:after="120" w:line="240" w:lineRule="auto"/>
        <w:ind w:left="1134"/>
        <w:rPr>
          <w:i/>
          <w:lang w:eastAsia="fr-FR"/>
        </w:rPr>
      </w:pPr>
      <w:r w:rsidRPr="00AB1B26">
        <w:rPr>
          <w:i/>
          <w:lang w:eastAsia="fr-FR"/>
        </w:rPr>
        <w:t>It is important to ensure that:</w:t>
      </w:r>
    </w:p>
    <w:p w:rsidR="00EF3903" w:rsidRPr="00707206" w:rsidRDefault="00EF3903" w:rsidP="003F2B4A">
      <w:pPr>
        <w:pStyle w:val="ListParagraph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0"/>
          <w:szCs w:val="20"/>
          <w:lang w:val="en-GB" w:eastAsia="fr-FR"/>
        </w:rPr>
      </w:pPr>
      <w:r w:rsidRPr="00707206">
        <w:rPr>
          <w:rFonts w:ascii="Times New Roman" w:hAnsi="Times New Roman" w:cs="Times New Roman"/>
          <w:i/>
          <w:sz w:val="20"/>
          <w:szCs w:val="20"/>
          <w:lang w:val="en-GB" w:eastAsia="fr-FR"/>
        </w:rPr>
        <w:t>The pallets are new, dry and clean.</w:t>
      </w:r>
    </w:p>
    <w:p w:rsidR="00EF3903" w:rsidRPr="00707206" w:rsidRDefault="00EF3903" w:rsidP="003F2B4A">
      <w:pPr>
        <w:pStyle w:val="ListParagraph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240" w:lineRule="auto"/>
        <w:ind w:right="1134"/>
        <w:rPr>
          <w:rFonts w:ascii="Times New Roman" w:hAnsi="Times New Roman" w:cs="Times New Roman"/>
          <w:i/>
          <w:sz w:val="20"/>
          <w:szCs w:val="20"/>
          <w:lang w:val="en-GB" w:eastAsia="fr-FR"/>
        </w:rPr>
      </w:pPr>
      <w:r w:rsidRPr="00707206">
        <w:rPr>
          <w:rFonts w:ascii="Times New Roman" w:hAnsi="Times New Roman" w:cs="Times New Roman"/>
          <w:i/>
          <w:sz w:val="20"/>
          <w:szCs w:val="20"/>
          <w:lang w:val="en-GB" w:eastAsia="fr-FR"/>
        </w:rPr>
        <w:t>The pallets are free of dirt and any materials that may damage the</w:t>
      </w:r>
      <w:r w:rsidR="00707206">
        <w:rPr>
          <w:rFonts w:ascii="Times New Roman" w:hAnsi="Times New Roman" w:cs="Times New Roman"/>
          <w:i/>
          <w:sz w:val="20"/>
          <w:szCs w:val="20"/>
          <w:lang w:val="en-GB" w:eastAsia="fr-FR"/>
        </w:rPr>
        <w:t xml:space="preserve"> </w:t>
      </w:r>
      <w:r w:rsidRPr="00707206">
        <w:rPr>
          <w:rFonts w:ascii="Times New Roman" w:hAnsi="Times New Roman" w:cs="Times New Roman"/>
          <w:i/>
          <w:sz w:val="20"/>
          <w:szCs w:val="20"/>
          <w:lang w:val="en-GB" w:eastAsia="fr-FR"/>
        </w:rPr>
        <w:t>packaging, such as nails sticking out, etc.</w:t>
      </w:r>
    </w:p>
    <w:p w:rsidR="00EF3903" w:rsidRPr="00707206" w:rsidRDefault="00EF3903" w:rsidP="003F2B4A">
      <w:pPr>
        <w:pStyle w:val="ListParagraph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240" w:lineRule="auto"/>
        <w:ind w:right="113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07206">
        <w:rPr>
          <w:rFonts w:ascii="Times New Roman" w:hAnsi="Times New Roman" w:cs="Times New Roman"/>
          <w:i/>
          <w:sz w:val="20"/>
          <w:szCs w:val="20"/>
          <w:lang w:val="en-GB" w:eastAsia="fr-FR"/>
        </w:rPr>
        <w:t>The goods are palletized in a safe and stable manner and secured well with</w:t>
      </w:r>
      <w:r w:rsidR="00707206">
        <w:rPr>
          <w:rFonts w:ascii="Times New Roman" w:hAnsi="Times New Roman" w:cs="Times New Roman"/>
          <w:i/>
          <w:sz w:val="20"/>
          <w:szCs w:val="20"/>
          <w:lang w:val="en-GB" w:eastAsia="fr-FR"/>
        </w:rPr>
        <w:t xml:space="preserve"> </w:t>
      </w:r>
      <w:r w:rsidRPr="00707206">
        <w:rPr>
          <w:rFonts w:ascii="Times New Roman" w:hAnsi="Times New Roman" w:cs="Times New Roman"/>
          <w:i/>
          <w:sz w:val="20"/>
          <w:szCs w:val="20"/>
          <w:lang w:val="en-GB" w:eastAsia="fr-FR"/>
        </w:rPr>
        <w:t>film pallet wrap or other suitable means.</w:t>
      </w:r>
    </w:p>
    <w:p w:rsidR="007F5028" w:rsidRDefault="008304D4" w:rsidP="003F2B4A">
      <w:pPr>
        <w:spacing w:before="120" w:after="120"/>
        <w:ind w:left="1134" w:right="1134"/>
      </w:pPr>
      <w:r>
        <w:lastRenderedPageBreak/>
        <w:t>4.</w:t>
      </w:r>
      <w:r>
        <w:tab/>
      </w:r>
      <w:r w:rsidR="007F5028">
        <w:t>So according to organic peroxides industries both plastic and wooden pallets can be used without safety problem.</w:t>
      </w:r>
    </w:p>
    <w:p w:rsidR="007F5028" w:rsidRDefault="008304D4" w:rsidP="008304D4">
      <w:pPr>
        <w:pStyle w:val="H23"/>
      </w:pPr>
      <w:r>
        <w:tab/>
      </w:r>
      <w:r>
        <w:tab/>
      </w:r>
      <w:r w:rsidR="007C1F0D">
        <w:t>Phrasing of CW24/CV24</w:t>
      </w:r>
    </w:p>
    <w:p w:rsidR="007C1F0D" w:rsidRDefault="008304D4" w:rsidP="003F2B4A">
      <w:pPr>
        <w:pStyle w:val="SingleTxtG"/>
        <w:spacing w:before="120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0724F8" w:rsidRPr="000724F8">
        <w:rPr>
          <w:lang w:val="en-US"/>
        </w:rPr>
        <w:t xml:space="preserve">Poland raised the question if the current </w:t>
      </w:r>
      <w:r w:rsidR="007C1F0D" w:rsidRPr="000724F8">
        <w:rPr>
          <w:lang w:val="en-US"/>
        </w:rPr>
        <w:t>phrasing of CW24/CV24</w:t>
      </w:r>
      <w:r w:rsidR="000724F8">
        <w:rPr>
          <w:lang w:val="en-US"/>
        </w:rPr>
        <w:t xml:space="preserve"> needs further clarification for organic peroxides</w:t>
      </w:r>
      <w:r w:rsidR="00B46A29">
        <w:rPr>
          <w:lang w:val="en-US"/>
        </w:rPr>
        <w:t>, especially regarding the terminology “readily flammable”.</w:t>
      </w:r>
    </w:p>
    <w:p w:rsidR="00DC280C" w:rsidRPr="00DC280C" w:rsidRDefault="008304D4" w:rsidP="003F2B4A">
      <w:pPr>
        <w:pStyle w:val="SingleTxtG"/>
        <w:spacing w:before="120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DC280C">
        <w:rPr>
          <w:lang w:val="en-US"/>
        </w:rPr>
        <w:t xml:space="preserve">As an example, in </w:t>
      </w:r>
      <w:r w:rsidR="00DC280C" w:rsidRPr="00DC280C">
        <w:rPr>
          <w:lang w:val="en-US"/>
        </w:rPr>
        <w:t>US DoT 49CFR 176.2 the following definition is given:</w:t>
      </w:r>
    </w:p>
    <w:p w:rsidR="003F2B4A" w:rsidRDefault="00B46A29" w:rsidP="003F2B4A">
      <w:pPr>
        <w:spacing w:before="120" w:after="120"/>
        <w:ind w:left="1701" w:right="1134"/>
        <w:jc w:val="both"/>
      </w:pPr>
      <w:r w:rsidRPr="00DC280C">
        <w:rPr>
          <w:rStyle w:val="et031"/>
          <w:color w:val="333333"/>
        </w:rPr>
        <w:t xml:space="preserve">Readily </w:t>
      </w:r>
      <w:r w:rsidRPr="00487F51">
        <w:rPr>
          <w:rStyle w:val="et031"/>
          <w:color w:val="333333"/>
          <w:u w:val="single"/>
        </w:rPr>
        <w:t xml:space="preserve">combustible </w:t>
      </w:r>
      <w:r w:rsidRPr="00DC280C">
        <w:rPr>
          <w:rStyle w:val="et031"/>
          <w:color w:val="333333"/>
        </w:rPr>
        <w:t>material</w:t>
      </w:r>
      <w:r w:rsidRPr="00DC280C">
        <w:t xml:space="preserve"> means a material which may or may not be </w:t>
      </w:r>
      <w:hyperlink r:id="rId8" w:tooltip="classed" w:history="1">
        <w:r w:rsidRPr="00DC280C">
          <w:rPr>
            <w:rStyle w:val="Hyperlink"/>
            <w:color w:val="auto"/>
            <w:u w:val="none"/>
          </w:rPr>
          <w:t>classed</w:t>
        </w:r>
      </w:hyperlink>
      <w:r w:rsidRPr="00DC280C">
        <w:t xml:space="preserve"> as a </w:t>
      </w:r>
      <w:hyperlink r:id="rId9" w:tooltip="hazardous material" w:history="1">
        <w:r w:rsidRPr="00DC280C">
          <w:rPr>
            <w:rStyle w:val="Hyperlink"/>
            <w:color w:val="auto"/>
            <w:u w:val="none"/>
          </w:rPr>
          <w:t>hazardous material</w:t>
        </w:r>
      </w:hyperlink>
      <w:r w:rsidRPr="00DC280C">
        <w:t xml:space="preserve"> but which is easily ignited and supports combustion. Examples of </w:t>
      </w:r>
      <w:hyperlink r:id="rId10" w:tooltip="readily combustible materials" w:history="1">
        <w:r w:rsidRPr="00DC280C">
          <w:rPr>
            <w:rStyle w:val="Hyperlink"/>
            <w:color w:val="auto"/>
            <w:u w:val="none"/>
          </w:rPr>
          <w:t>readily combustible materials</w:t>
        </w:r>
      </w:hyperlink>
      <w:r w:rsidRPr="00DC280C">
        <w:t xml:space="preserve"> include wood, paper, straw, vegetable fibers, products made from such materials, coal, lubricants, and oils. </w:t>
      </w:r>
      <w:r w:rsidRPr="00487F51">
        <w:rPr>
          <w:u w:val="single"/>
        </w:rPr>
        <w:t xml:space="preserve">This </w:t>
      </w:r>
      <w:hyperlink r:id="rId11" w:tooltip="definition" w:history="1">
        <w:r w:rsidRPr="00487F51">
          <w:rPr>
            <w:rStyle w:val="Hyperlink"/>
            <w:color w:val="auto"/>
          </w:rPr>
          <w:t>definition</w:t>
        </w:r>
      </w:hyperlink>
      <w:r w:rsidRPr="00487F51">
        <w:rPr>
          <w:u w:val="single"/>
        </w:rPr>
        <w:t xml:space="preserve"> does not apply to </w:t>
      </w:r>
      <w:hyperlink r:id="rId12" w:tooltip="packaging" w:history="1">
        <w:r w:rsidRPr="00487F51">
          <w:rPr>
            <w:rStyle w:val="Hyperlink"/>
            <w:color w:val="auto"/>
          </w:rPr>
          <w:t>packaging</w:t>
        </w:r>
      </w:hyperlink>
      <w:r w:rsidRPr="00487F51">
        <w:rPr>
          <w:u w:val="single"/>
        </w:rPr>
        <w:t xml:space="preserve"> material or </w:t>
      </w:r>
      <w:hyperlink r:id="rId13" w:tooltip="dunnage" w:history="1">
        <w:r w:rsidRPr="00487F51">
          <w:rPr>
            <w:rStyle w:val="Hyperlink"/>
            <w:color w:val="auto"/>
          </w:rPr>
          <w:t>dunnage</w:t>
        </w:r>
      </w:hyperlink>
      <w:r w:rsidRPr="00DC280C">
        <w:t>.</w:t>
      </w:r>
      <w:r w:rsidR="00DC280C">
        <w:t xml:space="preserve"> </w:t>
      </w:r>
    </w:p>
    <w:p w:rsidR="00EB2BB6" w:rsidRDefault="00DC280C" w:rsidP="003F2B4A">
      <w:pPr>
        <w:spacing w:before="120" w:after="120"/>
        <w:ind w:left="1701" w:right="1134"/>
        <w:jc w:val="both"/>
      </w:pPr>
      <w:r>
        <w:t xml:space="preserve">By analogy </w:t>
      </w:r>
      <w:r w:rsidR="00487F51">
        <w:t>with</w:t>
      </w:r>
      <w:r>
        <w:t xml:space="preserve"> this </w:t>
      </w:r>
      <w:r w:rsidR="0051315A">
        <w:t>definition,</w:t>
      </w:r>
      <w:r>
        <w:t xml:space="preserve"> a </w:t>
      </w:r>
      <w:r w:rsidR="00EB2BB6">
        <w:t>suggestion could be the following change</w:t>
      </w:r>
      <w:r w:rsidR="00487F51">
        <w:t xml:space="preserve"> of CW24/CV24</w:t>
      </w:r>
      <w:r w:rsidR="00EB2BB6">
        <w:t xml:space="preserve">: </w:t>
      </w:r>
    </w:p>
    <w:p w:rsidR="00500683" w:rsidRDefault="00BB2A81" w:rsidP="003F2B4A">
      <w:pPr>
        <w:spacing w:before="120" w:after="120"/>
        <w:ind w:left="1701" w:right="1134"/>
        <w:jc w:val="both"/>
      </w:pPr>
      <w:r w:rsidRPr="000724F8">
        <w:t xml:space="preserve">Before loading, vehicles and container shall thoroughly cleaned and in particular be free of any combustible debris (straw, hay, paper, etc.). </w:t>
      </w:r>
    </w:p>
    <w:p w:rsidR="00BB2A81" w:rsidRDefault="00BB2A81" w:rsidP="003F2B4A">
      <w:pPr>
        <w:spacing w:before="120" w:after="120"/>
        <w:ind w:left="1701" w:right="1134"/>
        <w:jc w:val="both"/>
      </w:pPr>
      <w:r w:rsidRPr="000724F8">
        <w:t xml:space="preserve">The use of </w:t>
      </w:r>
      <w:r w:rsidRPr="000724F8">
        <w:rPr>
          <w:strike/>
        </w:rPr>
        <w:t>readily flammable</w:t>
      </w:r>
      <w:r w:rsidRPr="000724F8">
        <w:t xml:space="preserve"> </w:t>
      </w:r>
      <w:r w:rsidRPr="00487F51">
        <w:rPr>
          <w:u w:val="single"/>
        </w:rPr>
        <w:t>combu</w:t>
      </w:r>
      <w:r w:rsidR="00500683" w:rsidRPr="00487F51">
        <w:rPr>
          <w:u w:val="single"/>
        </w:rPr>
        <w:t>stible materials easy to ignite</w:t>
      </w:r>
      <w:r w:rsidR="00500683" w:rsidRPr="00487F51">
        <w:t xml:space="preserve"> </w:t>
      </w:r>
      <w:r w:rsidRPr="000724F8">
        <w:t>for stowing packages is prohibited</w:t>
      </w:r>
      <w:r w:rsidR="00EB2BB6">
        <w:t>.</w:t>
      </w:r>
    </w:p>
    <w:p w:rsidR="00487F51" w:rsidRPr="000724F8" w:rsidRDefault="008304D4" w:rsidP="003F2B4A">
      <w:pPr>
        <w:spacing w:before="120" w:after="120"/>
        <w:ind w:left="1134" w:right="1134"/>
        <w:jc w:val="both"/>
      </w:pPr>
      <w:r>
        <w:t>7.</w:t>
      </w:r>
      <w:r>
        <w:tab/>
      </w:r>
      <w:r w:rsidR="00487F51">
        <w:t xml:space="preserve">Or as an alternative: </w:t>
      </w:r>
    </w:p>
    <w:p w:rsidR="00487F51" w:rsidRDefault="00487F51" w:rsidP="003F2B4A">
      <w:pPr>
        <w:spacing w:before="120" w:after="120"/>
        <w:ind w:left="1701" w:right="1134"/>
        <w:jc w:val="both"/>
      </w:pPr>
      <w:r w:rsidRPr="000724F8">
        <w:t xml:space="preserve">Before loading, vehicles and container shall thoroughly cleaned and in particular be free of any combustible debris (straw, hay, paper, etc.). </w:t>
      </w:r>
    </w:p>
    <w:p w:rsidR="00BB2A81" w:rsidRPr="00487F51" w:rsidRDefault="00BB2A81" w:rsidP="008304D4">
      <w:pPr>
        <w:spacing w:before="120" w:after="120"/>
        <w:ind w:left="1701" w:right="1134"/>
        <w:jc w:val="both"/>
      </w:pPr>
      <w:r w:rsidRPr="00487F51">
        <w:t xml:space="preserve">The use of </w:t>
      </w:r>
      <w:r w:rsidRPr="00487F51">
        <w:rPr>
          <w:strike/>
        </w:rPr>
        <w:t>readily flammable</w:t>
      </w:r>
      <w:r w:rsidRPr="00487F51">
        <w:t xml:space="preserve"> </w:t>
      </w:r>
      <w:r w:rsidRPr="00487F51">
        <w:rPr>
          <w:u w:val="single"/>
        </w:rPr>
        <w:t>combustible materials easy to ignite</w:t>
      </w:r>
      <w:r w:rsidR="00487F51" w:rsidRPr="00487F51">
        <w:t xml:space="preserve"> </w:t>
      </w:r>
      <w:r w:rsidRPr="00487F51">
        <w:t xml:space="preserve">for stowing packages is prohibited. </w:t>
      </w:r>
      <w:r w:rsidRPr="00487F51">
        <w:rPr>
          <w:u w:val="single"/>
        </w:rPr>
        <w:t>Combustible materials easy to ignite means a material</w:t>
      </w:r>
      <w:r w:rsidR="00487F51">
        <w:rPr>
          <w:u w:val="single"/>
        </w:rPr>
        <w:t xml:space="preserve"> which may or may not be classified </w:t>
      </w:r>
      <w:r w:rsidRPr="00487F51">
        <w:rPr>
          <w:u w:val="single"/>
        </w:rPr>
        <w:t>as dangerous goods but which is easily ignited and supports combustion, such as straw, hay, paper, vegetable fibers</w:t>
      </w:r>
      <w:r w:rsidRPr="00487F51">
        <w:t xml:space="preserve">. </w:t>
      </w:r>
    </w:p>
    <w:p w:rsidR="00487F51" w:rsidRPr="00487F51" w:rsidRDefault="008304D4" w:rsidP="008304D4">
      <w:pPr>
        <w:pStyle w:val="H23"/>
        <w:spacing w:before="120" w:after="120"/>
        <w:ind w:right="1134"/>
      </w:pPr>
      <w:r>
        <w:tab/>
      </w:r>
      <w:r>
        <w:tab/>
      </w:r>
      <w:r w:rsidR="00487F51" w:rsidRPr="00487F51">
        <w:t>Alignment of RID and ADR in relation to alloca</w:t>
      </w:r>
      <w:r w:rsidR="00487F51">
        <w:t xml:space="preserve">tion of special provision </w:t>
      </w:r>
      <w:r>
        <w:tab/>
      </w:r>
      <w:r>
        <w:tab/>
      </w:r>
      <w:r>
        <w:tab/>
      </w:r>
      <w:r w:rsidR="00487F51">
        <w:t>CW24/</w:t>
      </w:r>
      <w:r w:rsidR="00487F51" w:rsidRPr="00487F51">
        <w:t>CV24 to UN</w:t>
      </w:r>
      <w:r w:rsidR="00487F51">
        <w:t xml:space="preserve"> 1796 and UN 1826 </w:t>
      </w:r>
    </w:p>
    <w:p w:rsidR="00487F51" w:rsidRDefault="008304D4" w:rsidP="003F2B4A">
      <w:pPr>
        <w:spacing w:before="120" w:after="120"/>
        <w:ind w:left="1134" w:right="1134"/>
        <w:jc w:val="both"/>
      </w:pPr>
      <w:r>
        <w:t>8.</w:t>
      </w:r>
      <w:r>
        <w:tab/>
      </w:r>
      <w:r w:rsidR="00455CA0">
        <w:t>Alignment</w:t>
      </w:r>
      <w:r w:rsidR="00487F51">
        <w:t xml:space="preserve"> of CW24/CV24</w:t>
      </w:r>
      <w:r w:rsidR="00F97448">
        <w:t xml:space="preserve"> is logic </w:t>
      </w:r>
      <w:r w:rsidR="00487F51">
        <w:t xml:space="preserve">given the fact that the properties of the substances are a </w:t>
      </w:r>
      <w:r w:rsidR="00455CA0">
        <w:t>“</w:t>
      </w:r>
      <w:r w:rsidR="00487F51">
        <w:t>given</w:t>
      </w:r>
      <w:r w:rsidR="00455CA0">
        <w:t xml:space="preserve">” </w:t>
      </w:r>
      <w:r w:rsidR="00487F51">
        <w:t>and not dependent on the mode of transport.</w:t>
      </w:r>
    </w:p>
    <w:p w:rsidR="00487F51" w:rsidRPr="008304D4" w:rsidRDefault="008304D4" w:rsidP="008304D4">
      <w:pPr>
        <w:pStyle w:val="H23"/>
      </w:pPr>
      <w:r>
        <w:tab/>
      </w:r>
      <w:r>
        <w:tab/>
      </w:r>
      <w:r w:rsidR="00626367" w:rsidRPr="008304D4">
        <w:t>Application of CW24/CV24 to UN 2031</w:t>
      </w:r>
    </w:p>
    <w:p w:rsidR="00626367" w:rsidRPr="00455CA0" w:rsidRDefault="008304D4" w:rsidP="003F2B4A">
      <w:pPr>
        <w:spacing w:before="120" w:after="120"/>
        <w:ind w:left="1134" w:right="1134"/>
        <w:jc w:val="both"/>
      </w:pPr>
      <w:r>
        <w:t>9.</w:t>
      </w:r>
      <w:r>
        <w:tab/>
      </w:r>
      <w:r w:rsidR="00455CA0">
        <w:t>Given th</w:t>
      </w:r>
      <w:r w:rsidR="00BF0E05" w:rsidRPr="00455CA0">
        <w:t xml:space="preserve">e rational in assigning CW24/CV24 to substances in the dangerous goods list, </w:t>
      </w:r>
      <w:r w:rsidR="00455CA0" w:rsidRPr="00455CA0">
        <w:t xml:space="preserve">CW24/CV24 </w:t>
      </w:r>
      <w:r w:rsidR="00BF0E05" w:rsidRPr="00455CA0">
        <w:t xml:space="preserve">should </w:t>
      </w:r>
      <w:r w:rsidR="00455CA0" w:rsidRPr="00455CA0">
        <w:t>be assigned to UN 203</w:t>
      </w:r>
      <w:r w:rsidR="00455CA0">
        <w:t>1</w:t>
      </w:r>
      <w:r w:rsidR="00455CA0" w:rsidRPr="00455CA0">
        <w:t>.</w:t>
      </w:r>
    </w:p>
    <w:p w:rsidR="00C249A2" w:rsidRPr="00760688" w:rsidRDefault="00C249A2" w:rsidP="006C710C">
      <w:pPr>
        <w:pStyle w:val="SingleTxtG"/>
        <w:spacing w:before="240" w:after="0"/>
        <w:jc w:val="center"/>
        <w:rPr>
          <w:u w:val="single"/>
          <w:lang w:val="en-US"/>
        </w:rPr>
      </w:pPr>
      <w:r w:rsidRPr="00760688">
        <w:rPr>
          <w:u w:val="single"/>
          <w:lang w:val="en-US"/>
        </w:rPr>
        <w:tab/>
      </w:r>
      <w:r w:rsidRPr="00760688">
        <w:rPr>
          <w:u w:val="single"/>
          <w:lang w:val="en-US"/>
        </w:rPr>
        <w:tab/>
      </w:r>
      <w:r w:rsidRPr="00760688">
        <w:rPr>
          <w:u w:val="single"/>
          <w:lang w:val="en-US"/>
        </w:rPr>
        <w:tab/>
      </w:r>
    </w:p>
    <w:sectPr w:rsidR="00C249A2" w:rsidRPr="00760688" w:rsidSect="00306201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83" w:rsidRDefault="00927083"/>
  </w:endnote>
  <w:endnote w:type="continuationSeparator" w:id="0">
    <w:p w:rsidR="00927083" w:rsidRDefault="00927083"/>
  </w:endnote>
  <w:endnote w:type="continuationNotice" w:id="1">
    <w:p w:rsidR="00927083" w:rsidRDefault="00927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A4" w:rsidRPr="00E762DB" w:rsidRDefault="000439F9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="00DB46A4"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17710E"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A4" w:rsidRPr="00E762DB" w:rsidRDefault="00DB46A4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83" w:rsidRPr="000B175B" w:rsidRDefault="0092708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7083" w:rsidRPr="00FC68B7" w:rsidRDefault="0092708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7083" w:rsidRDefault="00927083"/>
  </w:footnote>
  <w:footnote w:id="2">
    <w:p w:rsidR="008304D4" w:rsidRPr="008304D4" w:rsidRDefault="008304D4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ab/>
      </w:r>
      <w:r>
        <w:t>A copy of this document is available on request.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A4" w:rsidRPr="0040519E" w:rsidRDefault="003F2B4A" w:rsidP="0040519E">
    <w:pPr>
      <w:pStyle w:val="Header"/>
      <w:rPr>
        <w:szCs w:val="18"/>
      </w:rPr>
    </w:pPr>
    <w:r>
      <w:rPr>
        <w:szCs w:val="18"/>
      </w:rPr>
      <w:t>INF.14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A4" w:rsidRPr="0040519E" w:rsidRDefault="00DB46A4" w:rsidP="0040519E">
    <w:pPr>
      <w:pStyle w:val="Header"/>
      <w:jc w:val="right"/>
      <w:rPr>
        <w:szCs w:val="18"/>
      </w:rPr>
    </w:pPr>
    <w:r>
      <w:rPr>
        <w:szCs w:val="18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5316545"/>
    <w:multiLevelType w:val="multilevel"/>
    <w:tmpl w:val="678C060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B01EF"/>
    <w:multiLevelType w:val="hybridMultilevel"/>
    <w:tmpl w:val="B964DAD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7"/>
  </w:num>
  <w:num w:numId="15">
    <w:abstractNumId w:val="13"/>
  </w:num>
  <w:num w:numId="16">
    <w:abstractNumId w:val="12"/>
  </w:num>
  <w:num w:numId="17">
    <w:abstractNumId w:val="18"/>
  </w:num>
  <w:num w:numId="18">
    <w:abstractNumId w:val="11"/>
  </w:num>
  <w:num w:numId="1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7F90"/>
    <w:rsid w:val="000439F9"/>
    <w:rsid w:val="00044E86"/>
    <w:rsid w:val="00046B1F"/>
    <w:rsid w:val="00050F6B"/>
    <w:rsid w:val="00057793"/>
    <w:rsid w:val="00057E97"/>
    <w:rsid w:val="000724F8"/>
    <w:rsid w:val="00072972"/>
    <w:rsid w:val="00072A81"/>
    <w:rsid w:val="00072C8C"/>
    <w:rsid w:val="000733B5"/>
    <w:rsid w:val="00081815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2472"/>
    <w:rsid w:val="00125117"/>
    <w:rsid w:val="00145A8E"/>
    <w:rsid w:val="00155068"/>
    <w:rsid w:val="00165F3A"/>
    <w:rsid w:val="0017344C"/>
    <w:rsid w:val="0017710E"/>
    <w:rsid w:val="00180B0D"/>
    <w:rsid w:val="00180F8C"/>
    <w:rsid w:val="001847D2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06D3F"/>
    <w:rsid w:val="002102FF"/>
    <w:rsid w:val="0021114C"/>
    <w:rsid w:val="0021157B"/>
    <w:rsid w:val="00211E0B"/>
    <w:rsid w:val="0024023A"/>
    <w:rsid w:val="00243217"/>
    <w:rsid w:val="00251E0F"/>
    <w:rsid w:val="00252290"/>
    <w:rsid w:val="00252F75"/>
    <w:rsid w:val="0025326C"/>
    <w:rsid w:val="002571CC"/>
    <w:rsid w:val="0026060C"/>
    <w:rsid w:val="00267F5F"/>
    <w:rsid w:val="00284591"/>
    <w:rsid w:val="00286B4D"/>
    <w:rsid w:val="002A3C85"/>
    <w:rsid w:val="002A50EA"/>
    <w:rsid w:val="002A603B"/>
    <w:rsid w:val="002A7EE5"/>
    <w:rsid w:val="002B2275"/>
    <w:rsid w:val="002D4643"/>
    <w:rsid w:val="002D4B6C"/>
    <w:rsid w:val="002D656A"/>
    <w:rsid w:val="002E3B88"/>
    <w:rsid w:val="002F175C"/>
    <w:rsid w:val="002F1DF0"/>
    <w:rsid w:val="00302E18"/>
    <w:rsid w:val="003050A4"/>
    <w:rsid w:val="0030606F"/>
    <w:rsid w:val="00306201"/>
    <w:rsid w:val="00317376"/>
    <w:rsid w:val="003229D8"/>
    <w:rsid w:val="00330E6F"/>
    <w:rsid w:val="003358CF"/>
    <w:rsid w:val="00345184"/>
    <w:rsid w:val="00352709"/>
    <w:rsid w:val="0035344A"/>
    <w:rsid w:val="003571EA"/>
    <w:rsid w:val="00364B28"/>
    <w:rsid w:val="00371178"/>
    <w:rsid w:val="0038100E"/>
    <w:rsid w:val="00393B48"/>
    <w:rsid w:val="00394FFC"/>
    <w:rsid w:val="003A6810"/>
    <w:rsid w:val="003B36D1"/>
    <w:rsid w:val="003C2CC4"/>
    <w:rsid w:val="003C3DDB"/>
    <w:rsid w:val="003D18C0"/>
    <w:rsid w:val="003D4B23"/>
    <w:rsid w:val="003F2B4A"/>
    <w:rsid w:val="0040519E"/>
    <w:rsid w:val="00410C89"/>
    <w:rsid w:val="004154CD"/>
    <w:rsid w:val="00421B73"/>
    <w:rsid w:val="00422E03"/>
    <w:rsid w:val="00426B9B"/>
    <w:rsid w:val="004325CB"/>
    <w:rsid w:val="004356D2"/>
    <w:rsid w:val="004401CD"/>
    <w:rsid w:val="00442A83"/>
    <w:rsid w:val="00446782"/>
    <w:rsid w:val="00450287"/>
    <w:rsid w:val="0045495B"/>
    <w:rsid w:val="00455CA0"/>
    <w:rsid w:val="00461D82"/>
    <w:rsid w:val="0046311B"/>
    <w:rsid w:val="00464C81"/>
    <w:rsid w:val="0048397A"/>
    <w:rsid w:val="00485AE4"/>
    <w:rsid w:val="00487F51"/>
    <w:rsid w:val="00490B0A"/>
    <w:rsid w:val="004975C1"/>
    <w:rsid w:val="004A12F2"/>
    <w:rsid w:val="004A28A3"/>
    <w:rsid w:val="004A6B3A"/>
    <w:rsid w:val="004C2461"/>
    <w:rsid w:val="004C308E"/>
    <w:rsid w:val="004C32CC"/>
    <w:rsid w:val="004C7462"/>
    <w:rsid w:val="004D142D"/>
    <w:rsid w:val="004D4E04"/>
    <w:rsid w:val="004D5426"/>
    <w:rsid w:val="004D56F2"/>
    <w:rsid w:val="004D59CF"/>
    <w:rsid w:val="004E0C05"/>
    <w:rsid w:val="004E77B2"/>
    <w:rsid w:val="00500683"/>
    <w:rsid w:val="00501E13"/>
    <w:rsid w:val="00503DEB"/>
    <w:rsid w:val="00504B2D"/>
    <w:rsid w:val="00507993"/>
    <w:rsid w:val="0051315A"/>
    <w:rsid w:val="0052136D"/>
    <w:rsid w:val="00522B58"/>
    <w:rsid w:val="00523CD7"/>
    <w:rsid w:val="0052775E"/>
    <w:rsid w:val="005303E7"/>
    <w:rsid w:val="00532510"/>
    <w:rsid w:val="00537ACC"/>
    <w:rsid w:val="005420F2"/>
    <w:rsid w:val="00542968"/>
    <w:rsid w:val="00543B68"/>
    <w:rsid w:val="00546993"/>
    <w:rsid w:val="005628B6"/>
    <w:rsid w:val="00563634"/>
    <w:rsid w:val="00572ADB"/>
    <w:rsid w:val="0057739F"/>
    <w:rsid w:val="0059363D"/>
    <w:rsid w:val="005A583B"/>
    <w:rsid w:val="005B3DB3"/>
    <w:rsid w:val="005B4E13"/>
    <w:rsid w:val="005C68F0"/>
    <w:rsid w:val="005D2A29"/>
    <w:rsid w:val="005E6A77"/>
    <w:rsid w:val="005F7B75"/>
    <w:rsid w:val="006001EE"/>
    <w:rsid w:val="00604148"/>
    <w:rsid w:val="00605042"/>
    <w:rsid w:val="00611FC4"/>
    <w:rsid w:val="006176FB"/>
    <w:rsid w:val="00626367"/>
    <w:rsid w:val="00630BAF"/>
    <w:rsid w:val="00640B26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C710C"/>
    <w:rsid w:val="006D37AF"/>
    <w:rsid w:val="006D51D0"/>
    <w:rsid w:val="006E5117"/>
    <w:rsid w:val="006E564B"/>
    <w:rsid w:val="006E7191"/>
    <w:rsid w:val="00701A34"/>
    <w:rsid w:val="00703577"/>
    <w:rsid w:val="00705894"/>
    <w:rsid w:val="00707206"/>
    <w:rsid w:val="00707CB5"/>
    <w:rsid w:val="0072632A"/>
    <w:rsid w:val="007327D5"/>
    <w:rsid w:val="00740AAD"/>
    <w:rsid w:val="007416DF"/>
    <w:rsid w:val="007500F3"/>
    <w:rsid w:val="00760688"/>
    <w:rsid w:val="007611CF"/>
    <w:rsid w:val="00761787"/>
    <w:rsid w:val="00762477"/>
    <w:rsid w:val="007629C8"/>
    <w:rsid w:val="00764668"/>
    <w:rsid w:val="0077047D"/>
    <w:rsid w:val="00774AF7"/>
    <w:rsid w:val="00776430"/>
    <w:rsid w:val="00797575"/>
    <w:rsid w:val="007A0EF8"/>
    <w:rsid w:val="007A4EB7"/>
    <w:rsid w:val="007B27F1"/>
    <w:rsid w:val="007B6BA5"/>
    <w:rsid w:val="007C1F0D"/>
    <w:rsid w:val="007C3390"/>
    <w:rsid w:val="007C4F4B"/>
    <w:rsid w:val="007E01E9"/>
    <w:rsid w:val="007E19C9"/>
    <w:rsid w:val="007E63F3"/>
    <w:rsid w:val="007F1F2D"/>
    <w:rsid w:val="007F5028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04D4"/>
    <w:rsid w:val="00835C91"/>
    <w:rsid w:val="00843767"/>
    <w:rsid w:val="008465D9"/>
    <w:rsid w:val="00851E66"/>
    <w:rsid w:val="00854501"/>
    <w:rsid w:val="008672BC"/>
    <w:rsid w:val="008679D9"/>
    <w:rsid w:val="00871389"/>
    <w:rsid w:val="00880848"/>
    <w:rsid w:val="00883999"/>
    <w:rsid w:val="00887652"/>
    <w:rsid w:val="008878DE"/>
    <w:rsid w:val="0089179C"/>
    <w:rsid w:val="0089185A"/>
    <w:rsid w:val="008933C9"/>
    <w:rsid w:val="008979B1"/>
    <w:rsid w:val="008A24D4"/>
    <w:rsid w:val="008A253A"/>
    <w:rsid w:val="008A6B25"/>
    <w:rsid w:val="008A6C4F"/>
    <w:rsid w:val="008A7B69"/>
    <w:rsid w:val="008B0075"/>
    <w:rsid w:val="008B2335"/>
    <w:rsid w:val="008C10DD"/>
    <w:rsid w:val="008C7DAF"/>
    <w:rsid w:val="008E0678"/>
    <w:rsid w:val="008E0DAA"/>
    <w:rsid w:val="008E4D3A"/>
    <w:rsid w:val="00914CB9"/>
    <w:rsid w:val="009223CA"/>
    <w:rsid w:val="00924790"/>
    <w:rsid w:val="00927083"/>
    <w:rsid w:val="009273F3"/>
    <w:rsid w:val="00936AE1"/>
    <w:rsid w:val="00940F93"/>
    <w:rsid w:val="0094558F"/>
    <w:rsid w:val="009455B5"/>
    <w:rsid w:val="0095387D"/>
    <w:rsid w:val="0095508D"/>
    <w:rsid w:val="00961690"/>
    <w:rsid w:val="009760F3"/>
    <w:rsid w:val="0098203C"/>
    <w:rsid w:val="00995CC5"/>
    <w:rsid w:val="009A0995"/>
    <w:rsid w:val="009A0E8D"/>
    <w:rsid w:val="009A1137"/>
    <w:rsid w:val="009B1518"/>
    <w:rsid w:val="009B26E7"/>
    <w:rsid w:val="009C454F"/>
    <w:rsid w:val="009D2A5B"/>
    <w:rsid w:val="009E1D8E"/>
    <w:rsid w:val="009F0036"/>
    <w:rsid w:val="009F2B9A"/>
    <w:rsid w:val="00A00A3F"/>
    <w:rsid w:val="00A01489"/>
    <w:rsid w:val="00A04A9D"/>
    <w:rsid w:val="00A071BF"/>
    <w:rsid w:val="00A20CE4"/>
    <w:rsid w:val="00A3009E"/>
    <w:rsid w:val="00A3026E"/>
    <w:rsid w:val="00A338F1"/>
    <w:rsid w:val="00A463F3"/>
    <w:rsid w:val="00A525AC"/>
    <w:rsid w:val="00A55B4D"/>
    <w:rsid w:val="00A72F22"/>
    <w:rsid w:val="00A7360F"/>
    <w:rsid w:val="00A748A6"/>
    <w:rsid w:val="00A749DD"/>
    <w:rsid w:val="00A769F4"/>
    <w:rsid w:val="00A776B4"/>
    <w:rsid w:val="00A83D0F"/>
    <w:rsid w:val="00A94361"/>
    <w:rsid w:val="00AA293C"/>
    <w:rsid w:val="00AA66C0"/>
    <w:rsid w:val="00AB1B26"/>
    <w:rsid w:val="00AD44C2"/>
    <w:rsid w:val="00AD48FA"/>
    <w:rsid w:val="00B00BC3"/>
    <w:rsid w:val="00B06A97"/>
    <w:rsid w:val="00B11BB4"/>
    <w:rsid w:val="00B17311"/>
    <w:rsid w:val="00B22BC2"/>
    <w:rsid w:val="00B30179"/>
    <w:rsid w:val="00B36690"/>
    <w:rsid w:val="00B421C1"/>
    <w:rsid w:val="00B46A29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A2681"/>
    <w:rsid w:val="00BA639E"/>
    <w:rsid w:val="00BB20C7"/>
    <w:rsid w:val="00BB2A81"/>
    <w:rsid w:val="00BB45BD"/>
    <w:rsid w:val="00BB7CD1"/>
    <w:rsid w:val="00BC270E"/>
    <w:rsid w:val="00BC3FA0"/>
    <w:rsid w:val="00BC74E9"/>
    <w:rsid w:val="00BD3BEF"/>
    <w:rsid w:val="00BE48E6"/>
    <w:rsid w:val="00BF0E05"/>
    <w:rsid w:val="00BF15A1"/>
    <w:rsid w:val="00BF68A8"/>
    <w:rsid w:val="00C10FE6"/>
    <w:rsid w:val="00C11A03"/>
    <w:rsid w:val="00C1428F"/>
    <w:rsid w:val="00C22C0C"/>
    <w:rsid w:val="00C249A2"/>
    <w:rsid w:val="00C32683"/>
    <w:rsid w:val="00C414BD"/>
    <w:rsid w:val="00C4527F"/>
    <w:rsid w:val="00C463DD"/>
    <w:rsid w:val="00C467C9"/>
    <w:rsid w:val="00C4724C"/>
    <w:rsid w:val="00C629A0"/>
    <w:rsid w:val="00C64629"/>
    <w:rsid w:val="00C73056"/>
    <w:rsid w:val="00C745C3"/>
    <w:rsid w:val="00CA6B02"/>
    <w:rsid w:val="00CB3E03"/>
    <w:rsid w:val="00CC589C"/>
    <w:rsid w:val="00CD57D2"/>
    <w:rsid w:val="00CE4A8F"/>
    <w:rsid w:val="00D00610"/>
    <w:rsid w:val="00D139AC"/>
    <w:rsid w:val="00D2031B"/>
    <w:rsid w:val="00D25FE2"/>
    <w:rsid w:val="00D318E2"/>
    <w:rsid w:val="00D43252"/>
    <w:rsid w:val="00D446D4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A3C1C"/>
    <w:rsid w:val="00DB46A4"/>
    <w:rsid w:val="00DB6CA5"/>
    <w:rsid w:val="00DC1580"/>
    <w:rsid w:val="00DC280C"/>
    <w:rsid w:val="00DD1453"/>
    <w:rsid w:val="00E046DF"/>
    <w:rsid w:val="00E04B58"/>
    <w:rsid w:val="00E13B15"/>
    <w:rsid w:val="00E15557"/>
    <w:rsid w:val="00E15D5C"/>
    <w:rsid w:val="00E27346"/>
    <w:rsid w:val="00E277A3"/>
    <w:rsid w:val="00E64224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492A"/>
    <w:rsid w:val="00E96630"/>
    <w:rsid w:val="00EA16B6"/>
    <w:rsid w:val="00EB2BB6"/>
    <w:rsid w:val="00EB5944"/>
    <w:rsid w:val="00EC106A"/>
    <w:rsid w:val="00EC32A0"/>
    <w:rsid w:val="00EC35F0"/>
    <w:rsid w:val="00ED7A2A"/>
    <w:rsid w:val="00EE5840"/>
    <w:rsid w:val="00EE6B3A"/>
    <w:rsid w:val="00EF1D7F"/>
    <w:rsid w:val="00EF3903"/>
    <w:rsid w:val="00F00EAB"/>
    <w:rsid w:val="00F02912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6565"/>
    <w:rsid w:val="00F93781"/>
    <w:rsid w:val="00F93BFA"/>
    <w:rsid w:val="00F97448"/>
    <w:rsid w:val="00FA28F6"/>
    <w:rsid w:val="00FB0A9F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56EF9"/>
  <w15:docId w15:val="{4F5A257E-35B8-47B2-B51D-A9534F99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1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numbering" w:styleId="ArticleSection">
    <w:name w:val="Outline List 3"/>
    <w:basedOn w:val="NoList"/>
    <w:uiPriority w:val="99"/>
    <w:semiHidden/>
    <w:unhideWhenUsed/>
    <w:rsid w:val="00973714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rsid w:val="00973714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rsid w:val="00973714"/>
    <w:pPr>
      <w:numPr>
        <w:numId w:val="14"/>
      </w:numPr>
    </w:pPr>
  </w:style>
  <w:style w:type="character" w:customStyle="1" w:styleId="et031">
    <w:name w:val="et031"/>
    <w:basedOn w:val="DefaultParagraphFont"/>
    <w:rsid w:val="00B46A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2213de1fb4189ade29594c53d0205cfc&amp;term_occur=9&amp;term_src=Title:49:Subtitle:B:Chapter:I:Subchapter:C:Part:176:Subpart:A:176.2" TargetMode="External"/><Relationship Id="rId13" Type="http://schemas.openxmlformats.org/officeDocument/2006/relationships/hyperlink" Target="https://www.law.cornell.edu/definitions/index.php?width=840&amp;height=800&amp;iframe=true&amp;def_id=ba10ee82b16a9796f24cce0cb552c5b7&amp;term_occur=2&amp;term_src=Title:49:Subtitle:B:Chapter:I:Subchapter:C:Part:176:Subpart:A:176.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w.cornell.edu/definitions/index.php?width=840&amp;height=800&amp;iframe=true&amp;def_id=83a453a0c107c9f6872bb4adbbcaa9cb&amp;term_occur=1&amp;term_src=Title:49:Subtitle:B:Chapter:I:Subchapter:C:Part:176:Subpart:A:176.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cornell.edu/definitions/index.php?width=840&amp;height=800&amp;iframe=true&amp;def_id=f376fac8b907eb1f2f01577dd87a7663&amp;term_occur=1&amp;term_src=Title:49:Subtitle:B:Chapter:I:Subchapter:C:Part:176:Subpart:A:176.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aw.cornell.edu/definitions/index.php?width=840&amp;height=800&amp;iframe=true&amp;def_id=4674db51803852f49c2a271904ff232e&amp;term_occur=1&amp;term_src=Title:49:Subtitle:B:Chapter:I:Subchapter:C:Part:176:Subpart:A:176.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aw.cornell.edu/definitions/index.php?width=840&amp;height=800&amp;iframe=true&amp;def_id=639d6a96a12081927752d7c7f6fa0f2f&amp;term_occur=2&amp;term_src=Title:49:Subtitle:B:Chapter:I:Subchapter:C:Part:176:Subpart:A:176.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C8BE-C6D4-4C38-995F-ED0EC143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648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8</cp:revision>
  <cp:lastPrinted>2018-02-14T11:11:00Z</cp:lastPrinted>
  <dcterms:created xsi:type="dcterms:W3CDTF">2018-02-14T11:03:00Z</dcterms:created>
  <dcterms:modified xsi:type="dcterms:W3CDTF">2018-02-14T15:48:00Z</dcterms:modified>
</cp:coreProperties>
</file>