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151C74"/>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51C74" w:rsidP="00151C74">
            <w:pPr>
              <w:jc w:val="right"/>
            </w:pPr>
            <w:r w:rsidRPr="00151C74">
              <w:rPr>
                <w:sz w:val="40"/>
              </w:rPr>
              <w:t>ECE</w:t>
            </w:r>
            <w:r>
              <w:t>/TRANS/WP.15/AC.1/</w:t>
            </w:r>
            <w:r w:rsidR="00F47C7C">
              <w:t>152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51C74" w:rsidP="00C97039">
            <w:pPr>
              <w:spacing w:before="240"/>
            </w:pPr>
            <w:proofErr w:type="spellStart"/>
            <w:r>
              <w:t>Distr</w:t>
            </w:r>
            <w:proofErr w:type="spellEnd"/>
            <w:r>
              <w:t xml:space="preserve">. </w:t>
            </w:r>
            <w:proofErr w:type="gramStart"/>
            <w:r>
              <w:t>générale</w:t>
            </w:r>
            <w:proofErr w:type="gramEnd"/>
          </w:p>
          <w:p w:rsidR="00151C74" w:rsidRDefault="00FF1CA1" w:rsidP="00151C74">
            <w:pPr>
              <w:spacing w:line="240" w:lineRule="exact"/>
            </w:pPr>
            <w:r>
              <w:t>18 octobre 2018</w:t>
            </w:r>
          </w:p>
          <w:p w:rsidR="00151C74" w:rsidRDefault="00151C74" w:rsidP="00151C74">
            <w:pPr>
              <w:spacing w:line="240" w:lineRule="exact"/>
            </w:pPr>
            <w:r>
              <w:t>Français</w:t>
            </w:r>
          </w:p>
          <w:p w:rsidR="00151C74" w:rsidRPr="00DB58B5" w:rsidRDefault="00151C74" w:rsidP="00151C74">
            <w:pPr>
              <w:spacing w:line="240" w:lineRule="exact"/>
            </w:pPr>
            <w:r>
              <w:t>Original : anglais</w:t>
            </w:r>
            <w:r w:rsidR="00F47C7C">
              <w:t xml:space="preserve"> et français</w:t>
            </w:r>
          </w:p>
        </w:tc>
      </w:tr>
    </w:tbl>
    <w:p w:rsidR="007F20FA" w:rsidRPr="000312C0" w:rsidRDefault="007F20FA" w:rsidP="007F20FA">
      <w:pPr>
        <w:spacing w:before="120"/>
        <w:rPr>
          <w:b/>
          <w:sz w:val="28"/>
          <w:szCs w:val="28"/>
        </w:rPr>
      </w:pPr>
      <w:r w:rsidRPr="000312C0">
        <w:rPr>
          <w:b/>
          <w:sz w:val="28"/>
          <w:szCs w:val="28"/>
        </w:rPr>
        <w:t>Commission économique pour l</w:t>
      </w:r>
      <w:r w:rsidR="008B6F84">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AB1ED9" w:rsidRPr="009E01B8" w:rsidRDefault="00AB1ED9" w:rsidP="00AF0CB5">
      <w:pPr>
        <w:spacing w:before="120"/>
        <w:rPr>
          <w:b/>
          <w:sz w:val="24"/>
          <w:szCs w:val="24"/>
        </w:rPr>
      </w:pPr>
      <w:r w:rsidRPr="009E01B8">
        <w:rPr>
          <w:b/>
          <w:sz w:val="24"/>
          <w:szCs w:val="24"/>
        </w:rPr>
        <w:t>Groupe de travail des transports de marchandises dangereuses</w:t>
      </w:r>
    </w:p>
    <w:p w:rsidR="00AB1ED9" w:rsidRPr="00926E87" w:rsidRDefault="00AB1ED9" w:rsidP="00AF0CB5">
      <w:pPr>
        <w:spacing w:before="120"/>
        <w:rPr>
          <w:b/>
        </w:rPr>
      </w:pPr>
      <w:r w:rsidRPr="00926E87">
        <w:rPr>
          <w:b/>
        </w:rPr>
        <w:t>Réunion commune de la Commission d</w:t>
      </w:r>
      <w:r w:rsidR="008B6F84">
        <w:rPr>
          <w:b/>
        </w:rPr>
        <w:t>’</w:t>
      </w:r>
      <w:r w:rsidRPr="00926E87">
        <w:rPr>
          <w:b/>
        </w:rPr>
        <w:t>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rsidR="009427E3" w:rsidRPr="00364FEF" w:rsidRDefault="00AB1ED9" w:rsidP="009427E3">
      <w:pPr>
        <w:pStyle w:val="HChG"/>
        <w:rPr>
          <w:lang w:val="fr-FR"/>
        </w:rPr>
      </w:pPr>
      <w:r w:rsidRPr="00F001B0">
        <w:rPr>
          <w:lang w:val="fr-FR"/>
        </w:rPr>
        <w:tab/>
      </w:r>
      <w:r w:rsidRPr="00F001B0">
        <w:rPr>
          <w:lang w:val="fr-FR"/>
        </w:rPr>
        <w:tab/>
      </w:r>
      <w:r w:rsidR="009427E3" w:rsidRPr="00364FEF">
        <w:rPr>
          <w:lang w:val="fr-FR"/>
        </w:rPr>
        <w:tab/>
        <w:t>Rapport de la Réunion commune de la Commission d’experts du RID et du Groupe de travail des transports de marchandises dangereuses sur sa session d’automne 2018</w:t>
      </w:r>
      <w:r w:rsidR="009427E3" w:rsidRPr="00364FEF">
        <w:rPr>
          <w:b w:val="0"/>
          <w:sz w:val="20"/>
          <w:vertAlign w:val="superscript"/>
          <w:lang w:val="fr-FR"/>
        </w:rPr>
        <w:footnoteReference w:customMarkFollows="1" w:id="2"/>
        <w:t>*</w:t>
      </w:r>
    </w:p>
    <w:p w:rsidR="009427E3" w:rsidRPr="00364FEF" w:rsidRDefault="009427E3" w:rsidP="009427E3">
      <w:pPr>
        <w:pStyle w:val="SingleTxtG"/>
        <w:rPr>
          <w:lang w:val="fr-FR"/>
        </w:rPr>
      </w:pPr>
      <w:proofErr w:type="gramStart"/>
      <w:r w:rsidRPr="00364FEF">
        <w:rPr>
          <w:lang w:val="fr-FR"/>
        </w:rPr>
        <w:t>tenue</w:t>
      </w:r>
      <w:proofErr w:type="gramEnd"/>
      <w:r w:rsidRPr="00364FEF">
        <w:rPr>
          <w:lang w:val="fr-FR"/>
        </w:rPr>
        <w:t xml:space="preserve"> à Genève du 17 au 21 septembre 2018</w:t>
      </w:r>
    </w:p>
    <w:p w:rsidR="009427E3" w:rsidRPr="00364FEF" w:rsidRDefault="009427E3" w:rsidP="009427E3">
      <w:pPr>
        <w:spacing w:after="120"/>
        <w:rPr>
          <w:sz w:val="28"/>
          <w:lang w:val="fr-FR"/>
        </w:rPr>
      </w:pPr>
      <w:r w:rsidRPr="00364FEF">
        <w:rPr>
          <w:sz w:val="28"/>
          <w:lang w:val="fr-FR"/>
        </w:rPr>
        <w:t>Table des matières</w:t>
      </w:r>
    </w:p>
    <w:p w:rsidR="009427E3" w:rsidRPr="00364FEF" w:rsidRDefault="009427E3" w:rsidP="009427E3">
      <w:pPr>
        <w:tabs>
          <w:tab w:val="right" w:pos="8929"/>
          <w:tab w:val="right" w:pos="9638"/>
        </w:tabs>
        <w:spacing w:after="120"/>
        <w:ind w:left="283"/>
        <w:rPr>
          <w:i/>
          <w:sz w:val="18"/>
          <w:lang w:val="fr-FR"/>
        </w:rPr>
      </w:pPr>
      <w:r w:rsidRPr="00364FEF">
        <w:rPr>
          <w:i/>
          <w:sz w:val="18"/>
          <w:lang w:val="fr-FR"/>
        </w:rPr>
        <w:tab/>
        <w:t>Paragraphes</w:t>
      </w:r>
      <w:r w:rsidRPr="00364FEF">
        <w:rPr>
          <w:i/>
          <w:sz w:val="18"/>
          <w:lang w:val="fr-FR"/>
        </w:rPr>
        <w:tab/>
        <w:t>Page</w:t>
      </w:r>
    </w:p>
    <w:p w:rsidR="009427E3" w:rsidRPr="00364FEF" w:rsidRDefault="009427E3" w:rsidP="009427E3">
      <w:pPr>
        <w:tabs>
          <w:tab w:val="right" w:pos="850"/>
          <w:tab w:val="right" w:leader="dot" w:pos="7654"/>
          <w:tab w:val="right" w:pos="8929"/>
          <w:tab w:val="right" w:pos="9638"/>
        </w:tabs>
        <w:spacing w:after="120"/>
        <w:ind w:left="1134" w:hanging="1134"/>
        <w:rPr>
          <w:rFonts w:eastAsia="Times New Roman"/>
          <w:lang w:val="fr-FR"/>
        </w:rPr>
      </w:pPr>
      <w:r w:rsidRPr="00364FEF">
        <w:rPr>
          <w:rFonts w:eastAsia="Times New Roman"/>
          <w:color w:val="FF0000"/>
          <w:lang w:val="fr-FR"/>
        </w:rPr>
        <w:tab/>
      </w:r>
      <w:r w:rsidRPr="00364FEF">
        <w:rPr>
          <w:rFonts w:eastAsia="Times New Roman"/>
          <w:lang w:val="fr-FR"/>
        </w:rPr>
        <w:t>I.</w:t>
      </w:r>
      <w:r w:rsidRPr="00364FEF">
        <w:rPr>
          <w:rFonts w:eastAsia="Times New Roman"/>
          <w:lang w:val="fr-FR"/>
        </w:rPr>
        <w:tab/>
      </w:r>
      <w:r w:rsidRPr="00364FEF">
        <w:rPr>
          <w:lang w:val="fr-FR"/>
        </w:rPr>
        <w:t>Participation</w:t>
      </w:r>
      <w:r>
        <w:rPr>
          <w:rFonts w:eastAsia="Times New Roman"/>
          <w:lang w:val="fr-FR"/>
        </w:rPr>
        <w:tab/>
      </w:r>
      <w:r w:rsidRPr="00364FEF">
        <w:rPr>
          <w:rFonts w:eastAsia="Times New Roman"/>
          <w:lang w:val="fr-FR"/>
        </w:rPr>
        <w:tab/>
      </w:r>
      <w:r>
        <w:rPr>
          <w:rFonts w:eastAsia="Times New Roman"/>
          <w:lang w:val="fr-FR"/>
        </w:rPr>
        <w:t>1-3</w:t>
      </w:r>
      <w:r>
        <w:rPr>
          <w:rFonts w:eastAsia="Times New Roman"/>
          <w:lang w:val="fr-FR"/>
        </w:rPr>
        <w:tab/>
        <w:t>4</w:t>
      </w:r>
    </w:p>
    <w:p w:rsidR="009427E3" w:rsidRPr="00364FEF" w:rsidRDefault="009427E3" w:rsidP="009427E3">
      <w:pPr>
        <w:tabs>
          <w:tab w:val="right" w:pos="850"/>
          <w:tab w:val="right" w:leader="dot" w:pos="7654"/>
          <w:tab w:val="right" w:pos="8929"/>
          <w:tab w:val="right" w:pos="9638"/>
        </w:tabs>
        <w:spacing w:after="120"/>
        <w:ind w:left="1134" w:hanging="1134"/>
        <w:rPr>
          <w:rFonts w:eastAsia="Times New Roman"/>
          <w:lang w:val="fr-FR"/>
        </w:rPr>
      </w:pPr>
      <w:r w:rsidRPr="00364FEF">
        <w:rPr>
          <w:rFonts w:eastAsia="Times New Roman"/>
          <w:lang w:val="fr-FR"/>
        </w:rPr>
        <w:tab/>
        <w:t>II.</w:t>
      </w:r>
      <w:r w:rsidRPr="00364FEF">
        <w:rPr>
          <w:rFonts w:eastAsia="Times New Roman"/>
          <w:lang w:val="fr-FR"/>
        </w:rPr>
        <w:tab/>
        <w:t>Adoption de l’ordre du jour (point 1 de l’ordre du jour)</w:t>
      </w:r>
      <w:r w:rsidRPr="00364FEF">
        <w:rPr>
          <w:rFonts w:eastAsia="Times New Roman"/>
          <w:lang w:val="fr-FR"/>
        </w:rPr>
        <w:tab/>
      </w:r>
      <w:r w:rsidRPr="00364FEF">
        <w:rPr>
          <w:rFonts w:eastAsia="Times New Roman"/>
          <w:lang w:val="fr-FR"/>
        </w:rPr>
        <w:tab/>
      </w:r>
      <w:r>
        <w:rPr>
          <w:rFonts w:eastAsia="Times New Roman"/>
          <w:lang w:val="fr-FR"/>
        </w:rPr>
        <w:t>4</w:t>
      </w:r>
      <w:r>
        <w:rPr>
          <w:rFonts w:eastAsia="Times New Roman"/>
          <w:lang w:val="fr-FR"/>
        </w:rPr>
        <w:tab/>
        <w:t>4</w:t>
      </w:r>
    </w:p>
    <w:p w:rsidR="009427E3" w:rsidRPr="00364FEF" w:rsidRDefault="009427E3" w:rsidP="009427E3">
      <w:pPr>
        <w:tabs>
          <w:tab w:val="right" w:pos="850"/>
          <w:tab w:val="right" w:leader="dot" w:pos="7654"/>
          <w:tab w:val="right" w:pos="8929"/>
          <w:tab w:val="right" w:pos="9638"/>
        </w:tabs>
        <w:spacing w:after="120"/>
        <w:ind w:left="1134" w:hanging="1134"/>
        <w:rPr>
          <w:rFonts w:eastAsia="Times New Roman"/>
          <w:lang w:val="fr-FR"/>
        </w:rPr>
      </w:pPr>
      <w:r w:rsidRPr="00364FEF">
        <w:rPr>
          <w:rFonts w:eastAsia="Times New Roman"/>
          <w:lang w:val="fr-FR"/>
        </w:rPr>
        <w:tab/>
        <w:t>III.</w:t>
      </w:r>
      <w:r w:rsidRPr="00364FEF">
        <w:rPr>
          <w:rFonts w:eastAsia="Times New Roman"/>
          <w:lang w:val="fr-FR"/>
        </w:rPr>
        <w:tab/>
        <w:t>Citernes (point 2 de l’ordre du jour)</w:t>
      </w:r>
      <w:r w:rsidRPr="00364FEF">
        <w:rPr>
          <w:rFonts w:eastAsia="Times New Roman"/>
          <w:lang w:val="fr-FR"/>
        </w:rPr>
        <w:tab/>
      </w:r>
      <w:r w:rsidRPr="00364FEF">
        <w:rPr>
          <w:rFonts w:eastAsia="Times New Roman"/>
          <w:lang w:val="fr-FR"/>
        </w:rPr>
        <w:tab/>
      </w:r>
      <w:r>
        <w:rPr>
          <w:rFonts w:eastAsia="Times New Roman"/>
          <w:lang w:val="fr-FR"/>
        </w:rPr>
        <w:t>5-6</w:t>
      </w:r>
      <w:r>
        <w:rPr>
          <w:rFonts w:eastAsia="Times New Roman"/>
          <w:lang w:val="fr-FR"/>
        </w:rPr>
        <w:tab/>
        <w:t>4</w:t>
      </w:r>
    </w:p>
    <w:p w:rsidR="009427E3" w:rsidRPr="00364FEF" w:rsidRDefault="009427E3" w:rsidP="009427E3">
      <w:pPr>
        <w:tabs>
          <w:tab w:val="right" w:pos="850"/>
          <w:tab w:val="right" w:leader="dot" w:pos="7654"/>
          <w:tab w:val="right" w:pos="8929"/>
          <w:tab w:val="right" w:pos="9638"/>
        </w:tabs>
        <w:spacing w:after="120"/>
        <w:ind w:left="1134" w:hanging="1134"/>
        <w:rPr>
          <w:rFonts w:eastAsia="Times New Roman"/>
          <w:lang w:val="fr-FR"/>
        </w:rPr>
      </w:pPr>
      <w:r w:rsidRPr="00364FEF">
        <w:rPr>
          <w:rFonts w:eastAsia="Times New Roman"/>
          <w:lang w:val="fr-FR"/>
        </w:rPr>
        <w:tab/>
      </w:r>
      <w:r w:rsidRPr="00364FEF">
        <w:rPr>
          <w:rFonts w:eastAsia="Times New Roman"/>
          <w:lang w:val="fr-FR"/>
        </w:rPr>
        <w:tab/>
        <w:t>Rapport du Groupe de travail des citernes</w:t>
      </w:r>
      <w:r w:rsidRPr="00364FEF">
        <w:rPr>
          <w:rFonts w:eastAsia="Times New Roman"/>
          <w:lang w:val="fr-FR"/>
        </w:rPr>
        <w:tab/>
      </w:r>
      <w:r>
        <w:rPr>
          <w:rFonts w:eastAsia="Times New Roman"/>
          <w:lang w:val="fr-FR"/>
        </w:rPr>
        <w:tab/>
        <w:t>6</w:t>
      </w:r>
      <w:r>
        <w:rPr>
          <w:rFonts w:eastAsia="Times New Roman"/>
          <w:lang w:val="fr-FR"/>
        </w:rPr>
        <w:tab/>
        <w:t>5</w:t>
      </w:r>
    </w:p>
    <w:p w:rsidR="009427E3" w:rsidRPr="00364FEF" w:rsidRDefault="009427E3" w:rsidP="009427E3">
      <w:pPr>
        <w:tabs>
          <w:tab w:val="right" w:pos="850"/>
          <w:tab w:val="right" w:leader="dot" w:pos="7654"/>
          <w:tab w:val="right" w:pos="8929"/>
          <w:tab w:val="right" w:pos="9638"/>
        </w:tabs>
        <w:spacing w:after="120"/>
        <w:ind w:left="1134" w:hanging="1134"/>
        <w:rPr>
          <w:rFonts w:eastAsia="Times New Roman"/>
          <w:lang w:val="fr-FR"/>
        </w:rPr>
      </w:pPr>
      <w:r w:rsidRPr="00364FEF">
        <w:rPr>
          <w:rFonts w:eastAsia="Times New Roman"/>
          <w:lang w:val="fr-FR"/>
        </w:rPr>
        <w:tab/>
        <w:t>IV.</w:t>
      </w:r>
      <w:r w:rsidRPr="00364FEF">
        <w:rPr>
          <w:rFonts w:eastAsia="Times New Roman"/>
          <w:lang w:val="fr-FR"/>
        </w:rPr>
        <w:tab/>
        <w:t>Normes (point 3 de l’ordre du jour)</w:t>
      </w:r>
      <w:r w:rsidRPr="00364FEF">
        <w:rPr>
          <w:rFonts w:eastAsia="Times New Roman"/>
          <w:lang w:val="fr-FR"/>
        </w:rPr>
        <w:tab/>
      </w:r>
      <w:r w:rsidRPr="00364FEF">
        <w:rPr>
          <w:rFonts w:eastAsia="Times New Roman"/>
          <w:lang w:val="fr-FR"/>
        </w:rPr>
        <w:tab/>
      </w:r>
      <w:r>
        <w:rPr>
          <w:rFonts w:eastAsia="Times New Roman"/>
          <w:lang w:val="fr-FR"/>
        </w:rPr>
        <w:t>7-14</w:t>
      </w:r>
      <w:r>
        <w:rPr>
          <w:rFonts w:eastAsia="Times New Roman"/>
          <w:lang w:val="fr-FR"/>
        </w:rPr>
        <w:tab/>
        <w:t>5</w:t>
      </w:r>
    </w:p>
    <w:p w:rsidR="009427E3" w:rsidRPr="00364FEF" w:rsidRDefault="009427E3" w:rsidP="009427E3">
      <w:pPr>
        <w:tabs>
          <w:tab w:val="right" w:pos="850"/>
          <w:tab w:val="right" w:leader="dot" w:pos="7654"/>
          <w:tab w:val="right" w:pos="8929"/>
          <w:tab w:val="right" w:pos="9638"/>
        </w:tabs>
        <w:spacing w:after="120"/>
        <w:ind w:left="1134" w:hanging="1134"/>
        <w:rPr>
          <w:rFonts w:eastAsia="Times New Roman"/>
          <w:lang w:val="fr-FR"/>
        </w:rPr>
      </w:pPr>
      <w:r w:rsidRPr="00364FEF">
        <w:rPr>
          <w:rFonts w:eastAsia="Times New Roman"/>
          <w:lang w:val="fr-FR"/>
        </w:rPr>
        <w:tab/>
      </w:r>
      <w:r w:rsidRPr="00364FEF">
        <w:rPr>
          <w:rFonts w:eastAsia="Times New Roman"/>
          <w:lang w:val="fr-FR"/>
        </w:rPr>
        <w:tab/>
        <w:t>Rapport du Groupe de travail sur les normes</w:t>
      </w:r>
      <w:r w:rsidRPr="00364FEF">
        <w:rPr>
          <w:rFonts w:eastAsia="Times New Roman"/>
          <w:lang w:val="fr-FR"/>
        </w:rPr>
        <w:tab/>
      </w:r>
      <w:r>
        <w:rPr>
          <w:rFonts w:eastAsia="Times New Roman"/>
          <w:lang w:val="fr-FR"/>
        </w:rPr>
        <w:tab/>
        <w:t>13-14</w:t>
      </w:r>
      <w:r>
        <w:rPr>
          <w:rFonts w:eastAsia="Times New Roman"/>
          <w:lang w:val="fr-FR"/>
        </w:rPr>
        <w:tab/>
        <w:t>6</w:t>
      </w:r>
    </w:p>
    <w:p w:rsidR="009427E3" w:rsidRPr="00364FEF" w:rsidRDefault="009427E3" w:rsidP="009427E3">
      <w:pPr>
        <w:tabs>
          <w:tab w:val="right" w:pos="850"/>
          <w:tab w:val="right" w:leader="dot" w:pos="7654"/>
          <w:tab w:val="right" w:pos="8929"/>
          <w:tab w:val="right" w:pos="9638"/>
        </w:tabs>
        <w:spacing w:after="120"/>
        <w:ind w:left="1134" w:hanging="1134"/>
        <w:rPr>
          <w:rFonts w:eastAsia="Times New Roman"/>
          <w:lang w:val="fr-FR"/>
        </w:rPr>
      </w:pPr>
      <w:r w:rsidRPr="00364FEF">
        <w:rPr>
          <w:rFonts w:eastAsia="Times New Roman"/>
          <w:lang w:val="fr-FR"/>
        </w:rPr>
        <w:tab/>
        <w:t>V.</w:t>
      </w:r>
      <w:r w:rsidRPr="00364FEF">
        <w:rPr>
          <w:rFonts w:eastAsia="Times New Roman"/>
          <w:lang w:val="fr-FR"/>
        </w:rPr>
        <w:tab/>
      </w:r>
      <w:r w:rsidRPr="003B1372">
        <w:rPr>
          <w:lang w:val="fr-FR"/>
        </w:rPr>
        <w:t>Interprétation du RID/ADR/ADN (point 4 de l’ordre du jour)</w:t>
      </w:r>
      <w:r>
        <w:rPr>
          <w:lang w:val="fr-FR"/>
        </w:rPr>
        <w:tab/>
      </w:r>
      <w:r>
        <w:rPr>
          <w:lang w:val="fr-FR"/>
        </w:rPr>
        <w:tab/>
        <w:t>15</w:t>
      </w:r>
      <w:r>
        <w:rPr>
          <w:lang w:val="fr-FR"/>
        </w:rPr>
        <w:tab/>
        <w:t>6</w:t>
      </w:r>
    </w:p>
    <w:p w:rsidR="009427E3" w:rsidRPr="00364FEF" w:rsidRDefault="009427E3" w:rsidP="009427E3">
      <w:pPr>
        <w:tabs>
          <w:tab w:val="right" w:pos="850"/>
          <w:tab w:val="right" w:leader="dot" w:pos="7654"/>
          <w:tab w:val="right" w:pos="8929"/>
          <w:tab w:val="right" w:pos="9638"/>
        </w:tabs>
        <w:spacing w:after="120"/>
        <w:ind w:left="1134" w:hanging="1134"/>
        <w:rPr>
          <w:rFonts w:eastAsia="Times New Roman"/>
          <w:lang w:val="fr-FR"/>
        </w:rPr>
      </w:pPr>
      <w:r w:rsidRPr="00364FEF">
        <w:rPr>
          <w:rFonts w:eastAsia="Times New Roman"/>
          <w:lang w:val="fr-FR"/>
        </w:rPr>
        <w:tab/>
        <w:t>VI.</w:t>
      </w:r>
      <w:r w:rsidRPr="00364FEF">
        <w:rPr>
          <w:rFonts w:eastAsia="Times New Roman"/>
          <w:lang w:val="fr-FR"/>
        </w:rPr>
        <w:tab/>
      </w:r>
      <w:r w:rsidRPr="00364FEF">
        <w:rPr>
          <w:lang w:val="fr-FR"/>
        </w:rPr>
        <w:t>Propositions d’amendements au RID/ADR/ADN (point 5 de l’ordre du jour)</w:t>
      </w:r>
      <w:r w:rsidRPr="00364FEF">
        <w:rPr>
          <w:rFonts w:eastAsia="Times New Roman"/>
          <w:lang w:val="fr-FR"/>
        </w:rPr>
        <w:tab/>
      </w:r>
      <w:r w:rsidRPr="00364FEF">
        <w:rPr>
          <w:rFonts w:eastAsia="Times New Roman"/>
          <w:lang w:val="fr-FR"/>
        </w:rPr>
        <w:tab/>
      </w:r>
      <w:r>
        <w:rPr>
          <w:rFonts w:eastAsia="Times New Roman"/>
          <w:lang w:val="fr-FR"/>
        </w:rPr>
        <w:t>16-41</w:t>
      </w:r>
      <w:r>
        <w:rPr>
          <w:rFonts w:eastAsia="Times New Roman"/>
          <w:lang w:val="fr-FR"/>
        </w:rPr>
        <w:tab/>
        <w:t>6</w:t>
      </w:r>
    </w:p>
    <w:p w:rsidR="009427E3" w:rsidRPr="00364FEF" w:rsidRDefault="009427E3" w:rsidP="009427E3">
      <w:pPr>
        <w:tabs>
          <w:tab w:val="right" w:leader="dot" w:pos="7654"/>
          <w:tab w:val="right" w:pos="8929"/>
          <w:tab w:val="right" w:pos="9638"/>
        </w:tabs>
        <w:spacing w:after="120"/>
        <w:ind w:left="1559" w:hanging="425"/>
        <w:rPr>
          <w:rFonts w:eastAsia="Times New Roman"/>
          <w:lang w:val="fr-FR"/>
        </w:rPr>
      </w:pPr>
      <w:r w:rsidRPr="00364FEF">
        <w:rPr>
          <w:rFonts w:eastAsia="Times New Roman"/>
          <w:lang w:val="fr-FR"/>
        </w:rPr>
        <w:t>A.</w:t>
      </w:r>
      <w:r w:rsidRPr="00364FEF">
        <w:rPr>
          <w:rFonts w:eastAsia="Times New Roman"/>
          <w:lang w:val="fr-FR"/>
        </w:rPr>
        <w:tab/>
      </w:r>
      <w:r w:rsidRPr="00364FEF">
        <w:rPr>
          <w:lang w:val="fr-FR"/>
        </w:rPr>
        <w:t>Questions en suspens</w:t>
      </w:r>
      <w:r w:rsidRPr="00364FEF">
        <w:rPr>
          <w:rFonts w:eastAsia="Times New Roman"/>
          <w:lang w:val="fr-FR"/>
        </w:rPr>
        <w:tab/>
      </w:r>
      <w:r w:rsidRPr="00364FEF">
        <w:rPr>
          <w:rFonts w:eastAsia="Times New Roman"/>
          <w:lang w:val="fr-FR"/>
        </w:rPr>
        <w:tab/>
      </w:r>
      <w:r>
        <w:rPr>
          <w:rFonts w:eastAsia="Times New Roman"/>
          <w:lang w:val="fr-FR"/>
        </w:rPr>
        <w:t>16-20</w:t>
      </w:r>
      <w:r>
        <w:rPr>
          <w:rFonts w:eastAsia="Times New Roman"/>
          <w:lang w:val="fr-FR"/>
        </w:rPr>
        <w:tab/>
        <w:t>6</w:t>
      </w:r>
    </w:p>
    <w:p w:rsidR="009427E3" w:rsidRPr="00364FEF" w:rsidRDefault="009427E3" w:rsidP="009427E3">
      <w:pPr>
        <w:tabs>
          <w:tab w:val="right" w:leader="dot" w:pos="7654"/>
          <w:tab w:val="right" w:pos="8929"/>
          <w:tab w:val="right" w:pos="9638"/>
        </w:tabs>
        <w:spacing w:after="120"/>
        <w:ind w:left="1984" w:hanging="425"/>
        <w:rPr>
          <w:rFonts w:eastAsia="Times New Roman"/>
          <w:lang w:val="fr-FR"/>
        </w:rPr>
      </w:pPr>
      <w:r w:rsidRPr="00364FEF">
        <w:rPr>
          <w:rFonts w:eastAsia="Times New Roman"/>
          <w:lang w:val="fr-FR"/>
        </w:rPr>
        <w:t>1.</w:t>
      </w:r>
      <w:r w:rsidRPr="00364FEF">
        <w:rPr>
          <w:rFonts w:eastAsia="Times New Roman"/>
          <w:lang w:val="fr-FR"/>
        </w:rPr>
        <w:tab/>
        <w:t xml:space="preserve">État d’avancement de la publication des normes qui n’avaient pas été </w:t>
      </w:r>
      <w:r w:rsidRPr="00364FEF">
        <w:rPr>
          <w:rFonts w:eastAsia="Times New Roman"/>
          <w:lang w:val="fr-FR"/>
        </w:rPr>
        <w:br/>
        <w:t xml:space="preserve">publiées à temps pour figurer dans la liste d’amendements devant </w:t>
      </w:r>
      <w:r w:rsidRPr="00364FEF">
        <w:rPr>
          <w:rFonts w:eastAsia="Times New Roman"/>
          <w:lang w:val="fr-FR"/>
        </w:rPr>
        <w:br/>
        <w:t xml:space="preserve">être notifiée aux Parties contractantes pour </w:t>
      </w:r>
      <w:proofErr w:type="spellStart"/>
      <w:r w:rsidRPr="00364FEF">
        <w:rPr>
          <w:rFonts w:eastAsia="Times New Roman"/>
          <w:lang w:val="fr-FR"/>
        </w:rPr>
        <w:t>entrée</w:t>
      </w:r>
      <w:proofErr w:type="spellEnd"/>
      <w:r w:rsidRPr="00364FEF">
        <w:rPr>
          <w:rFonts w:eastAsia="Times New Roman"/>
          <w:lang w:val="fr-FR"/>
        </w:rPr>
        <w:t xml:space="preserve"> en vigueur </w:t>
      </w:r>
      <w:r w:rsidRPr="00364FEF">
        <w:rPr>
          <w:rFonts w:eastAsia="Times New Roman"/>
          <w:lang w:val="fr-FR"/>
        </w:rPr>
        <w:br/>
        <w:t xml:space="preserve">le 1er janvier 2019 </w:t>
      </w:r>
      <w:r w:rsidRPr="00364FEF">
        <w:rPr>
          <w:rFonts w:eastAsia="Times New Roman"/>
          <w:lang w:val="fr-FR"/>
        </w:rPr>
        <w:tab/>
      </w:r>
      <w:r w:rsidRPr="00364FEF">
        <w:rPr>
          <w:rFonts w:eastAsia="Times New Roman"/>
          <w:lang w:val="fr-FR"/>
        </w:rPr>
        <w:tab/>
      </w:r>
      <w:r>
        <w:rPr>
          <w:rFonts w:eastAsia="Times New Roman"/>
          <w:lang w:val="fr-FR"/>
        </w:rPr>
        <w:t>16-19</w:t>
      </w:r>
      <w:r>
        <w:rPr>
          <w:rFonts w:eastAsia="Times New Roman"/>
          <w:lang w:val="fr-FR"/>
        </w:rPr>
        <w:tab/>
        <w:t>6</w:t>
      </w:r>
    </w:p>
    <w:p w:rsidR="009427E3" w:rsidRPr="00364FEF" w:rsidRDefault="009427E3" w:rsidP="009427E3">
      <w:pPr>
        <w:tabs>
          <w:tab w:val="right" w:leader="dot" w:pos="7654"/>
          <w:tab w:val="right" w:pos="8929"/>
          <w:tab w:val="right" w:pos="9638"/>
        </w:tabs>
        <w:spacing w:after="120"/>
        <w:ind w:left="1984" w:hanging="425"/>
        <w:rPr>
          <w:rFonts w:eastAsia="Times New Roman"/>
          <w:bCs/>
          <w:lang w:val="fr-FR"/>
        </w:rPr>
      </w:pPr>
      <w:r w:rsidRPr="00364FEF">
        <w:rPr>
          <w:rFonts w:eastAsia="Times New Roman"/>
          <w:bCs/>
          <w:lang w:val="fr-FR"/>
        </w:rPr>
        <w:lastRenderedPageBreak/>
        <w:t>2.</w:t>
      </w:r>
      <w:r w:rsidRPr="00364FEF">
        <w:rPr>
          <w:rFonts w:eastAsia="Times New Roman"/>
          <w:bCs/>
          <w:lang w:val="fr-FR"/>
        </w:rPr>
        <w:tab/>
        <w:t>Numéro d’identification du danger 836</w:t>
      </w:r>
      <w:r w:rsidRPr="00364FEF">
        <w:rPr>
          <w:rFonts w:eastAsia="Times New Roman"/>
          <w:bCs/>
          <w:lang w:val="fr-FR"/>
        </w:rPr>
        <w:tab/>
      </w:r>
      <w:r>
        <w:rPr>
          <w:rFonts w:eastAsia="Times New Roman"/>
          <w:bCs/>
          <w:lang w:val="fr-FR"/>
        </w:rPr>
        <w:tab/>
        <w:t>20</w:t>
      </w:r>
      <w:r>
        <w:rPr>
          <w:rFonts w:eastAsia="Times New Roman"/>
          <w:bCs/>
          <w:lang w:val="fr-FR"/>
        </w:rPr>
        <w:tab/>
        <w:t>7</w:t>
      </w:r>
    </w:p>
    <w:p w:rsidR="009427E3" w:rsidRPr="00364FEF" w:rsidRDefault="009427E3" w:rsidP="009427E3">
      <w:pPr>
        <w:keepNext/>
        <w:keepLines/>
        <w:tabs>
          <w:tab w:val="right" w:leader="dot" w:pos="7654"/>
          <w:tab w:val="right" w:pos="8929"/>
          <w:tab w:val="right" w:pos="9638"/>
        </w:tabs>
        <w:spacing w:after="120"/>
        <w:ind w:left="1559" w:hanging="425"/>
        <w:rPr>
          <w:rFonts w:eastAsia="Times New Roman"/>
          <w:lang w:val="fr-FR"/>
        </w:rPr>
      </w:pPr>
      <w:r w:rsidRPr="00364FEF">
        <w:rPr>
          <w:rFonts w:eastAsia="Times New Roman"/>
          <w:lang w:val="fr-FR"/>
        </w:rPr>
        <w:t>B.</w:t>
      </w:r>
      <w:r w:rsidRPr="00364FEF">
        <w:rPr>
          <w:rFonts w:eastAsia="Times New Roman"/>
          <w:lang w:val="fr-FR"/>
        </w:rPr>
        <w:tab/>
      </w:r>
      <w:r w:rsidRPr="00364FEF">
        <w:rPr>
          <w:lang w:val="fr-FR"/>
        </w:rPr>
        <w:t>Nouvelles propositions</w:t>
      </w:r>
      <w:r>
        <w:rPr>
          <w:rFonts w:eastAsia="Times New Roman"/>
          <w:lang w:val="fr-FR"/>
        </w:rPr>
        <w:tab/>
      </w:r>
      <w:r>
        <w:rPr>
          <w:rFonts w:eastAsia="Times New Roman"/>
          <w:lang w:val="fr-FR"/>
        </w:rPr>
        <w:tab/>
        <w:t>21-41</w:t>
      </w:r>
      <w:r>
        <w:rPr>
          <w:rFonts w:eastAsia="Times New Roman"/>
          <w:lang w:val="fr-FR"/>
        </w:rPr>
        <w:tab/>
      </w:r>
      <w:r w:rsidR="00811408">
        <w:rPr>
          <w:rFonts w:eastAsia="Times New Roman"/>
          <w:lang w:val="fr-FR"/>
        </w:rPr>
        <w:t>8</w:t>
      </w:r>
    </w:p>
    <w:p w:rsidR="009427E3" w:rsidRPr="00364FEF" w:rsidRDefault="009427E3" w:rsidP="009427E3">
      <w:pPr>
        <w:tabs>
          <w:tab w:val="right" w:leader="dot" w:pos="7654"/>
          <w:tab w:val="right" w:pos="8929"/>
          <w:tab w:val="right" w:pos="9638"/>
        </w:tabs>
        <w:spacing w:after="120"/>
        <w:ind w:left="1984" w:hanging="425"/>
        <w:rPr>
          <w:rFonts w:eastAsia="Times New Roman"/>
          <w:lang w:val="fr-FR"/>
        </w:rPr>
      </w:pPr>
      <w:r w:rsidRPr="00364FEF">
        <w:rPr>
          <w:rFonts w:eastAsia="Times New Roman"/>
          <w:bCs/>
          <w:lang w:val="fr-FR"/>
        </w:rPr>
        <w:t>1.</w:t>
      </w:r>
      <w:r w:rsidRPr="00364FEF">
        <w:rPr>
          <w:rFonts w:eastAsia="Times New Roman"/>
          <w:bCs/>
          <w:lang w:val="fr-FR"/>
        </w:rPr>
        <w:tab/>
        <w:t xml:space="preserve">Interdictions de chargement en commun pour les colis dont il n’est </w:t>
      </w:r>
      <w:r w:rsidRPr="00364FEF">
        <w:rPr>
          <w:rFonts w:eastAsia="Times New Roman"/>
          <w:bCs/>
          <w:lang w:val="fr-FR"/>
        </w:rPr>
        <w:br/>
        <w:t>pas exigé qu’ils soient munis d’étiquettes de danger (7.5.2.1)</w:t>
      </w:r>
      <w:r w:rsidRPr="00364FEF">
        <w:rPr>
          <w:rFonts w:eastAsia="Times New Roman"/>
          <w:bCs/>
          <w:lang w:val="fr-FR"/>
        </w:rPr>
        <w:tab/>
      </w:r>
      <w:r>
        <w:rPr>
          <w:rFonts w:eastAsia="Times New Roman"/>
          <w:bCs/>
          <w:lang w:val="fr-FR"/>
        </w:rPr>
        <w:tab/>
        <w:t>21</w:t>
      </w:r>
      <w:r>
        <w:rPr>
          <w:rFonts w:eastAsia="Times New Roman"/>
          <w:bCs/>
          <w:lang w:val="fr-FR"/>
        </w:rPr>
        <w:tab/>
      </w:r>
      <w:r w:rsidR="00811408">
        <w:rPr>
          <w:rFonts w:eastAsia="Times New Roman"/>
          <w:bCs/>
          <w:lang w:val="fr-FR"/>
        </w:rPr>
        <w:t>8</w:t>
      </w:r>
    </w:p>
    <w:p w:rsidR="009427E3" w:rsidRPr="00364FEF" w:rsidRDefault="009427E3" w:rsidP="009427E3">
      <w:pPr>
        <w:tabs>
          <w:tab w:val="right" w:leader="dot" w:pos="7654"/>
          <w:tab w:val="right" w:pos="8929"/>
          <w:tab w:val="right" w:pos="9638"/>
        </w:tabs>
        <w:spacing w:after="120"/>
        <w:ind w:left="1984" w:hanging="425"/>
        <w:rPr>
          <w:rFonts w:eastAsia="Times New Roman"/>
          <w:bCs/>
          <w:lang w:val="fr-FR"/>
        </w:rPr>
      </w:pPr>
      <w:r w:rsidRPr="00364FEF">
        <w:rPr>
          <w:rFonts w:eastAsia="Times New Roman"/>
          <w:bCs/>
          <w:lang w:val="fr-FR"/>
        </w:rPr>
        <w:t>2.</w:t>
      </w:r>
      <w:r w:rsidRPr="00364FEF">
        <w:rPr>
          <w:rFonts w:eastAsia="Times New Roman"/>
          <w:bCs/>
          <w:lang w:val="fr-FR"/>
        </w:rPr>
        <w:tab/>
        <w:t xml:space="preserve">Suppression de la disposition spéciale 556 au chapitre 3.3 </w:t>
      </w:r>
      <w:r w:rsidRPr="00364FEF">
        <w:rPr>
          <w:rFonts w:eastAsia="Times New Roman"/>
          <w:bCs/>
          <w:lang w:val="fr-FR"/>
        </w:rPr>
        <w:br/>
        <w:t xml:space="preserve">du RID/ADR/ADN </w:t>
      </w:r>
      <w:r w:rsidRPr="00364FEF">
        <w:rPr>
          <w:rFonts w:eastAsia="Times New Roman"/>
          <w:bCs/>
          <w:lang w:val="fr-FR"/>
        </w:rPr>
        <w:tab/>
      </w:r>
      <w:r>
        <w:rPr>
          <w:rFonts w:eastAsia="Times New Roman"/>
          <w:bCs/>
          <w:lang w:val="fr-FR"/>
        </w:rPr>
        <w:tab/>
        <w:t>22</w:t>
      </w:r>
      <w:r>
        <w:rPr>
          <w:rFonts w:eastAsia="Times New Roman"/>
          <w:bCs/>
          <w:lang w:val="fr-FR"/>
        </w:rPr>
        <w:tab/>
      </w:r>
      <w:r w:rsidR="00811408">
        <w:rPr>
          <w:rFonts w:eastAsia="Times New Roman"/>
          <w:bCs/>
          <w:lang w:val="fr-FR"/>
        </w:rPr>
        <w:t>8</w:t>
      </w:r>
    </w:p>
    <w:p w:rsidR="009427E3" w:rsidRPr="00364FEF" w:rsidRDefault="009427E3" w:rsidP="009427E3">
      <w:pPr>
        <w:tabs>
          <w:tab w:val="right" w:leader="dot" w:pos="7654"/>
          <w:tab w:val="right" w:pos="8929"/>
          <w:tab w:val="right" w:pos="9638"/>
        </w:tabs>
        <w:spacing w:after="120"/>
        <w:ind w:left="1984" w:hanging="425"/>
        <w:rPr>
          <w:rFonts w:eastAsia="Times New Roman"/>
          <w:bCs/>
          <w:lang w:val="fr-FR"/>
        </w:rPr>
      </w:pPr>
      <w:r w:rsidRPr="00364FEF">
        <w:rPr>
          <w:rFonts w:eastAsia="Times New Roman"/>
          <w:bCs/>
          <w:lang w:val="fr-FR"/>
        </w:rPr>
        <w:t>3.</w:t>
      </w:r>
      <w:r w:rsidRPr="00364FEF">
        <w:rPr>
          <w:rFonts w:eastAsia="Times New Roman"/>
          <w:bCs/>
          <w:lang w:val="fr-FR"/>
        </w:rPr>
        <w:tab/>
        <w:t xml:space="preserve">Augmentation de la pression intérieure maximale autorisée </w:t>
      </w:r>
      <w:r w:rsidRPr="00364FEF">
        <w:rPr>
          <w:rFonts w:eastAsia="Times New Roman"/>
          <w:bCs/>
          <w:lang w:val="fr-FR"/>
        </w:rPr>
        <w:br/>
        <w:t>pour les générateurs d’aérosols</w:t>
      </w:r>
      <w:r w:rsidRPr="00364FEF">
        <w:rPr>
          <w:rFonts w:eastAsia="Times New Roman"/>
          <w:bCs/>
          <w:lang w:val="fr-FR"/>
        </w:rPr>
        <w:tab/>
      </w:r>
      <w:r>
        <w:rPr>
          <w:rFonts w:eastAsia="Times New Roman"/>
          <w:bCs/>
          <w:lang w:val="fr-FR"/>
        </w:rPr>
        <w:tab/>
        <w:t>23-24</w:t>
      </w:r>
      <w:r>
        <w:rPr>
          <w:rFonts w:eastAsia="Times New Roman"/>
          <w:bCs/>
          <w:lang w:val="fr-FR"/>
        </w:rPr>
        <w:tab/>
        <w:t>8</w:t>
      </w:r>
    </w:p>
    <w:p w:rsidR="009427E3" w:rsidRPr="00364FEF" w:rsidRDefault="009427E3" w:rsidP="009427E3">
      <w:pPr>
        <w:tabs>
          <w:tab w:val="right" w:leader="dot" w:pos="7654"/>
          <w:tab w:val="right" w:pos="8929"/>
          <w:tab w:val="right" w:pos="9638"/>
        </w:tabs>
        <w:spacing w:after="120"/>
        <w:ind w:left="1984" w:hanging="425"/>
        <w:rPr>
          <w:rFonts w:eastAsia="Times New Roman"/>
          <w:bCs/>
          <w:lang w:val="fr-FR"/>
        </w:rPr>
      </w:pPr>
      <w:r w:rsidRPr="00364FEF">
        <w:rPr>
          <w:rFonts w:eastAsia="Times New Roman"/>
          <w:bCs/>
          <w:lang w:val="fr-FR"/>
        </w:rPr>
        <w:t>4.</w:t>
      </w:r>
      <w:r w:rsidRPr="00364FEF">
        <w:rPr>
          <w:rFonts w:eastAsia="Times New Roman"/>
          <w:bCs/>
          <w:lang w:val="fr-FR"/>
        </w:rPr>
        <w:tab/>
        <w:t>Nom et description du numéro ONU 1010 (Butadiènes, stabilisés)</w:t>
      </w:r>
      <w:r w:rsidRPr="00364FEF">
        <w:rPr>
          <w:rFonts w:eastAsia="Times New Roman"/>
          <w:bCs/>
          <w:lang w:val="fr-FR"/>
        </w:rPr>
        <w:tab/>
      </w:r>
      <w:r>
        <w:rPr>
          <w:rFonts w:eastAsia="Times New Roman"/>
          <w:bCs/>
          <w:lang w:val="fr-FR"/>
        </w:rPr>
        <w:tab/>
        <w:t>25-27</w:t>
      </w:r>
      <w:r>
        <w:rPr>
          <w:rFonts w:eastAsia="Times New Roman"/>
          <w:bCs/>
          <w:lang w:val="fr-FR"/>
        </w:rPr>
        <w:tab/>
        <w:t>8</w:t>
      </w:r>
    </w:p>
    <w:p w:rsidR="009427E3" w:rsidRPr="00364FEF" w:rsidRDefault="009427E3" w:rsidP="009427E3">
      <w:pPr>
        <w:tabs>
          <w:tab w:val="right" w:leader="dot" w:pos="7654"/>
          <w:tab w:val="right" w:pos="8929"/>
          <w:tab w:val="right" w:pos="9638"/>
        </w:tabs>
        <w:spacing w:after="120"/>
        <w:ind w:left="1984" w:hanging="425"/>
        <w:rPr>
          <w:rFonts w:eastAsia="Times New Roman"/>
          <w:bCs/>
          <w:lang w:val="fr-FR"/>
        </w:rPr>
      </w:pPr>
      <w:r w:rsidRPr="00364FEF">
        <w:rPr>
          <w:rFonts w:eastAsia="Times New Roman"/>
          <w:bCs/>
          <w:lang w:val="fr-FR"/>
        </w:rPr>
        <w:t>5.</w:t>
      </w:r>
      <w:r w:rsidRPr="00364FEF">
        <w:rPr>
          <w:rFonts w:eastAsia="Times New Roman"/>
          <w:bCs/>
          <w:lang w:val="fr-FR"/>
        </w:rPr>
        <w:tab/>
        <w:t>Emballages de présentation de quantités limitées</w:t>
      </w:r>
      <w:r w:rsidRPr="00364FEF">
        <w:rPr>
          <w:rFonts w:eastAsia="Times New Roman"/>
          <w:bCs/>
          <w:lang w:val="fr-FR"/>
        </w:rPr>
        <w:tab/>
      </w:r>
      <w:r>
        <w:rPr>
          <w:rFonts w:eastAsia="Times New Roman"/>
          <w:bCs/>
          <w:lang w:val="fr-FR"/>
        </w:rPr>
        <w:tab/>
        <w:t>28-30</w:t>
      </w:r>
      <w:r>
        <w:rPr>
          <w:rFonts w:eastAsia="Times New Roman"/>
          <w:bCs/>
          <w:lang w:val="fr-FR"/>
        </w:rPr>
        <w:tab/>
        <w:t>8</w:t>
      </w:r>
    </w:p>
    <w:p w:rsidR="009427E3" w:rsidRPr="00364FEF" w:rsidRDefault="009427E3" w:rsidP="009427E3">
      <w:pPr>
        <w:tabs>
          <w:tab w:val="right" w:leader="dot" w:pos="7654"/>
          <w:tab w:val="right" w:pos="8929"/>
          <w:tab w:val="right" w:pos="9638"/>
        </w:tabs>
        <w:spacing w:after="120"/>
        <w:ind w:left="1984" w:hanging="425"/>
        <w:rPr>
          <w:rFonts w:eastAsia="Times New Roman"/>
          <w:bCs/>
          <w:lang w:val="fr-FR"/>
        </w:rPr>
      </w:pPr>
      <w:r w:rsidRPr="00364FEF">
        <w:rPr>
          <w:rFonts w:eastAsia="Times New Roman"/>
          <w:bCs/>
          <w:lang w:val="fr-FR"/>
        </w:rPr>
        <w:t>6.</w:t>
      </w:r>
      <w:r w:rsidRPr="00364FEF">
        <w:rPr>
          <w:rFonts w:eastAsia="Times New Roman"/>
          <w:bCs/>
          <w:lang w:val="fr-FR"/>
        </w:rPr>
        <w:tab/>
        <w:t xml:space="preserve">Situation concernant les annexes aux directives 84/525/CEE, </w:t>
      </w:r>
      <w:r w:rsidRPr="00364FEF">
        <w:rPr>
          <w:rFonts w:eastAsia="Times New Roman"/>
          <w:bCs/>
          <w:lang w:val="fr-FR"/>
        </w:rPr>
        <w:br/>
        <w:t>84/526/CEE et 84/527/CEE visées au 6.2.4 du RID/ADR</w:t>
      </w:r>
      <w:r w:rsidRPr="00364FEF">
        <w:rPr>
          <w:rFonts w:eastAsia="Times New Roman"/>
          <w:bCs/>
          <w:lang w:val="fr-FR"/>
        </w:rPr>
        <w:tab/>
      </w:r>
      <w:r>
        <w:rPr>
          <w:rFonts w:eastAsia="Times New Roman"/>
          <w:bCs/>
          <w:lang w:val="fr-FR"/>
        </w:rPr>
        <w:tab/>
        <w:t>31-33</w:t>
      </w:r>
      <w:r>
        <w:rPr>
          <w:rFonts w:eastAsia="Times New Roman"/>
          <w:bCs/>
          <w:lang w:val="fr-FR"/>
        </w:rPr>
        <w:tab/>
        <w:t>9</w:t>
      </w:r>
    </w:p>
    <w:p w:rsidR="009427E3" w:rsidRPr="00364FEF" w:rsidRDefault="009427E3" w:rsidP="009427E3">
      <w:pPr>
        <w:tabs>
          <w:tab w:val="right" w:leader="dot" w:pos="7654"/>
          <w:tab w:val="right" w:pos="8929"/>
          <w:tab w:val="right" w:pos="9638"/>
        </w:tabs>
        <w:spacing w:after="120"/>
        <w:ind w:left="1984" w:hanging="425"/>
        <w:rPr>
          <w:rFonts w:eastAsia="Times New Roman"/>
          <w:bCs/>
          <w:lang w:val="fr-FR"/>
        </w:rPr>
      </w:pPr>
      <w:r w:rsidRPr="00364FEF">
        <w:rPr>
          <w:rFonts w:eastAsia="Times New Roman"/>
          <w:bCs/>
          <w:lang w:val="fr-FR"/>
        </w:rPr>
        <w:t>7.</w:t>
      </w:r>
      <w:r w:rsidRPr="00364FEF">
        <w:rPr>
          <w:rFonts w:eastAsia="Times New Roman"/>
          <w:bCs/>
          <w:lang w:val="fr-FR"/>
        </w:rPr>
        <w:tab/>
        <w:t xml:space="preserve">Alignement du paragraphe 1.8.5.1 sur les sections 1.4.2 et 1.4.3 </w:t>
      </w:r>
      <w:r w:rsidRPr="00364FEF">
        <w:rPr>
          <w:rFonts w:eastAsia="Times New Roman"/>
          <w:bCs/>
          <w:lang w:val="fr-FR"/>
        </w:rPr>
        <w:br/>
        <w:t>du RID/ADR/ADN</w:t>
      </w:r>
      <w:r w:rsidRPr="00364FEF">
        <w:rPr>
          <w:rFonts w:eastAsia="Times New Roman"/>
          <w:bCs/>
          <w:lang w:val="fr-FR"/>
        </w:rPr>
        <w:tab/>
      </w:r>
      <w:r>
        <w:rPr>
          <w:rFonts w:eastAsia="Times New Roman"/>
          <w:bCs/>
          <w:lang w:val="fr-FR"/>
        </w:rPr>
        <w:tab/>
        <w:t>34-35</w:t>
      </w:r>
      <w:r>
        <w:rPr>
          <w:rFonts w:eastAsia="Times New Roman"/>
          <w:bCs/>
          <w:lang w:val="fr-FR"/>
        </w:rPr>
        <w:tab/>
        <w:t>9</w:t>
      </w:r>
    </w:p>
    <w:p w:rsidR="009427E3" w:rsidRPr="00364FEF" w:rsidRDefault="009427E3" w:rsidP="009427E3">
      <w:pPr>
        <w:tabs>
          <w:tab w:val="right" w:leader="dot" w:pos="7654"/>
          <w:tab w:val="right" w:pos="8929"/>
          <w:tab w:val="right" w:pos="9638"/>
        </w:tabs>
        <w:spacing w:after="120"/>
        <w:ind w:left="1984" w:hanging="425"/>
        <w:rPr>
          <w:rFonts w:eastAsia="Times New Roman"/>
          <w:bCs/>
          <w:lang w:val="fr-FR"/>
        </w:rPr>
      </w:pPr>
      <w:r w:rsidRPr="00364FEF">
        <w:rPr>
          <w:rFonts w:eastAsia="Times New Roman"/>
          <w:bCs/>
          <w:lang w:val="fr-FR"/>
        </w:rPr>
        <w:t>8.</w:t>
      </w:r>
      <w:r w:rsidRPr="00364FEF">
        <w:rPr>
          <w:rFonts w:eastAsia="Times New Roman"/>
          <w:bCs/>
          <w:lang w:val="fr-FR"/>
        </w:rPr>
        <w:tab/>
        <w:t xml:space="preserve">Transport d’objets contenant des PCB contaminés par des dioxines </w:t>
      </w:r>
      <w:r w:rsidRPr="00364FEF">
        <w:rPr>
          <w:rFonts w:eastAsia="Times New Roman"/>
          <w:bCs/>
          <w:lang w:val="fr-FR"/>
        </w:rPr>
        <w:br/>
        <w:t>et des furannes</w:t>
      </w:r>
      <w:r w:rsidRPr="00364FEF">
        <w:rPr>
          <w:rFonts w:eastAsia="Times New Roman"/>
          <w:bCs/>
          <w:lang w:val="fr-FR"/>
        </w:rPr>
        <w:tab/>
      </w:r>
      <w:r>
        <w:rPr>
          <w:rFonts w:eastAsia="Times New Roman"/>
          <w:bCs/>
          <w:lang w:val="fr-FR"/>
        </w:rPr>
        <w:tab/>
        <w:t>36</w:t>
      </w:r>
      <w:r>
        <w:rPr>
          <w:rFonts w:eastAsia="Times New Roman"/>
          <w:bCs/>
          <w:lang w:val="fr-FR"/>
        </w:rPr>
        <w:tab/>
        <w:t>10</w:t>
      </w:r>
    </w:p>
    <w:p w:rsidR="009427E3" w:rsidRPr="00364FEF" w:rsidRDefault="009427E3" w:rsidP="009427E3">
      <w:pPr>
        <w:tabs>
          <w:tab w:val="right" w:leader="dot" w:pos="7654"/>
          <w:tab w:val="right" w:pos="8929"/>
          <w:tab w:val="right" w:pos="9638"/>
        </w:tabs>
        <w:spacing w:after="120"/>
        <w:ind w:left="1984" w:hanging="425"/>
        <w:rPr>
          <w:rFonts w:eastAsia="Times New Roman"/>
          <w:bCs/>
          <w:lang w:val="fr-FR"/>
        </w:rPr>
      </w:pPr>
      <w:r w:rsidRPr="00364FEF">
        <w:rPr>
          <w:rFonts w:eastAsia="Times New Roman"/>
          <w:bCs/>
          <w:lang w:val="fr-FR"/>
        </w:rPr>
        <w:t>9.</w:t>
      </w:r>
      <w:r w:rsidRPr="00364FEF">
        <w:rPr>
          <w:rFonts w:eastAsia="Times New Roman"/>
          <w:bCs/>
          <w:lang w:val="fr-FR"/>
        </w:rPr>
        <w:tab/>
        <w:t>Amendements au 5.2.2.2.1.3 et au 5.2.2.2.1.5 du RID/ADR/ADN</w:t>
      </w:r>
      <w:r w:rsidRPr="00364FEF">
        <w:rPr>
          <w:rFonts w:eastAsia="Times New Roman"/>
          <w:bCs/>
          <w:lang w:val="fr-FR"/>
        </w:rPr>
        <w:tab/>
      </w:r>
      <w:r>
        <w:rPr>
          <w:rFonts w:eastAsia="Times New Roman"/>
          <w:bCs/>
          <w:lang w:val="fr-FR"/>
        </w:rPr>
        <w:tab/>
        <w:t>37</w:t>
      </w:r>
      <w:r>
        <w:rPr>
          <w:rFonts w:eastAsia="Times New Roman"/>
          <w:bCs/>
          <w:lang w:val="fr-FR"/>
        </w:rPr>
        <w:tab/>
        <w:t>10</w:t>
      </w:r>
    </w:p>
    <w:p w:rsidR="009427E3" w:rsidRPr="00364FEF" w:rsidRDefault="009427E3" w:rsidP="009427E3">
      <w:pPr>
        <w:tabs>
          <w:tab w:val="right" w:leader="dot" w:pos="7654"/>
          <w:tab w:val="right" w:pos="8929"/>
          <w:tab w:val="right" w:pos="9638"/>
        </w:tabs>
        <w:spacing w:after="120"/>
        <w:ind w:left="1984" w:hanging="425"/>
        <w:rPr>
          <w:rFonts w:eastAsia="Times New Roman"/>
          <w:bCs/>
          <w:lang w:val="fr-FR"/>
        </w:rPr>
      </w:pPr>
      <w:r w:rsidRPr="00364FEF">
        <w:rPr>
          <w:rFonts w:eastAsia="Times New Roman"/>
          <w:bCs/>
          <w:lang w:val="fr-FR"/>
        </w:rPr>
        <w:t>10.</w:t>
      </w:r>
      <w:r w:rsidRPr="00364FEF">
        <w:rPr>
          <w:rFonts w:eastAsia="Times New Roman"/>
          <w:bCs/>
          <w:lang w:val="fr-FR"/>
        </w:rPr>
        <w:tab/>
        <w:t>Disposition spéciale 386 dans l’ADR/ADN</w:t>
      </w:r>
      <w:r w:rsidRPr="00364FEF">
        <w:rPr>
          <w:rFonts w:eastAsia="Times New Roman"/>
          <w:bCs/>
          <w:lang w:val="fr-FR"/>
        </w:rPr>
        <w:tab/>
      </w:r>
      <w:r>
        <w:rPr>
          <w:rFonts w:eastAsia="Times New Roman"/>
          <w:bCs/>
          <w:lang w:val="fr-FR"/>
        </w:rPr>
        <w:tab/>
        <w:t>38</w:t>
      </w:r>
      <w:r>
        <w:rPr>
          <w:rFonts w:eastAsia="Times New Roman"/>
          <w:bCs/>
          <w:lang w:val="fr-FR"/>
        </w:rPr>
        <w:tab/>
        <w:t>10</w:t>
      </w:r>
    </w:p>
    <w:p w:rsidR="009427E3" w:rsidRPr="00364FEF" w:rsidRDefault="009427E3" w:rsidP="009427E3">
      <w:pPr>
        <w:tabs>
          <w:tab w:val="right" w:leader="dot" w:pos="7654"/>
          <w:tab w:val="right" w:pos="8929"/>
          <w:tab w:val="right" w:pos="9638"/>
        </w:tabs>
        <w:spacing w:after="120"/>
        <w:ind w:left="1984" w:hanging="425"/>
        <w:rPr>
          <w:rFonts w:eastAsia="Times New Roman"/>
          <w:bCs/>
          <w:lang w:val="fr-FR"/>
        </w:rPr>
      </w:pPr>
      <w:r w:rsidRPr="00364FEF">
        <w:rPr>
          <w:rFonts w:eastAsia="Times New Roman"/>
          <w:bCs/>
          <w:lang w:val="fr-FR"/>
        </w:rPr>
        <w:t>11.</w:t>
      </w:r>
      <w:r w:rsidRPr="00364FEF">
        <w:rPr>
          <w:rFonts w:eastAsia="Times New Roman"/>
          <w:bCs/>
          <w:lang w:val="fr-FR"/>
        </w:rPr>
        <w:tab/>
        <w:t xml:space="preserve">Évaluation séparée des robinets et autres accessoires démontables </w:t>
      </w:r>
      <w:r w:rsidRPr="00364FEF">
        <w:rPr>
          <w:rFonts w:eastAsia="Times New Roman"/>
          <w:bCs/>
          <w:lang w:val="fr-FR"/>
        </w:rPr>
        <w:br/>
        <w:t xml:space="preserve">ayant une fonction de sécurité directe sur les récipients à pression </w:t>
      </w:r>
      <w:r w:rsidRPr="00364FEF">
        <w:rPr>
          <w:rFonts w:eastAsia="Times New Roman"/>
          <w:bCs/>
          <w:lang w:val="fr-FR"/>
        </w:rPr>
        <w:br/>
        <w:t>« UN »</w:t>
      </w:r>
      <w:r w:rsidRPr="00364FEF">
        <w:rPr>
          <w:rFonts w:eastAsia="Times New Roman"/>
          <w:bCs/>
          <w:lang w:val="fr-FR"/>
        </w:rPr>
        <w:tab/>
      </w:r>
      <w:r w:rsidR="00811408">
        <w:rPr>
          <w:rFonts w:eastAsia="Times New Roman"/>
          <w:bCs/>
          <w:lang w:val="fr-FR"/>
        </w:rPr>
        <w:tab/>
        <w:t>39-40</w:t>
      </w:r>
      <w:r w:rsidR="00811408">
        <w:rPr>
          <w:rFonts w:eastAsia="Times New Roman"/>
          <w:bCs/>
          <w:lang w:val="fr-FR"/>
        </w:rPr>
        <w:tab/>
        <w:t>11</w:t>
      </w:r>
    </w:p>
    <w:p w:rsidR="009427E3" w:rsidRPr="00364FEF" w:rsidRDefault="009427E3" w:rsidP="009427E3">
      <w:pPr>
        <w:tabs>
          <w:tab w:val="right" w:leader="dot" w:pos="7654"/>
          <w:tab w:val="right" w:pos="8929"/>
          <w:tab w:val="right" w:pos="9638"/>
        </w:tabs>
        <w:spacing w:after="120"/>
        <w:ind w:left="1984" w:hanging="425"/>
        <w:rPr>
          <w:rFonts w:eastAsia="Times New Roman"/>
          <w:bCs/>
          <w:lang w:val="fr-FR"/>
        </w:rPr>
      </w:pPr>
      <w:r w:rsidRPr="00364FEF">
        <w:rPr>
          <w:rFonts w:eastAsia="Times New Roman"/>
          <w:bCs/>
          <w:lang w:val="fr-FR"/>
        </w:rPr>
        <w:t>12.</w:t>
      </w:r>
      <w:r w:rsidRPr="00364FEF">
        <w:rPr>
          <w:rFonts w:eastAsia="Times New Roman"/>
          <w:bCs/>
          <w:lang w:val="fr-FR"/>
        </w:rPr>
        <w:tab/>
        <w:t xml:space="preserve">Transport de récipients à pression agréés par le Ministère des transports </w:t>
      </w:r>
      <w:r w:rsidRPr="00364FEF">
        <w:rPr>
          <w:rFonts w:eastAsia="Times New Roman"/>
          <w:bCs/>
          <w:lang w:val="fr-FR"/>
        </w:rPr>
        <w:br/>
        <w:t>des États</w:t>
      </w:r>
      <w:r w:rsidRPr="00364FEF">
        <w:rPr>
          <w:rFonts w:eastAsia="Times New Roman"/>
          <w:bCs/>
          <w:lang w:val="fr-FR"/>
        </w:rPr>
        <w:noBreakHyphen/>
        <w:t>Unis d’Amérique [</w:t>
      </w:r>
      <w:proofErr w:type="spellStart"/>
      <w:r w:rsidRPr="00364FEF">
        <w:rPr>
          <w:rFonts w:eastAsia="Times New Roman"/>
          <w:bCs/>
          <w:lang w:val="fr-FR"/>
        </w:rPr>
        <w:t>Department</w:t>
      </w:r>
      <w:proofErr w:type="spellEnd"/>
      <w:r w:rsidRPr="00364FEF">
        <w:rPr>
          <w:rFonts w:eastAsia="Times New Roman"/>
          <w:bCs/>
          <w:lang w:val="fr-FR"/>
        </w:rPr>
        <w:t xml:space="preserve"> of Transportation (DOT)]</w:t>
      </w:r>
      <w:r w:rsidRPr="00364FEF">
        <w:rPr>
          <w:rFonts w:eastAsia="Times New Roman"/>
          <w:bCs/>
          <w:lang w:val="fr-FR"/>
        </w:rPr>
        <w:tab/>
      </w:r>
      <w:r w:rsidR="00811408">
        <w:rPr>
          <w:rFonts w:eastAsia="Times New Roman"/>
          <w:bCs/>
          <w:lang w:val="fr-FR"/>
        </w:rPr>
        <w:tab/>
        <w:t>41</w:t>
      </w:r>
      <w:r w:rsidR="00811408">
        <w:rPr>
          <w:rFonts w:eastAsia="Times New Roman"/>
          <w:bCs/>
          <w:lang w:val="fr-FR"/>
        </w:rPr>
        <w:tab/>
        <w:t>11</w:t>
      </w:r>
    </w:p>
    <w:p w:rsidR="009427E3" w:rsidRPr="00364FEF" w:rsidRDefault="009427E3" w:rsidP="009427E3">
      <w:pPr>
        <w:tabs>
          <w:tab w:val="right" w:pos="850"/>
          <w:tab w:val="right" w:leader="dot" w:pos="7654"/>
          <w:tab w:val="right" w:pos="8929"/>
          <w:tab w:val="right" w:pos="9638"/>
        </w:tabs>
        <w:spacing w:after="120"/>
        <w:ind w:left="1134" w:hanging="1134"/>
        <w:rPr>
          <w:rFonts w:eastAsia="Times New Roman"/>
          <w:lang w:val="fr-FR"/>
        </w:rPr>
      </w:pPr>
      <w:r w:rsidRPr="00364FEF">
        <w:rPr>
          <w:rFonts w:eastAsia="Times New Roman"/>
          <w:lang w:val="fr-FR"/>
        </w:rPr>
        <w:tab/>
        <w:t>VII.</w:t>
      </w:r>
      <w:r w:rsidRPr="00364FEF">
        <w:rPr>
          <w:rFonts w:eastAsia="Times New Roman"/>
          <w:lang w:val="fr-FR"/>
        </w:rPr>
        <w:tab/>
      </w:r>
      <w:r w:rsidRPr="003B1372">
        <w:rPr>
          <w:lang w:val="fr-FR"/>
        </w:rPr>
        <w:t>Rapports des groupes de travail informels (point 6 de l’ordre du jour)</w:t>
      </w:r>
      <w:r w:rsidRPr="00364FEF">
        <w:rPr>
          <w:rFonts w:eastAsia="Times New Roman"/>
          <w:lang w:val="fr-FR"/>
        </w:rPr>
        <w:tab/>
      </w:r>
      <w:r w:rsidRPr="00364FEF">
        <w:rPr>
          <w:rFonts w:eastAsia="Times New Roman"/>
          <w:lang w:val="fr-FR"/>
        </w:rPr>
        <w:tab/>
      </w:r>
      <w:r>
        <w:rPr>
          <w:rFonts w:eastAsia="Times New Roman"/>
          <w:lang w:val="fr-FR"/>
        </w:rPr>
        <w:t>42-51</w:t>
      </w:r>
      <w:r>
        <w:rPr>
          <w:rFonts w:eastAsia="Times New Roman"/>
          <w:lang w:val="fr-FR"/>
        </w:rPr>
        <w:tab/>
        <w:t>11</w:t>
      </w:r>
    </w:p>
    <w:p w:rsidR="009427E3" w:rsidRPr="00364FEF" w:rsidRDefault="009427E3" w:rsidP="009427E3">
      <w:pPr>
        <w:tabs>
          <w:tab w:val="right" w:leader="dot" w:pos="7654"/>
          <w:tab w:val="right" w:pos="8929"/>
          <w:tab w:val="right" w:pos="9638"/>
        </w:tabs>
        <w:spacing w:after="120"/>
        <w:ind w:left="1559" w:hanging="425"/>
        <w:rPr>
          <w:rFonts w:eastAsia="Times New Roman"/>
          <w:lang w:val="fr-FR"/>
        </w:rPr>
      </w:pPr>
      <w:r w:rsidRPr="00364FEF">
        <w:rPr>
          <w:rFonts w:eastAsia="Times New Roman"/>
          <w:lang w:val="fr-FR"/>
        </w:rPr>
        <w:t>A.</w:t>
      </w:r>
      <w:r w:rsidRPr="00364FEF">
        <w:rPr>
          <w:rFonts w:eastAsia="Times New Roman"/>
          <w:lang w:val="fr-FR"/>
        </w:rPr>
        <w:tab/>
      </w:r>
      <w:r w:rsidRPr="003B1372">
        <w:rPr>
          <w:lang w:val="fr-FR"/>
        </w:rPr>
        <w:t xml:space="preserve">Groupe de travail informel de la télématique </w:t>
      </w:r>
      <w:r>
        <w:rPr>
          <w:lang w:val="fr-FR"/>
        </w:rPr>
        <w:tab/>
      </w:r>
      <w:r>
        <w:rPr>
          <w:lang w:val="fr-FR"/>
        </w:rPr>
        <w:tab/>
        <w:t>42-46</w:t>
      </w:r>
      <w:r>
        <w:rPr>
          <w:lang w:val="fr-FR"/>
        </w:rPr>
        <w:tab/>
        <w:t>11</w:t>
      </w:r>
    </w:p>
    <w:p w:rsidR="009427E3" w:rsidRPr="00364FEF" w:rsidRDefault="009427E3" w:rsidP="009427E3">
      <w:pPr>
        <w:tabs>
          <w:tab w:val="right" w:leader="dot" w:pos="7654"/>
          <w:tab w:val="right" w:pos="8929"/>
          <w:tab w:val="right" w:pos="9638"/>
        </w:tabs>
        <w:spacing w:after="120"/>
        <w:ind w:left="1559" w:hanging="425"/>
        <w:rPr>
          <w:rFonts w:eastAsia="Times New Roman"/>
          <w:lang w:val="fr-FR"/>
        </w:rPr>
      </w:pPr>
      <w:r w:rsidRPr="00364FEF">
        <w:rPr>
          <w:rFonts w:eastAsia="Times New Roman"/>
          <w:lang w:val="fr-FR"/>
        </w:rPr>
        <w:t>B.</w:t>
      </w:r>
      <w:r w:rsidRPr="00364FEF">
        <w:rPr>
          <w:rFonts w:eastAsia="Times New Roman"/>
          <w:lang w:val="fr-FR"/>
        </w:rPr>
        <w:tab/>
      </w:r>
      <w:r w:rsidRPr="003B1372">
        <w:rPr>
          <w:lang w:val="fr-FR"/>
        </w:rPr>
        <w:t xml:space="preserve">Rapport du groupe de travail informel des définitions des termes « risque » </w:t>
      </w:r>
      <w:r w:rsidRPr="003B1372">
        <w:rPr>
          <w:lang w:val="fr-FR"/>
        </w:rPr>
        <w:br/>
        <w:t>et « danger » dans le contexte du RID, de l’ADR et de l’ADN</w:t>
      </w:r>
      <w:r w:rsidRPr="003B1372">
        <w:rPr>
          <w:lang w:val="fr-FR"/>
        </w:rPr>
        <w:tab/>
      </w:r>
      <w:r w:rsidR="00A5534B">
        <w:rPr>
          <w:lang w:val="fr-FR"/>
        </w:rPr>
        <w:tab/>
        <w:t>47-50</w:t>
      </w:r>
      <w:r w:rsidR="00A5534B">
        <w:rPr>
          <w:lang w:val="fr-FR"/>
        </w:rPr>
        <w:tab/>
        <w:t>12</w:t>
      </w:r>
    </w:p>
    <w:p w:rsidR="009427E3" w:rsidRPr="00364FEF" w:rsidRDefault="009427E3" w:rsidP="009427E3">
      <w:pPr>
        <w:tabs>
          <w:tab w:val="right" w:leader="dot" w:pos="7654"/>
          <w:tab w:val="right" w:pos="8929"/>
          <w:tab w:val="right" w:pos="9638"/>
        </w:tabs>
        <w:spacing w:after="120"/>
        <w:ind w:left="1559" w:hanging="425"/>
        <w:rPr>
          <w:rFonts w:eastAsia="Times New Roman"/>
          <w:lang w:val="fr-FR"/>
        </w:rPr>
      </w:pPr>
      <w:r w:rsidRPr="00364FEF">
        <w:rPr>
          <w:rFonts w:eastAsia="Times New Roman"/>
          <w:lang w:val="fr-FR"/>
        </w:rPr>
        <w:t>C.</w:t>
      </w:r>
      <w:r w:rsidRPr="00364FEF">
        <w:rPr>
          <w:rFonts w:eastAsia="Times New Roman"/>
          <w:lang w:val="fr-FR"/>
        </w:rPr>
        <w:tab/>
      </w:r>
      <w:r w:rsidRPr="003B1372">
        <w:rPr>
          <w:lang w:val="fr-FR"/>
        </w:rPr>
        <w:t xml:space="preserve">Groupe de travail informel de la réduction du risque de vaporisation </w:t>
      </w:r>
      <w:r w:rsidRPr="003B1372">
        <w:rPr>
          <w:lang w:val="fr-FR"/>
        </w:rPr>
        <w:br/>
        <w:t xml:space="preserve">explosive d’un liquide porté à ébullition (BLEVE) au cours du transport </w:t>
      </w:r>
      <w:r w:rsidRPr="003B1372">
        <w:rPr>
          <w:lang w:val="fr-FR"/>
        </w:rPr>
        <w:br/>
        <w:t>des marchandises dangereuses</w:t>
      </w:r>
      <w:r w:rsidRPr="003B1372">
        <w:rPr>
          <w:lang w:val="fr-FR"/>
        </w:rPr>
        <w:tab/>
      </w:r>
      <w:r w:rsidR="00A5534B">
        <w:rPr>
          <w:lang w:val="fr-FR"/>
        </w:rPr>
        <w:tab/>
        <w:t>51</w:t>
      </w:r>
      <w:r w:rsidR="00A5534B">
        <w:rPr>
          <w:lang w:val="fr-FR"/>
        </w:rPr>
        <w:tab/>
        <w:t>13</w:t>
      </w:r>
    </w:p>
    <w:p w:rsidR="009427E3" w:rsidRPr="00364FEF" w:rsidRDefault="009427E3" w:rsidP="009427E3">
      <w:pPr>
        <w:tabs>
          <w:tab w:val="right" w:pos="850"/>
          <w:tab w:val="right" w:leader="dot" w:pos="7654"/>
          <w:tab w:val="right" w:pos="8929"/>
          <w:tab w:val="right" w:pos="9638"/>
        </w:tabs>
        <w:spacing w:after="120"/>
        <w:ind w:left="1134" w:hanging="1134"/>
        <w:rPr>
          <w:rFonts w:eastAsia="Times New Roman"/>
          <w:lang w:val="fr-FR"/>
        </w:rPr>
      </w:pPr>
      <w:r w:rsidRPr="00364FEF">
        <w:rPr>
          <w:rFonts w:eastAsia="Times New Roman"/>
          <w:lang w:val="fr-FR"/>
        </w:rPr>
        <w:tab/>
        <w:t>VIII.</w:t>
      </w:r>
      <w:r w:rsidRPr="00364FEF">
        <w:rPr>
          <w:rFonts w:eastAsia="Times New Roman"/>
          <w:lang w:val="fr-FR"/>
        </w:rPr>
        <w:tab/>
      </w:r>
      <w:r w:rsidRPr="00364FEF">
        <w:rPr>
          <w:lang w:val="fr-FR"/>
        </w:rPr>
        <w:t>Accidents et gestion des risques (point 7 de l’ordre du jour)</w:t>
      </w:r>
      <w:r w:rsidRPr="00364FEF">
        <w:rPr>
          <w:rFonts w:eastAsia="Times New Roman"/>
          <w:lang w:val="fr-FR"/>
        </w:rPr>
        <w:tab/>
      </w:r>
      <w:r w:rsidRPr="00364FEF">
        <w:rPr>
          <w:rFonts w:eastAsia="Times New Roman"/>
          <w:lang w:val="fr-FR"/>
        </w:rPr>
        <w:tab/>
      </w:r>
      <w:r w:rsidR="00A5534B">
        <w:rPr>
          <w:rFonts w:eastAsia="Times New Roman"/>
          <w:lang w:val="fr-FR"/>
        </w:rPr>
        <w:t>52-54</w:t>
      </w:r>
      <w:r w:rsidR="00A5534B">
        <w:rPr>
          <w:rFonts w:eastAsia="Times New Roman"/>
          <w:lang w:val="fr-FR"/>
        </w:rPr>
        <w:tab/>
        <w:t>13</w:t>
      </w:r>
    </w:p>
    <w:p w:rsidR="009427E3" w:rsidRPr="003B1372" w:rsidRDefault="009427E3" w:rsidP="009427E3">
      <w:pPr>
        <w:tabs>
          <w:tab w:val="right" w:pos="850"/>
          <w:tab w:val="left" w:pos="1560"/>
          <w:tab w:val="right" w:leader="dot" w:pos="7654"/>
          <w:tab w:val="right" w:pos="8929"/>
          <w:tab w:val="right" w:pos="9638"/>
        </w:tabs>
        <w:spacing w:after="120"/>
        <w:ind w:left="1134" w:hanging="1134"/>
        <w:rPr>
          <w:lang w:val="fr-FR"/>
        </w:rPr>
      </w:pPr>
      <w:r w:rsidRPr="003B1372">
        <w:rPr>
          <w:lang w:val="fr-FR"/>
        </w:rPr>
        <w:tab/>
      </w:r>
      <w:r w:rsidRPr="003B1372">
        <w:rPr>
          <w:lang w:val="fr-FR"/>
        </w:rPr>
        <w:tab/>
        <w:t>A.</w:t>
      </w:r>
      <w:r w:rsidRPr="003B1372">
        <w:rPr>
          <w:lang w:val="fr-FR"/>
        </w:rPr>
        <w:tab/>
        <w:t>Accident impliquant de l’aluminium fondu</w:t>
      </w:r>
      <w:r w:rsidRPr="003B1372">
        <w:rPr>
          <w:lang w:val="fr-FR"/>
        </w:rPr>
        <w:tab/>
      </w:r>
      <w:r w:rsidR="00A5534B">
        <w:rPr>
          <w:lang w:val="fr-FR"/>
        </w:rPr>
        <w:tab/>
        <w:t>52-53</w:t>
      </w:r>
      <w:r w:rsidR="00A5534B">
        <w:rPr>
          <w:lang w:val="fr-FR"/>
        </w:rPr>
        <w:tab/>
        <w:t>13</w:t>
      </w:r>
    </w:p>
    <w:p w:rsidR="009427E3" w:rsidRPr="003B1372" w:rsidRDefault="009427E3" w:rsidP="009427E3">
      <w:pPr>
        <w:tabs>
          <w:tab w:val="right" w:pos="850"/>
          <w:tab w:val="left" w:pos="1560"/>
          <w:tab w:val="right" w:leader="dot" w:pos="7654"/>
          <w:tab w:val="right" w:pos="8929"/>
          <w:tab w:val="right" w:pos="9638"/>
        </w:tabs>
        <w:spacing w:after="120"/>
        <w:ind w:left="1134" w:hanging="1134"/>
        <w:rPr>
          <w:lang w:val="fr-FR"/>
        </w:rPr>
      </w:pPr>
      <w:r w:rsidRPr="003B1372">
        <w:rPr>
          <w:lang w:val="fr-FR"/>
        </w:rPr>
        <w:tab/>
      </w:r>
      <w:r w:rsidRPr="003B1372">
        <w:rPr>
          <w:lang w:val="fr-FR"/>
        </w:rPr>
        <w:tab/>
        <w:t>B.</w:t>
      </w:r>
      <w:r w:rsidRPr="003B1372">
        <w:rPr>
          <w:lang w:val="fr-FR"/>
        </w:rPr>
        <w:tab/>
        <w:t>Amélioration du rapport d’accident</w:t>
      </w:r>
      <w:r w:rsidRPr="003B1372">
        <w:rPr>
          <w:lang w:val="fr-FR"/>
        </w:rPr>
        <w:tab/>
      </w:r>
      <w:r>
        <w:rPr>
          <w:lang w:val="fr-FR"/>
        </w:rPr>
        <w:tab/>
        <w:t>54</w:t>
      </w:r>
      <w:r>
        <w:rPr>
          <w:lang w:val="fr-FR"/>
        </w:rPr>
        <w:tab/>
        <w:t>13</w:t>
      </w:r>
    </w:p>
    <w:p w:rsidR="009427E3" w:rsidRPr="00364FEF" w:rsidRDefault="009427E3" w:rsidP="009427E3">
      <w:pPr>
        <w:tabs>
          <w:tab w:val="right" w:pos="850"/>
          <w:tab w:val="left" w:pos="1560"/>
          <w:tab w:val="right" w:leader="dot" w:pos="7654"/>
          <w:tab w:val="right" w:pos="8929"/>
          <w:tab w:val="right" w:pos="9638"/>
        </w:tabs>
        <w:spacing w:after="120"/>
        <w:ind w:left="1134" w:hanging="1134"/>
        <w:rPr>
          <w:rFonts w:eastAsia="Times New Roman"/>
          <w:lang w:val="fr-FR"/>
        </w:rPr>
      </w:pPr>
      <w:r w:rsidRPr="00364FEF">
        <w:rPr>
          <w:rFonts w:eastAsia="Times New Roman"/>
          <w:lang w:val="fr-FR"/>
        </w:rPr>
        <w:tab/>
        <w:t>IX.</w:t>
      </w:r>
      <w:r w:rsidRPr="00364FEF">
        <w:rPr>
          <w:rFonts w:eastAsia="Times New Roman"/>
          <w:lang w:val="fr-FR"/>
        </w:rPr>
        <w:tab/>
        <w:t>Élection du bureau pour 2019 (point 8 de l’ordre du jour)</w:t>
      </w:r>
      <w:r w:rsidRPr="00364FEF">
        <w:rPr>
          <w:rFonts w:eastAsia="Times New Roman"/>
          <w:lang w:val="fr-FR"/>
        </w:rPr>
        <w:tab/>
      </w:r>
      <w:r w:rsidRPr="00364FEF">
        <w:rPr>
          <w:rFonts w:eastAsia="Times New Roman"/>
          <w:lang w:val="fr-FR"/>
        </w:rPr>
        <w:tab/>
      </w:r>
      <w:r w:rsidR="00A5534B">
        <w:rPr>
          <w:rFonts w:eastAsia="Times New Roman"/>
          <w:lang w:val="fr-FR"/>
        </w:rPr>
        <w:t>55</w:t>
      </w:r>
      <w:r w:rsidR="00A5534B">
        <w:rPr>
          <w:rFonts w:eastAsia="Times New Roman"/>
          <w:lang w:val="fr-FR"/>
        </w:rPr>
        <w:tab/>
        <w:t>14</w:t>
      </w:r>
    </w:p>
    <w:p w:rsidR="009427E3" w:rsidRPr="00364FEF" w:rsidRDefault="009427E3" w:rsidP="009427E3">
      <w:pPr>
        <w:tabs>
          <w:tab w:val="right" w:pos="850"/>
          <w:tab w:val="right" w:leader="dot" w:pos="7654"/>
          <w:tab w:val="right" w:pos="8929"/>
          <w:tab w:val="right" w:pos="9638"/>
        </w:tabs>
        <w:spacing w:after="120"/>
        <w:ind w:left="1134" w:hanging="1134"/>
        <w:rPr>
          <w:rFonts w:eastAsia="Times New Roman"/>
          <w:lang w:val="fr-FR"/>
        </w:rPr>
      </w:pPr>
      <w:r w:rsidRPr="00364FEF">
        <w:rPr>
          <w:rFonts w:eastAsia="Times New Roman"/>
          <w:lang w:val="fr-FR"/>
        </w:rPr>
        <w:tab/>
        <w:t>X.</w:t>
      </w:r>
      <w:r w:rsidRPr="00364FEF">
        <w:rPr>
          <w:rFonts w:eastAsia="Times New Roman"/>
          <w:lang w:val="fr-FR"/>
        </w:rPr>
        <w:tab/>
        <w:t>Travaux futurs (point 9 de l’ordre du jour)</w:t>
      </w:r>
      <w:r w:rsidRPr="00364FEF">
        <w:rPr>
          <w:rFonts w:eastAsia="Times New Roman"/>
          <w:lang w:val="fr-FR"/>
        </w:rPr>
        <w:tab/>
      </w:r>
      <w:r w:rsidRPr="00364FEF">
        <w:rPr>
          <w:rFonts w:eastAsia="Times New Roman"/>
          <w:lang w:val="fr-FR"/>
        </w:rPr>
        <w:tab/>
      </w:r>
      <w:r w:rsidR="00A5534B">
        <w:rPr>
          <w:rFonts w:eastAsia="Times New Roman"/>
          <w:lang w:val="fr-FR"/>
        </w:rPr>
        <w:t>56</w:t>
      </w:r>
      <w:r w:rsidR="00A5534B">
        <w:rPr>
          <w:rFonts w:eastAsia="Times New Roman"/>
          <w:lang w:val="fr-FR"/>
        </w:rPr>
        <w:tab/>
        <w:t>14</w:t>
      </w:r>
    </w:p>
    <w:p w:rsidR="009427E3" w:rsidRPr="00364FEF" w:rsidRDefault="009427E3" w:rsidP="009427E3">
      <w:pPr>
        <w:tabs>
          <w:tab w:val="right" w:pos="850"/>
          <w:tab w:val="right" w:leader="dot" w:pos="7654"/>
          <w:tab w:val="right" w:pos="8929"/>
          <w:tab w:val="right" w:pos="9638"/>
        </w:tabs>
        <w:spacing w:after="120"/>
        <w:ind w:left="1134" w:hanging="1134"/>
        <w:rPr>
          <w:rFonts w:eastAsia="Times New Roman"/>
          <w:lang w:val="fr-FR"/>
        </w:rPr>
      </w:pPr>
      <w:r w:rsidRPr="00364FEF">
        <w:rPr>
          <w:rFonts w:eastAsia="Times New Roman"/>
          <w:lang w:val="fr-FR"/>
        </w:rPr>
        <w:tab/>
        <w:t>XI.</w:t>
      </w:r>
      <w:r w:rsidRPr="00364FEF">
        <w:rPr>
          <w:rFonts w:eastAsia="Times New Roman"/>
          <w:lang w:val="fr-FR"/>
        </w:rPr>
        <w:tab/>
        <w:t>Questions diverses (point 10 de l’ordre du jour)</w:t>
      </w:r>
      <w:r w:rsidRPr="00364FEF">
        <w:rPr>
          <w:rFonts w:eastAsia="Times New Roman"/>
          <w:lang w:val="fr-FR"/>
        </w:rPr>
        <w:tab/>
      </w:r>
      <w:r w:rsidRPr="00364FEF">
        <w:rPr>
          <w:rFonts w:eastAsia="Times New Roman"/>
          <w:lang w:val="fr-FR"/>
        </w:rPr>
        <w:tab/>
      </w:r>
      <w:r w:rsidR="00A5534B">
        <w:rPr>
          <w:rFonts w:eastAsia="Times New Roman"/>
          <w:lang w:val="fr-FR"/>
        </w:rPr>
        <w:t>57-63</w:t>
      </w:r>
      <w:r w:rsidR="00A5534B">
        <w:rPr>
          <w:rFonts w:eastAsia="Times New Roman"/>
          <w:lang w:val="fr-FR"/>
        </w:rPr>
        <w:tab/>
        <w:t>14</w:t>
      </w:r>
    </w:p>
    <w:p w:rsidR="009427E3" w:rsidRPr="00364FEF" w:rsidRDefault="009427E3" w:rsidP="009427E3">
      <w:pPr>
        <w:tabs>
          <w:tab w:val="right" w:leader="dot" w:pos="7654"/>
          <w:tab w:val="right" w:pos="8929"/>
          <w:tab w:val="right" w:pos="9638"/>
        </w:tabs>
        <w:spacing w:after="120"/>
        <w:ind w:left="1559" w:hanging="425"/>
        <w:rPr>
          <w:rFonts w:eastAsia="Times New Roman"/>
          <w:lang w:val="fr-FR"/>
        </w:rPr>
      </w:pPr>
      <w:r w:rsidRPr="00364FEF">
        <w:rPr>
          <w:rFonts w:eastAsia="Times New Roman"/>
          <w:lang w:val="fr-FR"/>
        </w:rPr>
        <w:t>A.</w:t>
      </w:r>
      <w:r w:rsidRPr="00364FEF">
        <w:rPr>
          <w:rFonts w:eastAsia="Times New Roman"/>
          <w:lang w:val="fr-FR"/>
        </w:rPr>
        <w:tab/>
      </w:r>
      <w:r w:rsidRPr="003B1372">
        <w:rPr>
          <w:lang w:val="fr-FR"/>
        </w:rPr>
        <w:t>Références faites à l</w:t>
      </w:r>
      <w:proofErr w:type="gramStart"/>
      <w:r w:rsidRPr="003B1372">
        <w:rPr>
          <w:lang w:val="fr-FR"/>
        </w:rPr>
        <w:t>’«</w:t>
      </w:r>
      <w:proofErr w:type="gramEnd"/>
      <w:r w:rsidRPr="003B1372">
        <w:rPr>
          <w:lang w:val="fr-FR"/>
        </w:rPr>
        <w:t> autorité compétente » dans l’ADR</w:t>
      </w:r>
      <w:r w:rsidRPr="00364FEF">
        <w:rPr>
          <w:rFonts w:eastAsia="Times New Roman"/>
          <w:lang w:val="fr-FR"/>
        </w:rPr>
        <w:tab/>
      </w:r>
      <w:r w:rsidRPr="00364FEF">
        <w:rPr>
          <w:rFonts w:eastAsia="Times New Roman"/>
          <w:lang w:val="fr-FR"/>
        </w:rPr>
        <w:tab/>
      </w:r>
      <w:r w:rsidR="00A5534B">
        <w:rPr>
          <w:rFonts w:eastAsia="Times New Roman"/>
          <w:lang w:val="fr-FR"/>
        </w:rPr>
        <w:t>57-59</w:t>
      </w:r>
      <w:r w:rsidR="00A5534B">
        <w:rPr>
          <w:rFonts w:eastAsia="Times New Roman"/>
          <w:lang w:val="fr-FR"/>
        </w:rPr>
        <w:tab/>
        <w:t>14</w:t>
      </w:r>
    </w:p>
    <w:p w:rsidR="009427E3" w:rsidRPr="00364FEF" w:rsidRDefault="009427E3" w:rsidP="009427E3">
      <w:pPr>
        <w:tabs>
          <w:tab w:val="right" w:leader="dot" w:pos="7654"/>
          <w:tab w:val="right" w:pos="8929"/>
          <w:tab w:val="right" w:pos="9638"/>
        </w:tabs>
        <w:spacing w:after="120"/>
        <w:ind w:left="1559" w:hanging="425"/>
        <w:rPr>
          <w:rFonts w:eastAsia="Times New Roman"/>
          <w:lang w:val="fr-FR"/>
        </w:rPr>
      </w:pPr>
      <w:r w:rsidRPr="00364FEF">
        <w:rPr>
          <w:rFonts w:eastAsia="Times New Roman"/>
          <w:lang w:val="fr-FR"/>
        </w:rPr>
        <w:t>B.</w:t>
      </w:r>
      <w:r w:rsidRPr="00364FEF">
        <w:rPr>
          <w:rFonts w:eastAsia="Times New Roman"/>
          <w:lang w:val="fr-FR"/>
        </w:rPr>
        <w:tab/>
      </w:r>
      <w:r w:rsidRPr="003B1372">
        <w:rPr>
          <w:lang w:val="fr-FR"/>
        </w:rPr>
        <w:t xml:space="preserve">Formation en ligne pour les transporteurs </w:t>
      </w:r>
      <w:r w:rsidRPr="00364FEF">
        <w:rPr>
          <w:rFonts w:eastAsia="Times New Roman"/>
          <w:lang w:val="fr-FR"/>
        </w:rPr>
        <w:tab/>
      </w:r>
      <w:r w:rsidRPr="00364FEF">
        <w:rPr>
          <w:rFonts w:eastAsia="Times New Roman"/>
          <w:lang w:val="fr-FR"/>
        </w:rPr>
        <w:tab/>
      </w:r>
      <w:r w:rsidR="00A5534B">
        <w:rPr>
          <w:rFonts w:eastAsia="Times New Roman"/>
          <w:lang w:val="fr-FR"/>
        </w:rPr>
        <w:t>60-61</w:t>
      </w:r>
      <w:r w:rsidR="00A5534B">
        <w:rPr>
          <w:rFonts w:eastAsia="Times New Roman"/>
          <w:lang w:val="fr-FR"/>
        </w:rPr>
        <w:tab/>
        <w:t>14</w:t>
      </w:r>
    </w:p>
    <w:p w:rsidR="009427E3" w:rsidRPr="00364FEF" w:rsidRDefault="009427E3" w:rsidP="009427E3">
      <w:pPr>
        <w:tabs>
          <w:tab w:val="right" w:leader="dot" w:pos="7654"/>
          <w:tab w:val="right" w:pos="8929"/>
          <w:tab w:val="right" w:pos="9638"/>
        </w:tabs>
        <w:spacing w:after="120"/>
        <w:ind w:left="1559" w:hanging="425"/>
        <w:rPr>
          <w:rFonts w:eastAsia="Times New Roman"/>
          <w:lang w:val="fr-FR"/>
        </w:rPr>
      </w:pPr>
      <w:r w:rsidRPr="00364FEF">
        <w:rPr>
          <w:rFonts w:eastAsia="Times New Roman"/>
          <w:lang w:val="fr-FR"/>
        </w:rPr>
        <w:t>C.</w:t>
      </w:r>
      <w:r w:rsidRPr="00364FEF">
        <w:rPr>
          <w:rFonts w:eastAsia="Times New Roman"/>
          <w:lang w:val="fr-FR"/>
        </w:rPr>
        <w:tab/>
        <w:t>T</w:t>
      </w:r>
      <w:r w:rsidRPr="003B1372">
        <w:rPr>
          <w:lang w:val="fr-FR"/>
        </w:rPr>
        <w:t xml:space="preserve">ransport de déchets dangereux </w:t>
      </w:r>
      <w:r w:rsidRPr="00364FEF">
        <w:rPr>
          <w:rFonts w:eastAsia="Times New Roman"/>
          <w:lang w:val="fr-FR"/>
        </w:rPr>
        <w:tab/>
      </w:r>
      <w:r w:rsidRPr="00364FEF">
        <w:rPr>
          <w:rFonts w:eastAsia="Times New Roman"/>
          <w:lang w:val="fr-FR"/>
        </w:rPr>
        <w:tab/>
      </w:r>
      <w:r w:rsidR="00A5534B">
        <w:rPr>
          <w:rFonts w:eastAsia="Times New Roman"/>
          <w:lang w:val="fr-FR"/>
        </w:rPr>
        <w:t>62</w:t>
      </w:r>
      <w:r w:rsidR="00A5534B">
        <w:rPr>
          <w:rFonts w:eastAsia="Times New Roman"/>
          <w:lang w:val="fr-FR"/>
        </w:rPr>
        <w:tab/>
        <w:t>15</w:t>
      </w:r>
    </w:p>
    <w:p w:rsidR="009427E3" w:rsidRPr="00364FEF" w:rsidRDefault="009427E3" w:rsidP="009E6341">
      <w:pPr>
        <w:keepNext/>
        <w:keepLines/>
        <w:tabs>
          <w:tab w:val="right" w:leader="dot" w:pos="7654"/>
          <w:tab w:val="right" w:pos="8929"/>
          <w:tab w:val="right" w:pos="9638"/>
        </w:tabs>
        <w:spacing w:after="120"/>
        <w:ind w:left="1559" w:hanging="425"/>
        <w:rPr>
          <w:rFonts w:eastAsia="Times New Roman"/>
          <w:lang w:val="fr-FR"/>
        </w:rPr>
      </w:pPr>
      <w:r w:rsidRPr="003B1372">
        <w:rPr>
          <w:lang w:val="fr-FR"/>
        </w:rPr>
        <w:lastRenderedPageBreak/>
        <w:t>D.</w:t>
      </w:r>
      <w:r w:rsidRPr="003B1372">
        <w:rPr>
          <w:lang w:val="fr-FR"/>
        </w:rPr>
        <w:tab/>
        <w:t>Hommage à M. H. Rein (Allemagne)</w:t>
      </w:r>
      <w:r w:rsidRPr="003B1372">
        <w:rPr>
          <w:lang w:val="fr-FR"/>
        </w:rPr>
        <w:tab/>
      </w:r>
      <w:r w:rsidR="00A5534B">
        <w:rPr>
          <w:lang w:val="fr-FR"/>
        </w:rPr>
        <w:tab/>
        <w:t>63</w:t>
      </w:r>
      <w:r w:rsidR="00A5534B">
        <w:rPr>
          <w:lang w:val="fr-FR"/>
        </w:rPr>
        <w:tab/>
        <w:t>15</w:t>
      </w:r>
    </w:p>
    <w:p w:rsidR="009427E3" w:rsidRPr="00364FEF" w:rsidRDefault="009427E3" w:rsidP="009427E3">
      <w:pPr>
        <w:tabs>
          <w:tab w:val="right" w:pos="850"/>
          <w:tab w:val="right" w:leader="dot" w:pos="7654"/>
          <w:tab w:val="right" w:pos="8929"/>
          <w:tab w:val="right" w:pos="9638"/>
        </w:tabs>
        <w:spacing w:after="120"/>
        <w:ind w:left="1134" w:hanging="1134"/>
        <w:rPr>
          <w:rFonts w:eastAsia="Times New Roman"/>
          <w:spacing w:val="-2"/>
          <w:w w:val="103"/>
          <w:kern w:val="14"/>
          <w:lang w:val="fr-FR" w:eastAsia="zh-CN"/>
        </w:rPr>
      </w:pPr>
      <w:r w:rsidRPr="00364FEF">
        <w:rPr>
          <w:rFonts w:eastAsia="Times New Roman"/>
          <w:spacing w:val="-2"/>
          <w:w w:val="103"/>
          <w:kern w:val="14"/>
          <w:lang w:val="fr-FR" w:eastAsia="zh-CN"/>
        </w:rPr>
        <w:tab/>
      </w:r>
      <w:r w:rsidRPr="00364FEF">
        <w:rPr>
          <w:rFonts w:eastAsia="Times New Roman"/>
          <w:lang w:val="fr-FR"/>
        </w:rPr>
        <w:t>XII</w:t>
      </w:r>
      <w:r w:rsidRPr="00364FEF">
        <w:rPr>
          <w:rFonts w:eastAsia="Times New Roman"/>
          <w:spacing w:val="-2"/>
          <w:w w:val="103"/>
          <w:kern w:val="14"/>
          <w:lang w:val="fr-FR" w:eastAsia="zh-CN"/>
        </w:rPr>
        <w:t>.</w:t>
      </w:r>
      <w:r w:rsidRPr="00364FEF">
        <w:rPr>
          <w:rFonts w:eastAsia="Times New Roman"/>
          <w:spacing w:val="-2"/>
          <w:w w:val="103"/>
          <w:kern w:val="14"/>
          <w:lang w:val="fr-FR" w:eastAsia="zh-CN"/>
        </w:rPr>
        <w:tab/>
      </w:r>
      <w:r w:rsidRPr="00364FEF">
        <w:rPr>
          <w:w w:val="103"/>
          <w:lang w:val="fr-FR" w:eastAsia="zh-CN"/>
        </w:rPr>
        <w:t>Adoption du rapport (point 11 de l’ordre du jour)</w:t>
      </w:r>
      <w:r w:rsidRPr="00364FEF">
        <w:rPr>
          <w:rFonts w:eastAsia="Times New Roman"/>
          <w:spacing w:val="-2"/>
          <w:w w:val="103"/>
          <w:kern w:val="14"/>
          <w:lang w:val="fr-FR" w:eastAsia="zh-CN"/>
        </w:rPr>
        <w:tab/>
      </w:r>
      <w:r w:rsidRPr="00364FEF">
        <w:rPr>
          <w:rFonts w:eastAsia="Times New Roman"/>
          <w:spacing w:val="-2"/>
          <w:w w:val="103"/>
          <w:kern w:val="14"/>
          <w:lang w:val="fr-FR" w:eastAsia="zh-CN"/>
        </w:rPr>
        <w:tab/>
      </w:r>
      <w:r w:rsidR="00A5534B">
        <w:rPr>
          <w:rFonts w:eastAsia="Times New Roman"/>
          <w:spacing w:val="-2"/>
          <w:w w:val="103"/>
          <w:kern w:val="14"/>
          <w:lang w:val="fr-FR" w:eastAsia="zh-CN"/>
        </w:rPr>
        <w:t>64</w:t>
      </w:r>
      <w:r w:rsidR="00A5534B">
        <w:rPr>
          <w:rFonts w:eastAsia="Times New Roman"/>
          <w:spacing w:val="-2"/>
          <w:w w:val="103"/>
          <w:kern w:val="14"/>
          <w:lang w:val="fr-FR" w:eastAsia="zh-CN"/>
        </w:rPr>
        <w:tab/>
        <w:t>15</w:t>
      </w:r>
    </w:p>
    <w:p w:rsidR="009427E3" w:rsidRPr="00364FEF" w:rsidRDefault="009427E3" w:rsidP="004E313D">
      <w:pPr>
        <w:keepNext/>
        <w:keepLines/>
        <w:tabs>
          <w:tab w:val="right" w:pos="850"/>
        </w:tabs>
        <w:spacing w:after="120"/>
        <w:rPr>
          <w:lang w:val="fr-FR"/>
        </w:rPr>
      </w:pPr>
      <w:r w:rsidRPr="00364FEF">
        <w:rPr>
          <w:lang w:val="fr-FR"/>
        </w:rPr>
        <w:tab/>
        <w:t>Annexes</w:t>
      </w:r>
    </w:p>
    <w:p w:rsidR="009427E3" w:rsidRPr="00364FEF" w:rsidRDefault="009427E3" w:rsidP="004E313D">
      <w:pPr>
        <w:keepNext/>
        <w:keepLines/>
        <w:tabs>
          <w:tab w:val="right" w:pos="850"/>
          <w:tab w:val="right" w:leader="dot" w:pos="8929"/>
          <w:tab w:val="right" w:pos="9638"/>
        </w:tabs>
        <w:spacing w:after="120"/>
        <w:ind w:left="1134" w:hanging="1134"/>
        <w:rPr>
          <w:rFonts w:eastAsia="Times New Roman"/>
          <w:lang w:val="fr-FR"/>
        </w:rPr>
      </w:pPr>
      <w:r w:rsidRPr="00364FEF">
        <w:rPr>
          <w:rFonts w:eastAsia="Times New Roman"/>
          <w:lang w:val="fr-FR"/>
        </w:rPr>
        <w:tab/>
        <w:t>I.</w:t>
      </w:r>
      <w:r w:rsidRPr="00364FEF">
        <w:rPr>
          <w:rFonts w:eastAsia="Times New Roman"/>
          <w:lang w:val="fr-FR"/>
        </w:rPr>
        <w:tab/>
        <w:t>Rapport du Groupe de travail sur les citernes</w:t>
      </w:r>
      <w:r w:rsidR="004E313D">
        <w:rPr>
          <w:rStyle w:val="FootnoteReference"/>
          <w:rFonts w:eastAsia="Times New Roman"/>
        </w:rPr>
        <w:footnoteReference w:customMarkFollows="1" w:id="3"/>
        <w:t>**</w:t>
      </w:r>
      <w:r w:rsidRPr="00364FEF">
        <w:rPr>
          <w:rFonts w:eastAsia="Times New Roman"/>
          <w:lang w:val="fr-FR"/>
        </w:rPr>
        <w:tab/>
      </w:r>
      <w:r w:rsidRPr="00364FEF">
        <w:rPr>
          <w:rFonts w:eastAsia="Times New Roman"/>
          <w:lang w:val="fr-FR"/>
        </w:rPr>
        <w:tab/>
      </w:r>
      <w:r w:rsidR="00A5534B">
        <w:rPr>
          <w:rFonts w:eastAsia="Times New Roman"/>
          <w:lang w:val="fr-FR"/>
        </w:rPr>
        <w:t>16</w:t>
      </w:r>
    </w:p>
    <w:p w:rsidR="009427E3" w:rsidRPr="00364FEF" w:rsidRDefault="009427E3" w:rsidP="004E313D">
      <w:pPr>
        <w:keepNext/>
        <w:keepLines/>
        <w:tabs>
          <w:tab w:val="right" w:pos="850"/>
          <w:tab w:val="right" w:leader="dot" w:pos="8929"/>
          <w:tab w:val="right" w:pos="9638"/>
        </w:tabs>
        <w:spacing w:after="120"/>
        <w:ind w:left="1134" w:hanging="1134"/>
        <w:rPr>
          <w:rFonts w:eastAsia="Times New Roman"/>
          <w:lang w:val="fr-FR"/>
        </w:rPr>
      </w:pPr>
      <w:r w:rsidRPr="00364FEF">
        <w:rPr>
          <w:rFonts w:eastAsia="Times New Roman"/>
          <w:lang w:val="fr-FR"/>
        </w:rPr>
        <w:tab/>
        <w:t>II.</w:t>
      </w:r>
      <w:r w:rsidRPr="00364FEF">
        <w:rPr>
          <w:rFonts w:eastAsia="Times New Roman"/>
          <w:lang w:val="fr-FR"/>
        </w:rPr>
        <w:tab/>
      </w:r>
      <w:r w:rsidRPr="00364FEF">
        <w:rPr>
          <w:lang w:val="fr-FR"/>
        </w:rPr>
        <w:t xml:space="preserve">Projet d’amendements au RID, à l’ADR et à l’ADN pour </w:t>
      </w:r>
      <w:proofErr w:type="spellStart"/>
      <w:r w:rsidRPr="00364FEF">
        <w:rPr>
          <w:lang w:val="fr-FR"/>
        </w:rPr>
        <w:t>entrée</w:t>
      </w:r>
      <w:proofErr w:type="spellEnd"/>
      <w:r w:rsidRPr="00364FEF">
        <w:rPr>
          <w:lang w:val="fr-FR"/>
        </w:rPr>
        <w:t xml:space="preserve"> en vigueur </w:t>
      </w:r>
      <w:r w:rsidRPr="00364FEF">
        <w:rPr>
          <w:lang w:val="fr-FR"/>
        </w:rPr>
        <w:br/>
        <w:t>le 1</w:t>
      </w:r>
      <w:r w:rsidRPr="00EF6739">
        <w:rPr>
          <w:lang w:val="fr-FR"/>
        </w:rPr>
        <w:t>er</w:t>
      </w:r>
      <w:r w:rsidRPr="00364FEF">
        <w:rPr>
          <w:lang w:val="fr-FR"/>
        </w:rPr>
        <w:t xml:space="preserve"> janvier 2021</w:t>
      </w:r>
      <w:r w:rsidRPr="00364FEF">
        <w:rPr>
          <w:rFonts w:eastAsia="Times New Roman"/>
          <w:lang w:val="fr-FR"/>
        </w:rPr>
        <w:tab/>
      </w:r>
      <w:r w:rsidRPr="00364FEF">
        <w:rPr>
          <w:rFonts w:eastAsia="Times New Roman"/>
          <w:lang w:val="fr-FR"/>
        </w:rPr>
        <w:tab/>
      </w:r>
      <w:r w:rsidR="00A5534B">
        <w:rPr>
          <w:rFonts w:eastAsia="Times New Roman"/>
          <w:lang w:val="fr-FR"/>
        </w:rPr>
        <w:t>17</w:t>
      </w:r>
    </w:p>
    <w:p w:rsidR="009427E3" w:rsidRPr="00364FEF" w:rsidRDefault="009427E3" w:rsidP="004E313D">
      <w:pPr>
        <w:keepNext/>
        <w:keepLines/>
        <w:tabs>
          <w:tab w:val="right" w:pos="850"/>
          <w:tab w:val="right" w:leader="dot" w:pos="8929"/>
          <w:tab w:val="right" w:pos="9638"/>
        </w:tabs>
        <w:spacing w:after="120"/>
        <w:ind w:left="1134" w:hanging="1134"/>
        <w:rPr>
          <w:rFonts w:eastAsia="Times New Roman"/>
          <w:lang w:val="fr-FR"/>
        </w:rPr>
      </w:pPr>
      <w:r w:rsidRPr="00364FEF">
        <w:rPr>
          <w:rFonts w:eastAsia="Times New Roman"/>
          <w:lang w:val="fr-FR"/>
        </w:rPr>
        <w:tab/>
        <w:t>III.</w:t>
      </w:r>
      <w:r w:rsidRPr="00364FEF">
        <w:rPr>
          <w:rFonts w:eastAsia="Times New Roman"/>
          <w:lang w:val="fr-FR"/>
        </w:rPr>
        <w:tab/>
      </w:r>
      <w:bookmarkStart w:id="0" w:name="_Hlk527551780"/>
      <w:r w:rsidR="00037515">
        <w:rPr>
          <w:lang w:val="fr-FR"/>
        </w:rPr>
        <w:t>Ligne</w:t>
      </w:r>
      <w:r w:rsidR="00037515" w:rsidRPr="003B1372">
        <w:rPr>
          <w:lang w:val="fr-FR"/>
        </w:rPr>
        <w:t xml:space="preserve"> </w:t>
      </w:r>
      <w:r w:rsidR="00037515">
        <w:rPr>
          <w:lang w:val="fr-FR"/>
        </w:rPr>
        <w:t xml:space="preserve">directrice </w:t>
      </w:r>
      <w:bookmarkEnd w:id="0"/>
      <w:r w:rsidR="00037515" w:rsidRPr="003B1372">
        <w:rPr>
          <w:lang w:val="fr-FR"/>
        </w:rPr>
        <w:t xml:space="preserve">pour l’application de la norme EN 12972 (Citernes destinées au transport </w:t>
      </w:r>
      <w:r w:rsidR="00037515">
        <w:rPr>
          <w:lang w:val="fr-FR"/>
        </w:rPr>
        <w:br/>
      </w:r>
      <w:r w:rsidR="00037515" w:rsidRPr="003B1372">
        <w:rPr>
          <w:lang w:val="fr-FR"/>
        </w:rPr>
        <w:t xml:space="preserve">des matières dangereuses − Épreuve, contrôle et marquage des citernes métalliques) </w:t>
      </w:r>
      <w:r w:rsidR="00037515">
        <w:rPr>
          <w:lang w:val="fr-FR"/>
        </w:rPr>
        <w:br/>
      </w:r>
      <w:r w:rsidR="00037515" w:rsidRPr="003B1372">
        <w:rPr>
          <w:lang w:val="fr-FR"/>
        </w:rPr>
        <w:t xml:space="preserve">afin </w:t>
      </w:r>
      <w:r w:rsidR="00037515">
        <w:rPr>
          <w:lang w:val="fr-FR"/>
        </w:rPr>
        <w:t xml:space="preserve">de respecter les prescriptions du </w:t>
      </w:r>
      <w:r w:rsidR="00037515" w:rsidRPr="003B1372">
        <w:rPr>
          <w:lang w:val="fr-FR"/>
        </w:rPr>
        <w:t>RID/ADR</w:t>
      </w:r>
      <w:r w:rsidRPr="00364FEF">
        <w:rPr>
          <w:rFonts w:eastAsia="Times New Roman"/>
          <w:lang w:val="fr-FR"/>
        </w:rPr>
        <w:tab/>
      </w:r>
      <w:r w:rsidR="00A5534B">
        <w:rPr>
          <w:rFonts w:eastAsia="Times New Roman"/>
          <w:lang w:val="fr-FR"/>
        </w:rPr>
        <w:tab/>
        <w:t>23</w:t>
      </w:r>
    </w:p>
    <w:p w:rsidR="009427E3" w:rsidRPr="00364FEF" w:rsidRDefault="009427E3" w:rsidP="009427E3">
      <w:pPr>
        <w:tabs>
          <w:tab w:val="right" w:pos="850"/>
          <w:tab w:val="right" w:leader="dot" w:pos="8929"/>
          <w:tab w:val="right" w:pos="9638"/>
        </w:tabs>
        <w:spacing w:after="120"/>
        <w:ind w:left="1134" w:hanging="1134"/>
        <w:rPr>
          <w:rFonts w:eastAsia="Times New Roman"/>
          <w:lang w:val="fr-FR"/>
        </w:rPr>
      </w:pPr>
      <w:r w:rsidRPr="00364FEF">
        <w:rPr>
          <w:rFonts w:eastAsia="Times New Roman"/>
          <w:lang w:val="fr-FR"/>
        </w:rPr>
        <w:tab/>
        <w:t>IV.</w:t>
      </w:r>
      <w:r w:rsidRPr="00364FEF">
        <w:rPr>
          <w:rFonts w:eastAsia="Times New Roman"/>
          <w:lang w:val="fr-FR"/>
        </w:rPr>
        <w:tab/>
        <w:t>Mandat du groupe de travail informel sur l’amélioration de la notification des accidents</w:t>
      </w:r>
      <w:r w:rsidRPr="00364FEF">
        <w:rPr>
          <w:rFonts w:eastAsia="Times New Roman"/>
          <w:lang w:val="fr-FR"/>
        </w:rPr>
        <w:tab/>
      </w:r>
      <w:r w:rsidR="00A5534B">
        <w:rPr>
          <w:rFonts w:eastAsia="Times New Roman"/>
          <w:lang w:val="fr-FR"/>
        </w:rPr>
        <w:tab/>
        <w:t>24</w:t>
      </w:r>
    </w:p>
    <w:p w:rsidR="009427E3" w:rsidRPr="00364FEF" w:rsidRDefault="009427E3" w:rsidP="009427E3">
      <w:pPr>
        <w:tabs>
          <w:tab w:val="right" w:pos="850"/>
          <w:tab w:val="right" w:leader="dot" w:pos="8929"/>
          <w:tab w:val="right" w:pos="9638"/>
        </w:tabs>
        <w:spacing w:after="120"/>
        <w:ind w:left="1134" w:hanging="1134"/>
        <w:rPr>
          <w:rFonts w:eastAsia="Times New Roman"/>
          <w:color w:val="FF0000"/>
          <w:lang w:val="fr-FR"/>
        </w:rPr>
      </w:pPr>
    </w:p>
    <w:p w:rsidR="009427E3" w:rsidRPr="00364FEF" w:rsidRDefault="009427E3" w:rsidP="009427E3">
      <w:pPr>
        <w:tabs>
          <w:tab w:val="right" w:pos="850"/>
          <w:tab w:val="right" w:leader="dot" w:pos="8929"/>
          <w:tab w:val="right" w:pos="9638"/>
        </w:tabs>
        <w:spacing w:after="120"/>
        <w:ind w:left="1134" w:hanging="1134"/>
        <w:rPr>
          <w:rFonts w:eastAsia="Times New Roman"/>
          <w:color w:val="FF0000"/>
          <w:lang w:val="fr-FR"/>
        </w:rPr>
      </w:pPr>
    </w:p>
    <w:p w:rsidR="009427E3" w:rsidRPr="00364FEF" w:rsidRDefault="009427E3" w:rsidP="009427E3">
      <w:pPr>
        <w:pStyle w:val="HChG"/>
        <w:rPr>
          <w:lang w:val="fr-FR"/>
        </w:rPr>
      </w:pPr>
      <w:r w:rsidRPr="00364FEF">
        <w:rPr>
          <w:color w:val="FF0000"/>
          <w:lang w:val="fr-FR"/>
        </w:rPr>
        <w:br w:type="page"/>
      </w:r>
      <w:r w:rsidRPr="00364FEF">
        <w:rPr>
          <w:lang w:val="fr-FR"/>
        </w:rPr>
        <w:lastRenderedPageBreak/>
        <w:tab/>
      </w:r>
      <w:r w:rsidRPr="003B1372">
        <w:rPr>
          <w:lang w:val="fr-FR"/>
        </w:rPr>
        <w:t>I.</w:t>
      </w:r>
      <w:r w:rsidRPr="003B1372">
        <w:rPr>
          <w:lang w:val="fr-FR"/>
        </w:rPr>
        <w:tab/>
        <w:t>Participation</w:t>
      </w:r>
    </w:p>
    <w:p w:rsidR="009427E3" w:rsidRPr="00364FEF" w:rsidRDefault="009427E3" w:rsidP="009427E3">
      <w:pPr>
        <w:pStyle w:val="SingleTxtG"/>
        <w:rPr>
          <w:lang w:val="fr-FR"/>
        </w:rPr>
      </w:pPr>
      <w:r w:rsidRPr="003B1372">
        <w:rPr>
          <w:lang w:val="fr-FR"/>
        </w:rPr>
        <w:t>1.</w:t>
      </w:r>
      <w:r w:rsidRPr="003B1372">
        <w:rPr>
          <w:lang w:val="fr-FR"/>
        </w:rPr>
        <w:tab/>
        <w:t>La Réunion commune de la Commission d’experts du RID et du Groupe de travail des transports de marchandises dangereuses de la Commission économique pour l’Europe s’est tenue à Genève, du 17 au 21 septembre 2018, sous la présidence de M. C. </w:t>
      </w:r>
      <w:proofErr w:type="spellStart"/>
      <w:r w:rsidRPr="003B1372">
        <w:rPr>
          <w:lang w:val="fr-FR"/>
        </w:rPr>
        <w:t>Pfauvadel</w:t>
      </w:r>
      <w:proofErr w:type="spellEnd"/>
      <w:r w:rsidRPr="003B1372">
        <w:rPr>
          <w:lang w:val="fr-FR"/>
        </w:rPr>
        <w:t xml:space="preserve"> (France) et la vice-présidence de M. H. Rein (Allemagne).</w:t>
      </w:r>
    </w:p>
    <w:p w:rsidR="009427E3" w:rsidRPr="00364FEF" w:rsidRDefault="009427E3" w:rsidP="009427E3">
      <w:pPr>
        <w:pStyle w:val="SingleTxtG"/>
        <w:rPr>
          <w:lang w:val="fr-FR"/>
        </w:rPr>
      </w:pPr>
      <w:r w:rsidRPr="003B1372">
        <w:rPr>
          <w:lang w:val="fr-FR"/>
        </w:rPr>
        <w:t>2.</w:t>
      </w:r>
      <w:r w:rsidRPr="003B1372">
        <w:rPr>
          <w:lang w:val="fr-FR"/>
        </w:rPr>
        <w:tab/>
        <w:t xml:space="preserve">Conformément au paragraphe a) de l’article 1 du règlement intérieur de la Réunion commune (ECE/TRANS/WP.15/AC.1/112/Add.2), les représentants des pays suivants ont participé de plein droit à la session : Allemagne, Autriche, Belgique, Croatie, Danemark, Espagne, États-Unis d’Amérique, Fédération de Russie, Finlande, France, Italie, Lettonie, Luxembourg, Norvège, Pays-Bas, Pologne, Roumanie, Royaume-Uni, Slovaquie, Suède, Suisse, Tchéquie et Turquie. </w:t>
      </w:r>
    </w:p>
    <w:p w:rsidR="009427E3" w:rsidRPr="00364FEF" w:rsidRDefault="009427E3" w:rsidP="009427E3">
      <w:pPr>
        <w:pStyle w:val="SingleTxtG"/>
        <w:rPr>
          <w:lang w:val="fr-FR"/>
        </w:rPr>
      </w:pPr>
      <w:r w:rsidRPr="003B1372">
        <w:rPr>
          <w:lang w:val="fr-FR"/>
        </w:rPr>
        <w:t>3.</w:t>
      </w:r>
      <w:r w:rsidRPr="003B1372">
        <w:rPr>
          <w:lang w:val="fr-FR"/>
        </w:rPr>
        <w:tab/>
        <w:t>Conformément aux paragraphes c) et d) de l’article 1 du règlement intérieur, étaient représentées à titre consultatif :</w:t>
      </w:r>
    </w:p>
    <w:p w:rsidR="009427E3" w:rsidRPr="00364FEF" w:rsidRDefault="009427E3" w:rsidP="009427E3">
      <w:pPr>
        <w:pStyle w:val="SingleTxtG"/>
        <w:ind w:firstLine="567"/>
        <w:rPr>
          <w:lang w:val="fr-FR"/>
        </w:rPr>
      </w:pPr>
      <w:r w:rsidRPr="003B1372">
        <w:rPr>
          <w:lang w:val="fr-FR"/>
        </w:rPr>
        <w:t>a)</w:t>
      </w:r>
      <w:r w:rsidRPr="003B1372">
        <w:rPr>
          <w:lang w:val="fr-FR"/>
        </w:rPr>
        <w:tab/>
        <w:t>L’Union européenne (Commission européenne et Agence européenne des chemins de fer) et l’Organisation pour la coopération des chemins de fer (OSJD) ;</w:t>
      </w:r>
    </w:p>
    <w:p w:rsidR="009427E3" w:rsidRPr="003B1372" w:rsidRDefault="009427E3" w:rsidP="009427E3">
      <w:pPr>
        <w:pStyle w:val="SingleTxtG"/>
        <w:ind w:firstLine="567"/>
        <w:rPr>
          <w:lang w:val="fr-FR"/>
        </w:rPr>
      </w:pPr>
      <w:r w:rsidRPr="003B1372">
        <w:rPr>
          <w:lang w:val="fr-FR"/>
        </w:rPr>
        <w:t>b)</w:t>
      </w:r>
      <w:r w:rsidRPr="003B1372">
        <w:rPr>
          <w:lang w:val="fr-FR"/>
        </w:rPr>
        <w:tab/>
        <w:t xml:space="preserve">Les organisations non gouvernementales internationales suivantes : Association européenne des gaz de pétrole liquéfiés (AEGPL), Association européenne des gaz industriels (EIGA), Comité de liaison de la construction de carrosseries et de remorques (CLCCR), Comité européen de normalisation (CEN), Conseil européen de l’industrie chimique (CEFIC), Conférence européenne des négociants en carburant et combustibles (CENCC), Council on Safe Transportation of </w:t>
      </w:r>
      <w:proofErr w:type="spellStart"/>
      <w:r w:rsidRPr="003B1372">
        <w:rPr>
          <w:lang w:val="fr-FR"/>
        </w:rPr>
        <w:t>Hazardous</w:t>
      </w:r>
      <w:proofErr w:type="spellEnd"/>
      <w:r w:rsidRPr="003B1372">
        <w:rPr>
          <w:lang w:val="fr-FR"/>
        </w:rPr>
        <w:t xml:space="preserve"> Articles (COSTHA), Fédération Européenne des activités de la dépollution et de l’</w:t>
      </w:r>
      <w:proofErr w:type="spellStart"/>
      <w:r w:rsidRPr="003B1372">
        <w:rPr>
          <w:lang w:val="fr-FR"/>
        </w:rPr>
        <w:t>environnment</w:t>
      </w:r>
      <w:proofErr w:type="spellEnd"/>
      <w:r w:rsidRPr="003B1372">
        <w:rPr>
          <w:lang w:val="fr-FR"/>
        </w:rPr>
        <w:t xml:space="preserve"> (FEAD), </w:t>
      </w:r>
      <w:proofErr w:type="spellStart"/>
      <w:r w:rsidRPr="003B1372">
        <w:rPr>
          <w:lang w:val="fr-FR"/>
        </w:rPr>
        <w:t>European</w:t>
      </w:r>
      <w:proofErr w:type="spellEnd"/>
      <w:r w:rsidRPr="003B1372">
        <w:rPr>
          <w:lang w:val="fr-FR"/>
        </w:rPr>
        <w:t xml:space="preserve"> </w:t>
      </w:r>
      <w:proofErr w:type="spellStart"/>
      <w:r w:rsidRPr="003B1372">
        <w:rPr>
          <w:lang w:val="fr-FR"/>
        </w:rPr>
        <w:t>Cylinder</w:t>
      </w:r>
      <w:proofErr w:type="spellEnd"/>
      <w:r w:rsidRPr="003B1372">
        <w:rPr>
          <w:lang w:val="fr-FR"/>
        </w:rPr>
        <w:t xml:space="preserve"> </w:t>
      </w:r>
      <w:proofErr w:type="spellStart"/>
      <w:r w:rsidRPr="003B1372">
        <w:rPr>
          <w:lang w:val="fr-FR"/>
        </w:rPr>
        <w:t>Makers</w:t>
      </w:r>
      <w:proofErr w:type="spellEnd"/>
      <w:r w:rsidRPr="003B1372">
        <w:rPr>
          <w:lang w:val="fr-FR"/>
        </w:rPr>
        <w:t xml:space="preserve"> Association (ECMA), Organisation internationale des conteneurs-citernes (ITCO), Union internationale des chemins de fer (UIC), Union internationale des propriétaires de wagons particuliers (UIP) et Union internationale</w:t>
      </w:r>
      <w:r w:rsidR="00F47C7C">
        <w:rPr>
          <w:lang w:val="fr-FR"/>
        </w:rPr>
        <w:t xml:space="preserve"> des transports routiers (IRU).</w:t>
      </w:r>
    </w:p>
    <w:p w:rsidR="009427E3" w:rsidRPr="00364FEF" w:rsidRDefault="009427E3" w:rsidP="009427E3">
      <w:pPr>
        <w:pStyle w:val="HChG"/>
        <w:rPr>
          <w:lang w:val="fr-FR"/>
        </w:rPr>
      </w:pPr>
      <w:r w:rsidRPr="00364FEF">
        <w:rPr>
          <w:lang w:val="fr-FR"/>
        </w:rPr>
        <w:tab/>
        <w:t>II.</w:t>
      </w:r>
      <w:r w:rsidRPr="00364FEF">
        <w:rPr>
          <w:lang w:val="fr-FR"/>
        </w:rPr>
        <w:tab/>
        <w:t>Adoption de l’ordre du jour (point 1 de l’ordre du jour)</w:t>
      </w:r>
    </w:p>
    <w:p w:rsidR="009427E3" w:rsidRPr="00364FEF" w:rsidRDefault="009427E3" w:rsidP="00966ADF">
      <w:pPr>
        <w:pStyle w:val="SingleTxtG"/>
        <w:tabs>
          <w:tab w:val="left" w:pos="3119"/>
        </w:tabs>
        <w:ind w:left="3119" w:hanging="1985"/>
        <w:jc w:val="left"/>
        <w:rPr>
          <w:lang w:val="fr-FR"/>
        </w:rPr>
      </w:pPr>
      <w:r w:rsidRPr="00364FEF">
        <w:rPr>
          <w:i/>
          <w:iCs/>
          <w:lang w:val="fr-FR"/>
        </w:rPr>
        <w:t>Documents</w:t>
      </w:r>
      <w:r w:rsidRPr="00364FEF">
        <w:rPr>
          <w:lang w:val="fr-FR"/>
        </w:rPr>
        <w:t> :</w:t>
      </w:r>
      <w:r w:rsidRPr="00364FEF">
        <w:rPr>
          <w:lang w:val="fr-FR"/>
        </w:rPr>
        <w:tab/>
        <w:t>ECE/TRANS/WP.15/AC.1/151</w:t>
      </w:r>
      <w:r w:rsidRPr="00364FEF">
        <w:rPr>
          <w:lang w:val="fr-FR"/>
        </w:rPr>
        <w:br/>
        <w:t>ECE/TRANS/WP.15/AC.1/151/Add.1</w:t>
      </w:r>
      <w:r>
        <w:rPr>
          <w:lang w:val="fr-FR"/>
        </w:rPr>
        <w:br/>
        <w:t>RID-18001-RC</w:t>
      </w:r>
    </w:p>
    <w:p w:rsidR="009427E3" w:rsidRPr="00364FEF" w:rsidRDefault="009427E3" w:rsidP="00966ADF">
      <w:pPr>
        <w:pStyle w:val="SingleTxtG"/>
        <w:tabs>
          <w:tab w:val="left" w:pos="3119"/>
        </w:tabs>
        <w:ind w:left="3119" w:hanging="1985"/>
        <w:rPr>
          <w:lang w:val="fr-FR"/>
        </w:rPr>
      </w:pPr>
      <w:r w:rsidRPr="00364FEF">
        <w:rPr>
          <w:lang w:val="fr-FR"/>
        </w:rPr>
        <w:t>Documents informels</w:t>
      </w:r>
      <w:r w:rsidRPr="003B1372">
        <w:rPr>
          <w:lang w:val="fr-FR"/>
        </w:rPr>
        <w:t xml:space="preserve"> : </w:t>
      </w:r>
      <w:r w:rsidRPr="003B1372">
        <w:rPr>
          <w:lang w:val="fr-FR"/>
        </w:rPr>
        <w:tab/>
        <w:t>INF.1 et INF.2 (</w:t>
      </w:r>
      <w:r w:rsidRPr="00364FEF">
        <w:rPr>
          <w:lang w:val="fr-FR"/>
        </w:rPr>
        <w:t>S</w:t>
      </w:r>
      <w:r w:rsidRPr="003B1372">
        <w:rPr>
          <w:lang w:val="fr-FR"/>
        </w:rPr>
        <w:t>ecrétariat)</w:t>
      </w:r>
    </w:p>
    <w:p w:rsidR="009427E3" w:rsidRPr="00364FEF" w:rsidRDefault="009427E3" w:rsidP="009427E3">
      <w:pPr>
        <w:pStyle w:val="SingleTxtG"/>
        <w:rPr>
          <w:lang w:val="fr-FR"/>
        </w:rPr>
      </w:pPr>
      <w:r w:rsidRPr="003B1372">
        <w:rPr>
          <w:lang w:val="fr-FR"/>
        </w:rPr>
        <w:t>4.</w:t>
      </w:r>
      <w:r w:rsidRPr="003B1372">
        <w:rPr>
          <w:lang w:val="fr-FR"/>
        </w:rPr>
        <w:tab/>
        <w:t xml:space="preserve">La Réunion commune a adopté l’ordre du jour proposé par le secrétariat dans les documents ECE/TRANS/WP.15/AC.1/151 et Add.1 (document RID-18001-RC de l’OTIF) tels qu’actualisés par le document informel INF.2, après l’avoir modifié afin de prendre en compte les documents informels INF.1 à INF.32. </w:t>
      </w:r>
    </w:p>
    <w:p w:rsidR="009427E3" w:rsidRPr="003B1372" w:rsidRDefault="009427E3" w:rsidP="009427E3">
      <w:pPr>
        <w:pStyle w:val="HChG"/>
        <w:rPr>
          <w:lang w:val="fr-FR"/>
        </w:rPr>
      </w:pPr>
      <w:r w:rsidRPr="003B1372">
        <w:rPr>
          <w:lang w:val="fr-FR"/>
        </w:rPr>
        <w:tab/>
        <w:t>III.</w:t>
      </w:r>
      <w:r w:rsidRPr="003B1372">
        <w:rPr>
          <w:lang w:val="fr-FR"/>
        </w:rPr>
        <w:tab/>
        <w:t>Citernes (point 2 de l’ordre du jour)</w:t>
      </w:r>
    </w:p>
    <w:p w:rsidR="009427E3" w:rsidRPr="003B1372" w:rsidRDefault="009427E3" w:rsidP="00966ADF">
      <w:pPr>
        <w:pStyle w:val="SingleTxtG"/>
        <w:tabs>
          <w:tab w:val="left" w:pos="3119"/>
        </w:tabs>
        <w:spacing w:after="0"/>
        <w:ind w:left="3119" w:hanging="2268"/>
        <w:jc w:val="left"/>
        <w:rPr>
          <w:lang w:val="fr-FR"/>
        </w:rPr>
      </w:pPr>
      <w:r w:rsidRPr="003B1372">
        <w:rPr>
          <w:i/>
          <w:iCs/>
          <w:lang w:val="fr-FR"/>
        </w:rPr>
        <w:t>Documents</w:t>
      </w:r>
      <w:r w:rsidRPr="003B1372">
        <w:rPr>
          <w:lang w:val="fr-FR"/>
        </w:rPr>
        <w:t xml:space="preserve"> : </w:t>
      </w:r>
      <w:r w:rsidRPr="003B1372">
        <w:rPr>
          <w:lang w:val="fr-FR"/>
        </w:rPr>
        <w:tab/>
        <w:t>ECE/TRANS/WP.15/AC.1/2018/27 (France) </w:t>
      </w:r>
    </w:p>
    <w:p w:rsidR="009427E3" w:rsidRPr="00364FEF" w:rsidRDefault="009427E3" w:rsidP="00966ADF">
      <w:pPr>
        <w:pStyle w:val="SingleTxtG"/>
        <w:tabs>
          <w:tab w:val="left" w:pos="3119"/>
        </w:tabs>
        <w:ind w:left="3119" w:hanging="2268"/>
        <w:jc w:val="left"/>
        <w:rPr>
          <w:lang w:val="fr-FR"/>
        </w:rPr>
      </w:pPr>
      <w:r w:rsidRPr="003B1372">
        <w:rPr>
          <w:i/>
          <w:iCs/>
          <w:lang w:val="fr-FR"/>
        </w:rPr>
        <w:tab/>
      </w:r>
      <w:r w:rsidRPr="003B1372">
        <w:rPr>
          <w:lang w:val="fr-FR"/>
        </w:rPr>
        <w:t>ECE/TRANS/WP.15/AC.1/2018/29 (France) </w:t>
      </w:r>
      <w:r w:rsidRPr="003B1372">
        <w:rPr>
          <w:lang w:val="fr-FR"/>
        </w:rPr>
        <w:br/>
        <w:t>ECE/TRANS/WP.15/AC.1/2018/31 (Pays-Bas)</w:t>
      </w:r>
    </w:p>
    <w:p w:rsidR="009427E3" w:rsidRPr="00364FEF" w:rsidRDefault="009427E3" w:rsidP="00966ADF">
      <w:pPr>
        <w:pStyle w:val="SingleTxtG"/>
        <w:tabs>
          <w:tab w:val="left" w:pos="3119"/>
        </w:tabs>
        <w:ind w:left="3119" w:hanging="2268"/>
        <w:jc w:val="left"/>
        <w:rPr>
          <w:lang w:val="fr-FR"/>
        </w:rPr>
      </w:pPr>
      <w:r w:rsidRPr="003B1372">
        <w:rPr>
          <w:i/>
          <w:iCs/>
          <w:lang w:val="fr-FR"/>
        </w:rPr>
        <w:t>Documents informels</w:t>
      </w:r>
      <w:r w:rsidRPr="003B1372">
        <w:rPr>
          <w:lang w:val="fr-FR"/>
        </w:rPr>
        <w:t xml:space="preserve"> :</w:t>
      </w:r>
      <w:r w:rsidRPr="003B1372">
        <w:rPr>
          <w:lang w:val="fr-FR"/>
        </w:rPr>
        <w:tab/>
        <w:t>INF.3 (Pays-Bas) </w:t>
      </w:r>
      <w:r w:rsidRPr="003B1372">
        <w:rPr>
          <w:lang w:val="fr-FR"/>
        </w:rPr>
        <w:br/>
        <w:t>INF.7 (ITCO) </w:t>
      </w:r>
      <w:r w:rsidRPr="003B1372">
        <w:rPr>
          <w:lang w:val="fr-FR"/>
        </w:rPr>
        <w:br/>
        <w:t>INF.9 (Royaume Uni) </w:t>
      </w:r>
      <w:r w:rsidRPr="003B1372">
        <w:rPr>
          <w:lang w:val="fr-FR"/>
        </w:rPr>
        <w:br/>
        <w:t>INF.11 (Suisse) </w:t>
      </w:r>
      <w:r w:rsidRPr="003B1372">
        <w:rPr>
          <w:lang w:val="fr-FR"/>
        </w:rPr>
        <w:br/>
        <w:t>INF.17 (Royaume Uni)</w:t>
      </w:r>
      <w:r w:rsidRPr="003B1372">
        <w:rPr>
          <w:lang w:val="fr-FR"/>
        </w:rPr>
        <w:br/>
      </w:r>
      <w:r w:rsidRPr="003B1372">
        <w:rPr>
          <w:lang w:val="fr-FR"/>
        </w:rPr>
        <w:lastRenderedPageBreak/>
        <w:t>INF.18 (France) </w:t>
      </w:r>
      <w:r w:rsidRPr="003B1372">
        <w:rPr>
          <w:lang w:val="fr-FR"/>
        </w:rPr>
        <w:br/>
        <w:t>INF.20 (Pologne) </w:t>
      </w:r>
      <w:r w:rsidRPr="003B1372">
        <w:rPr>
          <w:lang w:val="fr-FR"/>
        </w:rPr>
        <w:br/>
        <w:t>INF.23 (Union européenne) </w:t>
      </w:r>
      <w:r w:rsidRPr="003B1372">
        <w:rPr>
          <w:lang w:val="fr-FR"/>
        </w:rPr>
        <w:br/>
        <w:t>INF.25 (Pologne)</w:t>
      </w:r>
    </w:p>
    <w:p w:rsidR="009427E3" w:rsidRPr="003B1372" w:rsidRDefault="009427E3" w:rsidP="009427E3">
      <w:pPr>
        <w:pStyle w:val="SingleTxtG"/>
        <w:rPr>
          <w:lang w:val="fr-FR"/>
        </w:rPr>
      </w:pPr>
      <w:r w:rsidRPr="003B1372">
        <w:rPr>
          <w:lang w:val="fr-FR"/>
        </w:rPr>
        <w:t>5.</w:t>
      </w:r>
      <w:r w:rsidRPr="003B1372">
        <w:rPr>
          <w:lang w:val="fr-FR"/>
        </w:rPr>
        <w:tab/>
        <w:t>L’examen de ces documents a été confié au Groupe de travail des citernes, qui s’est réuni du 17 au 19 septembre sous la présidence de M. A. Bale (Royaume-Uni).</w:t>
      </w:r>
    </w:p>
    <w:p w:rsidR="009427E3" w:rsidRPr="00364FEF" w:rsidRDefault="009427E3" w:rsidP="009427E3">
      <w:pPr>
        <w:pStyle w:val="H1G"/>
        <w:rPr>
          <w:lang w:val="fr-FR"/>
        </w:rPr>
      </w:pPr>
      <w:r w:rsidRPr="00364FEF">
        <w:rPr>
          <w:lang w:val="fr-FR"/>
        </w:rPr>
        <w:tab/>
      </w:r>
      <w:r w:rsidRPr="00364FEF">
        <w:rPr>
          <w:lang w:val="fr-FR"/>
        </w:rPr>
        <w:tab/>
        <w:t>Rapport du Groupe de travail des citernes</w:t>
      </w:r>
    </w:p>
    <w:p w:rsidR="009427E3" w:rsidRPr="00364FEF" w:rsidRDefault="009427E3" w:rsidP="00966ADF">
      <w:pPr>
        <w:pStyle w:val="SingleTxtG"/>
        <w:tabs>
          <w:tab w:val="left" w:pos="3119"/>
        </w:tabs>
        <w:rPr>
          <w:lang w:val="fr-FR"/>
        </w:rPr>
      </w:pPr>
      <w:r w:rsidRPr="00403E71">
        <w:rPr>
          <w:i/>
          <w:iCs/>
          <w:lang w:val="fr-FR"/>
        </w:rPr>
        <w:t>Document informel :</w:t>
      </w:r>
      <w:r w:rsidRPr="00403E71">
        <w:rPr>
          <w:i/>
          <w:iCs/>
          <w:lang w:val="fr-FR"/>
        </w:rPr>
        <w:tab/>
      </w:r>
      <w:r w:rsidRPr="003B1372">
        <w:rPr>
          <w:lang w:val="fr-FR"/>
        </w:rPr>
        <w:t xml:space="preserve">INF.30 (Rapport du Groupe de travail des citernes) </w:t>
      </w:r>
    </w:p>
    <w:p w:rsidR="009427E3" w:rsidRPr="00364FEF" w:rsidRDefault="009427E3" w:rsidP="009427E3">
      <w:pPr>
        <w:pStyle w:val="SingleTxtG"/>
        <w:rPr>
          <w:lang w:val="fr-FR"/>
        </w:rPr>
      </w:pPr>
      <w:r w:rsidRPr="003B1372">
        <w:rPr>
          <w:lang w:val="fr-FR"/>
        </w:rPr>
        <w:t>6.</w:t>
      </w:r>
      <w:r w:rsidRPr="003B1372">
        <w:rPr>
          <w:lang w:val="fr-FR"/>
        </w:rPr>
        <w:tab/>
        <w:t xml:space="preserve">La Réunion commune a repris à son compte les conclusions et recommandations du Groupe de travail, dont le rapport </w:t>
      </w:r>
      <w:r w:rsidR="00403E71">
        <w:rPr>
          <w:lang w:val="fr-FR"/>
        </w:rPr>
        <w:t>et reproduit à l’annexe I en tant qu’additif 1</w:t>
      </w:r>
      <w:r w:rsidRPr="003B1372">
        <w:rPr>
          <w:lang w:val="fr-FR"/>
        </w:rPr>
        <w:t xml:space="preserve"> </w:t>
      </w:r>
      <w:r w:rsidR="00403E71">
        <w:rPr>
          <w:lang w:val="fr-FR"/>
        </w:rPr>
        <w:t xml:space="preserve">au </w:t>
      </w:r>
      <w:r w:rsidRPr="003B1372">
        <w:rPr>
          <w:lang w:val="fr-FR"/>
        </w:rPr>
        <w:t xml:space="preserve">présent rapport. Elle a adopté les propositions 2 et 3, telles que modifiées, ainsi que les propositions 4 et 5 et a donné son accord pour la note faisant référence au certificat de type 3.1, au 6.8.2.6.1, pour la norme EN </w:t>
      </w:r>
      <w:proofErr w:type="gramStart"/>
      <w:r w:rsidRPr="003B1372">
        <w:rPr>
          <w:lang w:val="fr-FR"/>
        </w:rPr>
        <w:t>14025:</w:t>
      </w:r>
      <w:proofErr w:type="gramEnd"/>
      <w:r w:rsidRPr="003B1372">
        <w:rPr>
          <w:lang w:val="fr-FR"/>
        </w:rPr>
        <w:t xml:space="preserve">2018 (voir annexe II), ainsi que pour le projet de </w:t>
      </w:r>
      <w:r w:rsidR="0028734F">
        <w:rPr>
          <w:lang w:val="fr-FR"/>
        </w:rPr>
        <w:t>ligne directrice</w:t>
      </w:r>
      <w:r w:rsidRPr="003B1372">
        <w:rPr>
          <w:lang w:val="fr-FR"/>
        </w:rPr>
        <w:t xml:space="preserve"> de la proposition 1, telle que modifiée (voir annexe III). </w:t>
      </w:r>
    </w:p>
    <w:p w:rsidR="009427E3" w:rsidRDefault="009427E3" w:rsidP="009427E3">
      <w:pPr>
        <w:pStyle w:val="HChG"/>
        <w:ind w:hanging="567"/>
        <w:rPr>
          <w:lang w:val="fr-FR"/>
        </w:rPr>
      </w:pPr>
      <w:r w:rsidRPr="003B1372">
        <w:rPr>
          <w:lang w:val="fr-FR"/>
        </w:rPr>
        <w:t>IV.</w:t>
      </w:r>
      <w:r w:rsidRPr="003B1372">
        <w:rPr>
          <w:lang w:val="fr-FR"/>
        </w:rPr>
        <w:tab/>
        <w:t>Normes (point 3 de l’ordre du jour)</w:t>
      </w:r>
    </w:p>
    <w:p w:rsidR="009427E3" w:rsidRPr="00A43524" w:rsidRDefault="009427E3" w:rsidP="00966ADF">
      <w:pPr>
        <w:pStyle w:val="SingleTxtG"/>
        <w:tabs>
          <w:tab w:val="left" w:pos="3119"/>
        </w:tabs>
        <w:ind w:left="3119" w:hanging="1985"/>
        <w:jc w:val="left"/>
        <w:rPr>
          <w:i/>
          <w:iCs/>
          <w:lang w:val="fr-FR"/>
        </w:rPr>
      </w:pPr>
      <w:r w:rsidRPr="003B1372">
        <w:rPr>
          <w:i/>
          <w:iCs/>
          <w:lang w:val="fr-FR"/>
        </w:rPr>
        <w:t>Document</w:t>
      </w:r>
      <w:r w:rsidRPr="00A43524">
        <w:rPr>
          <w:i/>
          <w:iCs/>
          <w:lang w:val="fr-FR"/>
        </w:rPr>
        <w:t> :</w:t>
      </w:r>
      <w:r w:rsidRPr="00A43524">
        <w:rPr>
          <w:i/>
          <w:iCs/>
          <w:lang w:val="fr-FR"/>
        </w:rPr>
        <w:tab/>
      </w:r>
      <w:r w:rsidRPr="00A43524">
        <w:rPr>
          <w:lang w:val="fr-FR"/>
        </w:rPr>
        <w:t>ECE/TRANS/WP.15/AC.1/2018/28 (CEN)</w:t>
      </w:r>
    </w:p>
    <w:p w:rsidR="009427E3" w:rsidRPr="00364FEF" w:rsidRDefault="009427E3" w:rsidP="00966ADF">
      <w:pPr>
        <w:pStyle w:val="SingleTxtG"/>
        <w:tabs>
          <w:tab w:val="left" w:pos="3119"/>
        </w:tabs>
        <w:ind w:left="3119" w:hanging="1985"/>
        <w:jc w:val="left"/>
        <w:rPr>
          <w:lang w:val="fr-FR"/>
        </w:rPr>
      </w:pPr>
      <w:r w:rsidRPr="003B1372">
        <w:rPr>
          <w:i/>
          <w:iCs/>
          <w:lang w:val="fr-FR"/>
        </w:rPr>
        <w:t>Document informel</w:t>
      </w:r>
      <w:r w:rsidRPr="003B1372">
        <w:rPr>
          <w:lang w:val="fr-FR"/>
        </w:rPr>
        <w:t> :</w:t>
      </w:r>
      <w:r w:rsidRPr="003B1372">
        <w:rPr>
          <w:lang w:val="fr-FR"/>
        </w:rPr>
        <w:tab/>
        <w:t>INF.15 (CEN)</w:t>
      </w:r>
    </w:p>
    <w:p w:rsidR="009427E3" w:rsidRPr="00364FEF" w:rsidRDefault="009427E3" w:rsidP="009427E3">
      <w:pPr>
        <w:pStyle w:val="SingleTxtG"/>
        <w:rPr>
          <w:lang w:val="fr-FR"/>
        </w:rPr>
      </w:pPr>
      <w:r w:rsidRPr="003B1372">
        <w:rPr>
          <w:lang w:val="fr-FR"/>
        </w:rPr>
        <w:t>7.</w:t>
      </w:r>
      <w:r w:rsidRPr="003B1372">
        <w:rPr>
          <w:lang w:val="fr-FR"/>
        </w:rPr>
        <w:tab/>
        <w:t>La Réunion commune a été informée que le nouveau système pour les consultants des normes harmonisées (consultants HAS) créé par la Commission européenne était applicable depuis le 1</w:t>
      </w:r>
      <w:r w:rsidRPr="003B1372">
        <w:rPr>
          <w:vertAlign w:val="superscript"/>
          <w:lang w:val="fr-FR"/>
        </w:rPr>
        <w:t>er</w:t>
      </w:r>
      <w:r w:rsidRPr="003B1372">
        <w:rPr>
          <w:lang w:val="fr-FR"/>
        </w:rPr>
        <w:t xml:space="preserve"> avril 2018 ; elle a noté qu’à ce jour aucun consultant HAS ayant l’expérience voulue des questions relatives aux normes intéressant les travaux de la Réunion commune n’avait été identifié. </w:t>
      </w:r>
    </w:p>
    <w:p w:rsidR="009427E3" w:rsidRPr="00364FEF" w:rsidRDefault="009427E3" w:rsidP="009427E3">
      <w:pPr>
        <w:pStyle w:val="SingleTxtG"/>
        <w:rPr>
          <w:lang w:val="fr-FR"/>
        </w:rPr>
      </w:pPr>
      <w:r w:rsidRPr="003B1372">
        <w:rPr>
          <w:lang w:val="fr-FR"/>
        </w:rPr>
        <w:t>8.</w:t>
      </w:r>
      <w:r w:rsidRPr="003B1372">
        <w:rPr>
          <w:lang w:val="fr-FR"/>
        </w:rPr>
        <w:tab/>
        <w:t xml:space="preserve">Le rôle du consultant HAS est d’aider la Commission européenne à se prononcer sur les normes susceptibles d’être citées dans la législation de l’Union européenne (UE) et sur leur effet juridique éventuel. Les consultants HAS auraient pour tâche principale d’évaluer : </w:t>
      </w:r>
    </w:p>
    <w:p w:rsidR="009427E3" w:rsidRPr="00364FEF" w:rsidRDefault="009427E3" w:rsidP="009427E3">
      <w:pPr>
        <w:pStyle w:val="SingleTxtG"/>
        <w:ind w:firstLine="567"/>
        <w:rPr>
          <w:lang w:val="fr-FR"/>
        </w:rPr>
      </w:pPr>
      <w:r w:rsidRPr="003B1372">
        <w:rPr>
          <w:lang w:val="fr-FR"/>
        </w:rPr>
        <w:t>a)</w:t>
      </w:r>
      <w:r w:rsidRPr="003B1372">
        <w:rPr>
          <w:lang w:val="fr-FR"/>
        </w:rPr>
        <w:tab/>
        <w:t>Dans quelle mesure les normes (ou des parties de ces normes) élaborées par les organismes de normalisation européens (CEN, Comité européen de normalisation électrotechnique (CENELEC) et Institut européen des normes de télécommunication</w:t>
      </w:r>
      <w:r>
        <w:rPr>
          <w:lang w:val="fr-FR"/>
        </w:rPr>
        <w:t xml:space="preserve"> (ETSI)</w:t>
      </w:r>
      <w:r w:rsidRPr="003B1372">
        <w:rPr>
          <w:lang w:val="fr-FR"/>
        </w:rPr>
        <w:t xml:space="preserve">) satisfont aux exigences de la Commission ; </w:t>
      </w:r>
    </w:p>
    <w:p w:rsidR="009427E3" w:rsidRPr="00364FEF" w:rsidRDefault="009427E3" w:rsidP="009427E3">
      <w:pPr>
        <w:pStyle w:val="SingleTxtG"/>
        <w:ind w:firstLine="567"/>
        <w:rPr>
          <w:lang w:val="fr-FR"/>
        </w:rPr>
      </w:pPr>
      <w:r w:rsidRPr="003B1372">
        <w:rPr>
          <w:lang w:val="fr-FR"/>
        </w:rPr>
        <w:t xml:space="preserve">b) </w:t>
      </w:r>
      <w:r w:rsidRPr="003B1372">
        <w:rPr>
          <w:lang w:val="fr-FR"/>
        </w:rPr>
        <w:tab/>
        <w:t>Dans quelle mesure ces normes tiennent compte des exigences pertinentes essentielles et autres fixées par la législation pertinente de l’UE et y répondent.</w:t>
      </w:r>
    </w:p>
    <w:p w:rsidR="009427E3" w:rsidRPr="00364FEF" w:rsidRDefault="009427E3" w:rsidP="009427E3">
      <w:pPr>
        <w:pStyle w:val="SingleTxtG"/>
        <w:rPr>
          <w:lang w:val="fr-FR"/>
        </w:rPr>
      </w:pPr>
      <w:r w:rsidRPr="003B1372">
        <w:rPr>
          <w:lang w:val="fr-FR"/>
        </w:rPr>
        <w:t>9.</w:t>
      </w:r>
      <w:r w:rsidRPr="003B1372">
        <w:rPr>
          <w:lang w:val="fr-FR"/>
        </w:rPr>
        <w:tab/>
        <w:t xml:space="preserve">La Réunion commune a noté qu’il ne serait pas permis aux consultants HAS de recevoir des conseils de tierces parties ou de divulguer leurs conclusions à l’extérieur de la Commission européenne. En outre, plusieurs délégations, soulignant qu’il n’entrait pas dans les attributions des consultants HAS d’évaluer l’applicabilité d’une norme donnée aux fins des Règlements RID/ADR/ADN, ont estimé qu’un nouveau dispositif de services consultatifs extérieur au cadre HAS était nécessaire. </w:t>
      </w:r>
    </w:p>
    <w:p w:rsidR="009427E3" w:rsidRPr="00364FEF" w:rsidRDefault="009427E3" w:rsidP="009E6341">
      <w:pPr>
        <w:pStyle w:val="SingleTxtG"/>
        <w:rPr>
          <w:lang w:val="fr-FR"/>
        </w:rPr>
      </w:pPr>
      <w:r w:rsidRPr="003B1372">
        <w:rPr>
          <w:lang w:val="fr-FR"/>
        </w:rPr>
        <w:t>10.</w:t>
      </w:r>
      <w:r w:rsidRPr="003B1372">
        <w:rPr>
          <w:lang w:val="fr-FR"/>
        </w:rPr>
        <w:tab/>
        <w:t xml:space="preserve">Compte tenu de ce qui précède et à l’issue d’un échange de vues sur les voies possibles, la Réunion commune a invité le représentant du CEN à vérifier si un consultant du CEN (choisi parmi son personnel ou parmi des représentants de ses États membres ou d’associations professionnelles) pouvait continuer à faire le travail de vérification de la compatibilité des projets de normes avec les prescriptions du RID, de l’ADR et de l’ADN, comme c’était le cas avant le lancement du nouveau dispositif de consultants HAS. </w:t>
      </w:r>
      <w:r w:rsidRPr="003B1372">
        <w:rPr>
          <w:lang w:val="fr-FR"/>
        </w:rPr>
        <w:lastRenderedPageBreak/>
        <w:t xml:space="preserve">Le représentant du CEN a indiqué qu’il ferait le point à ce sujet, avec la Réunion commune, à sa session du printemps 2019. </w:t>
      </w:r>
    </w:p>
    <w:p w:rsidR="009427E3" w:rsidRPr="00364FEF" w:rsidRDefault="009427E3" w:rsidP="009427E3">
      <w:pPr>
        <w:pStyle w:val="SingleTxtG"/>
        <w:rPr>
          <w:lang w:val="fr-FR"/>
        </w:rPr>
      </w:pPr>
      <w:r w:rsidRPr="003B1372">
        <w:rPr>
          <w:lang w:val="fr-FR"/>
        </w:rPr>
        <w:t>11.</w:t>
      </w:r>
      <w:r w:rsidRPr="003B1372">
        <w:rPr>
          <w:lang w:val="fr-FR"/>
        </w:rPr>
        <w:tab/>
        <w:t xml:space="preserve">La Réunion commune a invité le Groupe de travail sur les normes à examiner les observations formulées lors du débat en plénière et, dans la mesure du possible, à donner son avis avant la fin de la session. </w:t>
      </w:r>
    </w:p>
    <w:p w:rsidR="009427E3" w:rsidRPr="003B1372" w:rsidRDefault="009427E3" w:rsidP="009427E3">
      <w:pPr>
        <w:pStyle w:val="SingleTxtG"/>
        <w:rPr>
          <w:lang w:val="fr-FR"/>
        </w:rPr>
      </w:pPr>
      <w:r w:rsidRPr="003B1372">
        <w:rPr>
          <w:lang w:val="fr-FR"/>
        </w:rPr>
        <w:t>12.</w:t>
      </w:r>
      <w:r w:rsidRPr="003B1372">
        <w:rPr>
          <w:lang w:val="fr-FR"/>
        </w:rPr>
        <w:tab/>
        <w:t>L’examen de tous les documents relatifs au point 3 de l’ordre du jour a été confié au Groupe de travail sur les normes, qui s’est réuni pendant les pauses-déjeuner.</w:t>
      </w:r>
    </w:p>
    <w:p w:rsidR="009427E3" w:rsidRPr="00364FEF" w:rsidRDefault="009427E3" w:rsidP="009427E3">
      <w:pPr>
        <w:pStyle w:val="H1G"/>
        <w:rPr>
          <w:lang w:val="fr-FR"/>
        </w:rPr>
      </w:pPr>
      <w:r w:rsidRPr="003B1372">
        <w:rPr>
          <w:lang w:val="fr-FR"/>
        </w:rPr>
        <w:tab/>
      </w:r>
      <w:r w:rsidRPr="003B1372">
        <w:rPr>
          <w:lang w:val="fr-FR"/>
        </w:rPr>
        <w:tab/>
        <w:t>Rapport du Groupe de travail sur les normes</w:t>
      </w:r>
    </w:p>
    <w:p w:rsidR="009427E3" w:rsidRPr="00364FEF" w:rsidRDefault="009427E3" w:rsidP="00966ADF">
      <w:pPr>
        <w:pStyle w:val="SingleTxtG"/>
        <w:keepNext/>
        <w:keepLines/>
        <w:tabs>
          <w:tab w:val="left" w:pos="3119"/>
        </w:tabs>
        <w:rPr>
          <w:lang w:val="fr-FR"/>
        </w:rPr>
      </w:pPr>
      <w:r w:rsidRPr="00364FEF">
        <w:rPr>
          <w:i/>
          <w:iCs/>
          <w:lang w:val="fr-FR"/>
        </w:rPr>
        <w:t>Document informel :</w:t>
      </w:r>
      <w:r w:rsidRPr="003B1372">
        <w:rPr>
          <w:lang w:val="fr-FR"/>
        </w:rPr>
        <w:t xml:space="preserve"> </w:t>
      </w:r>
      <w:r w:rsidRPr="003B1372">
        <w:rPr>
          <w:lang w:val="fr-FR"/>
        </w:rPr>
        <w:tab/>
        <w:t>INF.29 (Rapport du Groupe de travail sur les normes)</w:t>
      </w:r>
    </w:p>
    <w:p w:rsidR="009427E3" w:rsidRPr="00364FEF" w:rsidRDefault="009427E3" w:rsidP="009427E3">
      <w:pPr>
        <w:pStyle w:val="SingleTxtG"/>
        <w:keepNext/>
        <w:rPr>
          <w:lang w:val="fr-FR"/>
        </w:rPr>
      </w:pPr>
      <w:r w:rsidRPr="003B1372">
        <w:rPr>
          <w:lang w:val="fr-FR"/>
        </w:rPr>
        <w:t>13.</w:t>
      </w:r>
      <w:r w:rsidRPr="003B1372">
        <w:rPr>
          <w:lang w:val="fr-FR"/>
        </w:rPr>
        <w:tab/>
        <w:t>La Réunion commune a adopté les propositions du Groupe de travail comme suit :</w:t>
      </w:r>
    </w:p>
    <w:p w:rsidR="009427E3" w:rsidRPr="00364FEF" w:rsidRDefault="009427E3" w:rsidP="009427E3">
      <w:pPr>
        <w:pStyle w:val="SingleTxtG"/>
        <w:ind w:firstLine="567"/>
        <w:rPr>
          <w:lang w:val="fr-FR"/>
        </w:rPr>
      </w:pPr>
      <w:r w:rsidRPr="003B1372">
        <w:rPr>
          <w:lang w:val="fr-FR"/>
        </w:rPr>
        <w:t>a)</w:t>
      </w:r>
      <w:r w:rsidRPr="003B1372">
        <w:rPr>
          <w:lang w:val="fr-FR"/>
        </w:rPr>
        <w:tab/>
        <w:t>Propositions 1 et 2 : adoptées sans modifications (voir annexe II) ;</w:t>
      </w:r>
    </w:p>
    <w:p w:rsidR="009427E3" w:rsidRPr="00364FEF" w:rsidRDefault="009427E3" w:rsidP="009427E3">
      <w:pPr>
        <w:pStyle w:val="SingleTxtG"/>
        <w:ind w:firstLine="567"/>
        <w:rPr>
          <w:lang w:val="fr-FR"/>
        </w:rPr>
      </w:pPr>
      <w:r w:rsidRPr="003B1372">
        <w:rPr>
          <w:lang w:val="fr-FR"/>
        </w:rPr>
        <w:t>b)</w:t>
      </w:r>
      <w:r w:rsidRPr="003B1372">
        <w:rPr>
          <w:lang w:val="fr-FR"/>
        </w:rPr>
        <w:tab/>
        <w:t xml:space="preserve">Proposition 3 : adoptée, moyennant la suppression de la note sur les « véhicules-citernes routiers » à la colonne (2) pour la norme EN </w:t>
      </w:r>
      <w:proofErr w:type="gramStart"/>
      <w:r w:rsidRPr="003B1372">
        <w:rPr>
          <w:lang w:val="fr-FR"/>
        </w:rPr>
        <w:t>12493:</w:t>
      </w:r>
      <w:proofErr w:type="gramEnd"/>
      <w:r w:rsidRPr="003B1372">
        <w:rPr>
          <w:lang w:val="fr-FR"/>
        </w:rPr>
        <w:t>2013+A1:2014+AC:2015 et un amendement corollaire au 6.8.4 d), disposition spéciale TT11 (voir annexe II) ;</w:t>
      </w:r>
    </w:p>
    <w:p w:rsidR="009427E3" w:rsidRPr="00364FEF" w:rsidRDefault="009427E3" w:rsidP="009427E3">
      <w:pPr>
        <w:pStyle w:val="SingleTxtG"/>
        <w:ind w:firstLine="567"/>
        <w:rPr>
          <w:lang w:val="fr-FR"/>
        </w:rPr>
      </w:pPr>
      <w:r w:rsidRPr="003B1372">
        <w:rPr>
          <w:lang w:val="fr-FR"/>
        </w:rPr>
        <w:t>c)</w:t>
      </w:r>
      <w:r w:rsidRPr="003B1372">
        <w:rPr>
          <w:lang w:val="fr-FR"/>
        </w:rPr>
        <w:tab/>
        <w:t xml:space="preserve">Proposition </w:t>
      </w:r>
      <w:r w:rsidR="00403E71">
        <w:rPr>
          <w:lang w:val="fr-FR"/>
        </w:rPr>
        <w:t>sous le point 5</w:t>
      </w:r>
      <w:r w:rsidRPr="003B1372">
        <w:rPr>
          <w:lang w:val="fr-FR"/>
        </w:rPr>
        <w:t xml:space="preserve">.3.1 : adoptée, moyennant une modification apportée à la note placée sous le titre correspondant à la référence EN </w:t>
      </w:r>
      <w:proofErr w:type="gramStart"/>
      <w:r w:rsidRPr="003B1372">
        <w:rPr>
          <w:lang w:val="fr-FR"/>
        </w:rPr>
        <w:t>14205:</w:t>
      </w:r>
      <w:proofErr w:type="gramEnd"/>
      <w:r w:rsidRPr="003B1372">
        <w:rPr>
          <w:lang w:val="fr-FR"/>
        </w:rPr>
        <w:t>2018 (voir annexe II) ;</w:t>
      </w:r>
    </w:p>
    <w:p w:rsidR="009427E3" w:rsidRPr="00364FEF" w:rsidRDefault="009427E3" w:rsidP="009427E3">
      <w:pPr>
        <w:pStyle w:val="SingleTxtG"/>
        <w:ind w:firstLine="567"/>
        <w:rPr>
          <w:lang w:val="fr-FR"/>
        </w:rPr>
      </w:pPr>
      <w:r w:rsidRPr="003B1372">
        <w:rPr>
          <w:lang w:val="fr-FR"/>
        </w:rPr>
        <w:t>d)</w:t>
      </w:r>
      <w:r w:rsidRPr="003B1372">
        <w:rPr>
          <w:lang w:val="fr-FR"/>
        </w:rPr>
        <w:tab/>
      </w:r>
      <w:r w:rsidRPr="003B1372">
        <w:rPr>
          <w:spacing w:val="-1"/>
          <w:lang w:val="fr-FR"/>
        </w:rPr>
        <w:t xml:space="preserve">Propositions </w:t>
      </w:r>
      <w:r w:rsidR="00403E71">
        <w:rPr>
          <w:spacing w:val="-1"/>
          <w:lang w:val="fr-FR"/>
        </w:rPr>
        <w:t>sous les</w:t>
      </w:r>
      <w:r w:rsidRPr="003B1372">
        <w:rPr>
          <w:spacing w:val="-1"/>
          <w:lang w:val="fr-FR"/>
        </w:rPr>
        <w:t xml:space="preserve"> points 5.3.2, 5.3.3, 5.3.4, 5.3.5 et 5.3.6 : adoptées sans modifications (voir annexe II).</w:t>
      </w:r>
    </w:p>
    <w:p w:rsidR="009427E3" w:rsidRPr="003B1372" w:rsidRDefault="009427E3" w:rsidP="009427E3">
      <w:pPr>
        <w:pStyle w:val="SingleTxtG"/>
        <w:rPr>
          <w:rFonts w:asciiTheme="majorBidi" w:hAnsiTheme="majorBidi" w:cstheme="majorBidi"/>
          <w:lang w:val="fr-FR"/>
        </w:rPr>
      </w:pPr>
      <w:r w:rsidRPr="003B1372">
        <w:rPr>
          <w:lang w:val="fr-FR"/>
        </w:rPr>
        <w:t>14.</w:t>
      </w:r>
      <w:r w:rsidRPr="003B1372">
        <w:rPr>
          <w:lang w:val="fr-FR"/>
        </w:rPr>
        <w:tab/>
        <w:t>La Réunion commune a en outre pris note des résultats des discussions du Groupe de travail au sujet des problèmes liés à l’absence d’un consultant compétent. Elle a considéré comme le Groupe de travail qu’il était important de disposer des compétences requises pour apporter une aide à l’examen des normes dans le cadre du RID/ADR/ADN et a réaffirmé son souhait qu’une solution puisse être trouvée au plus tôt</w:t>
      </w:r>
      <w:r w:rsidRPr="003B1372">
        <w:rPr>
          <w:rFonts w:asciiTheme="majorBidi" w:hAnsiTheme="majorBidi" w:cstheme="majorBidi"/>
          <w:lang w:val="fr-FR"/>
        </w:rPr>
        <w:t>.</w:t>
      </w:r>
      <w:r w:rsidRPr="003B1372">
        <w:rPr>
          <w:rFonts w:asciiTheme="majorBidi" w:hAnsiTheme="majorBidi" w:cstheme="majorBidi"/>
          <w:color w:val="212121"/>
          <w:lang w:val="fr-FR"/>
        </w:rPr>
        <w:t xml:space="preserve"> La réunion commune a invité les délégués à discuter avec leurs organismes nationaux de normalisation des modalités de financement du consultant par le CEN/CENELEC.</w:t>
      </w:r>
    </w:p>
    <w:p w:rsidR="009427E3" w:rsidRPr="003B1372" w:rsidRDefault="009427E3" w:rsidP="009427E3">
      <w:pPr>
        <w:pStyle w:val="HChG"/>
        <w:rPr>
          <w:lang w:val="fr-FR"/>
        </w:rPr>
      </w:pPr>
      <w:r w:rsidRPr="003B1372">
        <w:rPr>
          <w:lang w:val="fr-FR"/>
        </w:rPr>
        <w:tab/>
        <w:t>V.</w:t>
      </w:r>
      <w:r w:rsidRPr="003B1372">
        <w:rPr>
          <w:lang w:val="fr-FR"/>
        </w:rPr>
        <w:tab/>
        <w:t>Interprétation du RID/ADR/ADN (point 4 de l’ordre du jour)</w:t>
      </w:r>
    </w:p>
    <w:p w:rsidR="009427E3" w:rsidRPr="003B1372" w:rsidRDefault="009427E3" w:rsidP="009427E3">
      <w:pPr>
        <w:pStyle w:val="SingleTxtG"/>
        <w:rPr>
          <w:lang w:val="fr-FR"/>
        </w:rPr>
      </w:pPr>
      <w:r w:rsidRPr="003B1372">
        <w:rPr>
          <w:lang w:val="fr-FR"/>
        </w:rPr>
        <w:t>15.</w:t>
      </w:r>
      <w:r w:rsidRPr="003B1372">
        <w:rPr>
          <w:lang w:val="fr-FR"/>
        </w:rPr>
        <w:tab/>
        <w:t>Aucun document n’ayant été soumis au titre de ce point de l’ordre du jour, cette question n’a pas été abordée.</w:t>
      </w:r>
    </w:p>
    <w:p w:rsidR="009427E3" w:rsidRPr="003B1372" w:rsidRDefault="009427E3" w:rsidP="009427E3">
      <w:pPr>
        <w:pStyle w:val="HChG"/>
        <w:rPr>
          <w:lang w:val="fr-FR"/>
        </w:rPr>
      </w:pPr>
      <w:r w:rsidRPr="003B1372">
        <w:rPr>
          <w:lang w:val="fr-FR"/>
        </w:rPr>
        <w:tab/>
        <w:t>VI.</w:t>
      </w:r>
      <w:r w:rsidRPr="003B1372">
        <w:rPr>
          <w:lang w:val="fr-FR"/>
        </w:rPr>
        <w:tab/>
        <w:t>Propositions d’amendements au RID/ADR/ADN (point 5 de l’ordre du jour)</w:t>
      </w:r>
    </w:p>
    <w:p w:rsidR="009427E3" w:rsidRPr="003B1372" w:rsidRDefault="009427E3" w:rsidP="009427E3">
      <w:pPr>
        <w:pStyle w:val="H1G"/>
        <w:rPr>
          <w:lang w:val="fr-FR"/>
        </w:rPr>
      </w:pPr>
      <w:r w:rsidRPr="003B1372">
        <w:rPr>
          <w:lang w:val="fr-FR"/>
        </w:rPr>
        <w:tab/>
        <w:t>A.</w:t>
      </w:r>
      <w:r w:rsidRPr="003B1372">
        <w:rPr>
          <w:lang w:val="fr-FR"/>
        </w:rPr>
        <w:tab/>
        <w:t>Questions en suspens</w:t>
      </w:r>
    </w:p>
    <w:p w:rsidR="009427E3" w:rsidRPr="003B1372" w:rsidRDefault="009427E3" w:rsidP="009427E3">
      <w:pPr>
        <w:pStyle w:val="H23G"/>
        <w:rPr>
          <w:lang w:val="fr-FR"/>
        </w:rPr>
      </w:pPr>
      <w:r w:rsidRPr="003B1372">
        <w:rPr>
          <w:lang w:val="fr-FR"/>
        </w:rPr>
        <w:tab/>
        <w:t>1.</w:t>
      </w:r>
      <w:r w:rsidRPr="003B1372">
        <w:rPr>
          <w:lang w:val="fr-FR"/>
        </w:rPr>
        <w:tab/>
        <w:t xml:space="preserve">État d’avancement de la publication des normes qui n’avaient pas été publiées à temps pour figurer dans la liste d’amendements devant être notifiée aux Parties contractantes pour </w:t>
      </w:r>
      <w:proofErr w:type="spellStart"/>
      <w:r w:rsidRPr="003B1372">
        <w:rPr>
          <w:lang w:val="fr-FR"/>
        </w:rPr>
        <w:t>entrée</w:t>
      </w:r>
      <w:proofErr w:type="spellEnd"/>
      <w:r w:rsidRPr="003B1372">
        <w:rPr>
          <w:lang w:val="fr-FR"/>
        </w:rPr>
        <w:t xml:space="preserve"> en vigueur le 1</w:t>
      </w:r>
      <w:r w:rsidRPr="003B1372">
        <w:rPr>
          <w:vertAlign w:val="superscript"/>
          <w:lang w:val="fr-FR"/>
        </w:rPr>
        <w:t>er</w:t>
      </w:r>
      <w:r w:rsidRPr="003B1372">
        <w:rPr>
          <w:lang w:val="fr-FR"/>
        </w:rPr>
        <w:t xml:space="preserve"> janvier 2019 </w:t>
      </w:r>
    </w:p>
    <w:p w:rsidR="009427E3" w:rsidRPr="003B1372" w:rsidRDefault="009427E3" w:rsidP="00966ADF">
      <w:pPr>
        <w:pStyle w:val="SingleTxtG"/>
        <w:tabs>
          <w:tab w:val="left" w:pos="3119"/>
        </w:tabs>
        <w:spacing w:after="0"/>
        <w:ind w:left="3119" w:hanging="1985"/>
        <w:jc w:val="left"/>
        <w:rPr>
          <w:lang w:val="fr-FR"/>
        </w:rPr>
      </w:pPr>
      <w:r w:rsidRPr="003B1372">
        <w:rPr>
          <w:i/>
          <w:lang w:val="fr-FR"/>
        </w:rPr>
        <w:t>Documents</w:t>
      </w:r>
      <w:r w:rsidRPr="003B1372">
        <w:rPr>
          <w:lang w:val="fr-FR"/>
        </w:rPr>
        <w:t> :</w:t>
      </w:r>
      <w:r w:rsidRPr="003B1372">
        <w:rPr>
          <w:lang w:val="fr-FR"/>
        </w:rPr>
        <w:tab/>
        <w:t>ECE/TRANS/WP.15/242, paragraphes 13 et 43 et annexes III et IV (secrétariat)</w:t>
      </w:r>
    </w:p>
    <w:p w:rsidR="009427E3" w:rsidRPr="003B1372" w:rsidRDefault="009427E3" w:rsidP="00966ADF">
      <w:pPr>
        <w:pStyle w:val="SingleTxtG"/>
        <w:spacing w:after="0"/>
        <w:ind w:left="3119" w:hanging="1985"/>
        <w:jc w:val="left"/>
        <w:rPr>
          <w:lang w:val="fr-FR"/>
        </w:rPr>
      </w:pPr>
      <w:r w:rsidRPr="003B1372">
        <w:rPr>
          <w:lang w:val="fr-FR"/>
        </w:rPr>
        <w:lastRenderedPageBreak/>
        <w:tab/>
        <w:t xml:space="preserve">OTIF/RID/CE/GTP/2018-A, paragraphe 8 et annexe II </w:t>
      </w:r>
      <w:r w:rsidRPr="003B1372">
        <w:rPr>
          <w:lang w:val="fr-FR"/>
        </w:rPr>
        <w:br/>
        <w:t xml:space="preserve">(secrétariat de l’OTIF) </w:t>
      </w:r>
    </w:p>
    <w:p w:rsidR="009427E3" w:rsidRPr="003B1372" w:rsidRDefault="00966ADF" w:rsidP="00966ADF">
      <w:pPr>
        <w:pStyle w:val="SingleTxtG"/>
        <w:tabs>
          <w:tab w:val="left" w:pos="3119"/>
        </w:tabs>
        <w:spacing w:after="0"/>
        <w:ind w:left="3119" w:hanging="1985"/>
        <w:jc w:val="left"/>
        <w:rPr>
          <w:lang w:val="fr-FR"/>
        </w:rPr>
      </w:pPr>
      <w:r>
        <w:rPr>
          <w:lang w:val="fr-FR"/>
        </w:rPr>
        <w:tab/>
      </w:r>
      <w:r w:rsidR="009427E3" w:rsidRPr="003B1372">
        <w:rPr>
          <w:lang w:val="fr-FR"/>
        </w:rPr>
        <w:t>OTIF/RID/CE/2018-A, paragraphes 6 et 8 (secrétariat de l’OTIF)</w:t>
      </w:r>
    </w:p>
    <w:p w:rsidR="009427E3" w:rsidRPr="003B1372" w:rsidRDefault="009427E3" w:rsidP="00966ADF">
      <w:pPr>
        <w:pStyle w:val="SingleTxtG"/>
        <w:ind w:left="3119" w:hanging="1985"/>
        <w:jc w:val="left"/>
        <w:rPr>
          <w:lang w:val="fr-FR"/>
        </w:rPr>
      </w:pPr>
      <w:r w:rsidRPr="003B1372">
        <w:rPr>
          <w:lang w:val="fr-FR"/>
        </w:rPr>
        <w:tab/>
        <w:t>ECE/TRANS/WP.15/AC.1/2018/29 (France)</w:t>
      </w:r>
    </w:p>
    <w:p w:rsidR="009427E3" w:rsidRPr="003B1372" w:rsidRDefault="009427E3" w:rsidP="00966ADF">
      <w:pPr>
        <w:pStyle w:val="SingleTxtG"/>
        <w:spacing w:after="0"/>
        <w:ind w:left="3119" w:hanging="1985"/>
        <w:jc w:val="left"/>
        <w:rPr>
          <w:lang w:val="fr-FR"/>
        </w:rPr>
      </w:pPr>
      <w:r w:rsidRPr="003B1372">
        <w:rPr>
          <w:i/>
          <w:lang w:val="fr-FR"/>
        </w:rPr>
        <w:t>Documents informels</w:t>
      </w:r>
      <w:r w:rsidRPr="003B1372">
        <w:rPr>
          <w:lang w:val="fr-FR"/>
        </w:rPr>
        <w:t> :</w:t>
      </w:r>
      <w:r w:rsidRPr="003B1372">
        <w:rPr>
          <w:lang w:val="fr-FR"/>
        </w:rPr>
        <w:tab/>
        <w:t>INF.12 (France)</w:t>
      </w:r>
    </w:p>
    <w:p w:rsidR="009427E3" w:rsidRPr="003B1372" w:rsidRDefault="009427E3" w:rsidP="00966ADF">
      <w:pPr>
        <w:pStyle w:val="SingleTxtG"/>
        <w:ind w:left="3119" w:hanging="1985"/>
        <w:jc w:val="left"/>
        <w:rPr>
          <w:lang w:val="fr-FR"/>
        </w:rPr>
      </w:pPr>
      <w:r w:rsidRPr="003B1372">
        <w:rPr>
          <w:lang w:val="fr-FR"/>
        </w:rPr>
        <w:tab/>
        <w:t>INF.16 (AEGPL)</w:t>
      </w:r>
    </w:p>
    <w:p w:rsidR="009427E3" w:rsidRPr="003B1372" w:rsidRDefault="009427E3" w:rsidP="009427E3">
      <w:pPr>
        <w:pStyle w:val="SingleTxtG"/>
        <w:rPr>
          <w:lang w:val="fr-FR"/>
        </w:rPr>
      </w:pPr>
      <w:r w:rsidRPr="003B1372">
        <w:rPr>
          <w:lang w:val="fr-FR"/>
        </w:rPr>
        <w:t>16.</w:t>
      </w:r>
      <w:r w:rsidRPr="003B1372">
        <w:rPr>
          <w:lang w:val="fr-FR"/>
        </w:rPr>
        <w:tab/>
        <w:t>La Réunion commune a noté que les amendements adoptés par le Groupe de travail des transports de marchandises dangereuses (WP.15) à ses 103</w:t>
      </w:r>
      <w:r w:rsidRPr="003B1372">
        <w:rPr>
          <w:vertAlign w:val="superscript"/>
          <w:lang w:val="fr-FR"/>
        </w:rPr>
        <w:t>e</w:t>
      </w:r>
      <w:r w:rsidRPr="003B1372">
        <w:rPr>
          <w:lang w:val="fr-FR"/>
        </w:rPr>
        <w:t xml:space="preserve"> et 104</w:t>
      </w:r>
      <w:r w:rsidRPr="003B1372">
        <w:rPr>
          <w:vertAlign w:val="superscript"/>
          <w:lang w:val="fr-FR"/>
        </w:rPr>
        <w:t>e</w:t>
      </w:r>
      <w:r w:rsidRPr="003B1372">
        <w:rPr>
          <w:lang w:val="fr-FR"/>
        </w:rPr>
        <w:t> sessions et par la Réunion commune à sa session de printemps 2018, concernant des normes nouvelles ou des modifications à des normes citées en référence qui n’avaient toujours pas été publiés le 1</w:t>
      </w:r>
      <w:r w:rsidRPr="003B1372">
        <w:rPr>
          <w:vertAlign w:val="superscript"/>
          <w:lang w:val="fr-FR"/>
        </w:rPr>
        <w:t>er</w:t>
      </w:r>
      <w:r w:rsidRPr="003B1372">
        <w:rPr>
          <w:lang w:val="fr-FR"/>
        </w:rPr>
        <w:t> juin 2018, n’avaient pas pu être inclus dans la liste d’amendements devant être notifiée aux Parties contractantes le 1</w:t>
      </w:r>
      <w:r w:rsidRPr="003B1372">
        <w:rPr>
          <w:vertAlign w:val="superscript"/>
          <w:lang w:val="fr-FR"/>
        </w:rPr>
        <w:t>er</w:t>
      </w:r>
      <w:r w:rsidRPr="003B1372">
        <w:rPr>
          <w:lang w:val="fr-FR"/>
        </w:rPr>
        <w:t xml:space="preserve"> juillet 2018 pour </w:t>
      </w:r>
      <w:proofErr w:type="spellStart"/>
      <w:r w:rsidRPr="003B1372">
        <w:rPr>
          <w:lang w:val="fr-FR"/>
        </w:rPr>
        <w:t>entrée</w:t>
      </w:r>
      <w:proofErr w:type="spellEnd"/>
      <w:r w:rsidRPr="003B1372">
        <w:rPr>
          <w:lang w:val="fr-FR"/>
        </w:rPr>
        <w:t xml:space="preserve"> en vigueur le 1</w:t>
      </w:r>
      <w:r w:rsidRPr="003B1372">
        <w:rPr>
          <w:vertAlign w:val="superscript"/>
          <w:lang w:val="fr-FR"/>
        </w:rPr>
        <w:t>er</w:t>
      </w:r>
      <w:r w:rsidRPr="003B1372">
        <w:rPr>
          <w:lang w:val="fr-FR"/>
        </w:rPr>
        <w:t xml:space="preserve"> janvier 2019. En conséquence, les amendements relatifs aux normes EN ISO </w:t>
      </w:r>
      <w:proofErr w:type="gramStart"/>
      <w:r w:rsidRPr="003B1372">
        <w:rPr>
          <w:lang w:val="fr-FR"/>
        </w:rPr>
        <w:t>17871:</w:t>
      </w:r>
      <w:proofErr w:type="gramEnd"/>
      <w:r w:rsidRPr="003B1372">
        <w:rPr>
          <w:lang w:val="fr-FR"/>
        </w:rPr>
        <w:t>2015+A1:2018, EN 1440:2016 + A1:2018, EN 16728:2016 + A1:2018, EN 13317:2018, EN 14025:2018 et EN 12972:2018 avaient été reproduits séparément dans les annexes III et IV du rapport du WP.15 sur sa 104</w:t>
      </w:r>
      <w:r w:rsidRPr="003B1372">
        <w:rPr>
          <w:vertAlign w:val="superscript"/>
          <w:lang w:val="fr-FR"/>
        </w:rPr>
        <w:t>e</w:t>
      </w:r>
      <w:r w:rsidRPr="003B1372">
        <w:rPr>
          <w:lang w:val="fr-FR"/>
        </w:rPr>
        <w:t xml:space="preserve"> session, en tant que projets d’amendements adoptés par le WP.15 pour </w:t>
      </w:r>
      <w:proofErr w:type="spellStart"/>
      <w:r w:rsidRPr="003B1372">
        <w:rPr>
          <w:lang w:val="fr-FR"/>
        </w:rPr>
        <w:t>entrée</w:t>
      </w:r>
      <w:proofErr w:type="spellEnd"/>
      <w:r w:rsidRPr="003B1372">
        <w:rPr>
          <w:lang w:val="fr-FR"/>
        </w:rPr>
        <w:t xml:space="preserve"> en vigueur dès que possible après la publication des normes concernées. </w:t>
      </w:r>
    </w:p>
    <w:p w:rsidR="009427E3" w:rsidRPr="003B1372" w:rsidRDefault="009427E3" w:rsidP="009427E3">
      <w:pPr>
        <w:pStyle w:val="SingleTxtG"/>
        <w:rPr>
          <w:lang w:val="fr-FR"/>
        </w:rPr>
      </w:pPr>
      <w:r w:rsidRPr="003B1372">
        <w:rPr>
          <w:lang w:val="fr-FR"/>
        </w:rPr>
        <w:t>17.</w:t>
      </w:r>
      <w:r w:rsidRPr="003B1372">
        <w:rPr>
          <w:lang w:val="fr-FR"/>
        </w:rPr>
        <w:tab/>
        <w:t xml:space="preserve">Faisant observer qu’il serait nécessaire d’adresser une notification distincte aux Parties contractantes, plusieurs délégations ont souligné que, en raison des exigences de l’Union européenne et des procédures nationales en matière de transposition des amendements dans le droit interne, on ne pourrait pas garantir que ces dispositions seraient appliquées en temps voulu. Pour ces motifs, la Réunion commune est convenue qu’il serait préférable d’envisager leur adoption pour l’édition 2021 du RID/ADR. </w:t>
      </w:r>
    </w:p>
    <w:p w:rsidR="009427E3" w:rsidRPr="003B1372" w:rsidRDefault="009427E3" w:rsidP="009427E3">
      <w:pPr>
        <w:pStyle w:val="SingleTxtG"/>
        <w:rPr>
          <w:lang w:val="fr-FR"/>
        </w:rPr>
      </w:pPr>
      <w:r w:rsidRPr="003B1372">
        <w:rPr>
          <w:lang w:val="fr-FR"/>
        </w:rPr>
        <w:t>18.</w:t>
      </w:r>
      <w:r w:rsidRPr="003B1372">
        <w:rPr>
          <w:lang w:val="fr-FR"/>
        </w:rPr>
        <w:tab/>
        <w:t xml:space="preserve">La Réunion commune a reconnu toutefois que, dans le cas de la norme EN 12972, les progrès scientifiques et techniques accomplis depuis l’édition 2007 (actuellement citée en référence dans le RID/ADR) justifiaient que les dispositions de l’édition 2018 soient appliquées dès que possible. Il a été noté que le 6.8.2.7 du RID/ADR autorisait les autorités compétentes à </w:t>
      </w:r>
      <w:r w:rsidRPr="00364FEF">
        <w:rPr>
          <w:lang w:val="fr-FR"/>
        </w:rPr>
        <w:t>reconnaître</w:t>
      </w:r>
      <w:r w:rsidRPr="003B1372">
        <w:rPr>
          <w:lang w:val="fr-FR"/>
        </w:rPr>
        <w:t xml:space="preserve"> l’utilisation de normes adoptées pour être citées en référence dans une édition future du RID/ADR. De l’avis général, l’application harmonisée de ces dispositions dans toutes les Parties contractantes/</w:t>
      </w:r>
      <w:r w:rsidR="00403E71">
        <w:rPr>
          <w:lang w:val="fr-FR"/>
        </w:rPr>
        <w:t xml:space="preserve">tous les </w:t>
      </w:r>
      <w:r w:rsidRPr="003B1372">
        <w:rPr>
          <w:lang w:val="fr-FR"/>
        </w:rPr>
        <w:t xml:space="preserve">États </w:t>
      </w:r>
      <w:r w:rsidR="00403E71">
        <w:rPr>
          <w:lang w:val="fr-FR"/>
        </w:rPr>
        <w:t xml:space="preserve">parties </w:t>
      </w:r>
      <w:r w:rsidRPr="003B1372">
        <w:rPr>
          <w:lang w:val="fr-FR"/>
        </w:rPr>
        <w:t>pourrait être assurée en encourageant les organismes de contrôle et d’essai à appliquer la norme EN </w:t>
      </w:r>
      <w:proofErr w:type="gramStart"/>
      <w:r w:rsidRPr="003B1372">
        <w:rPr>
          <w:lang w:val="fr-FR"/>
        </w:rPr>
        <w:t>12972:</w:t>
      </w:r>
      <w:proofErr w:type="gramEnd"/>
      <w:r w:rsidRPr="003B1372">
        <w:rPr>
          <w:lang w:val="fr-FR"/>
        </w:rPr>
        <w:t>2018 à partir d’une date convenue, étant entendu qu’après cette date, seule l’édition 2018 de la norme devrait être utilisée.</w:t>
      </w:r>
    </w:p>
    <w:p w:rsidR="009427E3" w:rsidRPr="003B1372" w:rsidRDefault="009427E3" w:rsidP="009427E3">
      <w:pPr>
        <w:pStyle w:val="SingleTxtG"/>
        <w:rPr>
          <w:lang w:val="fr-FR"/>
        </w:rPr>
      </w:pPr>
      <w:r w:rsidRPr="003B1372">
        <w:rPr>
          <w:lang w:val="fr-FR"/>
        </w:rPr>
        <w:t>19.</w:t>
      </w:r>
      <w:r w:rsidRPr="003B1372">
        <w:rPr>
          <w:lang w:val="fr-FR"/>
        </w:rPr>
        <w:tab/>
        <w:t>La Réunion commune a accueilli avec intérêt une proposition pour l’édition 2021 du RID/ADR, dans laquelle figurent les modifications relatives aux normes mentionnées au paragraphe 16 ci-dessus, y compris leurs dates d’application respective</w:t>
      </w:r>
      <w:r w:rsidR="00403E71">
        <w:rPr>
          <w:lang w:val="fr-FR"/>
        </w:rPr>
        <w:t>s</w:t>
      </w:r>
      <w:r w:rsidRPr="003B1372">
        <w:rPr>
          <w:lang w:val="fr-FR"/>
        </w:rPr>
        <w:t>.</w:t>
      </w:r>
    </w:p>
    <w:p w:rsidR="009427E3" w:rsidRPr="003B1372" w:rsidRDefault="009427E3" w:rsidP="009427E3">
      <w:pPr>
        <w:pStyle w:val="H23G"/>
        <w:rPr>
          <w:lang w:val="fr-FR"/>
        </w:rPr>
      </w:pPr>
      <w:r w:rsidRPr="003B1372">
        <w:rPr>
          <w:lang w:val="fr-FR"/>
        </w:rPr>
        <w:tab/>
        <w:t>2.</w:t>
      </w:r>
      <w:r w:rsidRPr="003B1372">
        <w:rPr>
          <w:lang w:val="fr-FR"/>
        </w:rPr>
        <w:tab/>
        <w:t>Numéro d’identification du danger 836</w:t>
      </w:r>
    </w:p>
    <w:p w:rsidR="009427E3" w:rsidRPr="003B1372" w:rsidRDefault="009427E3" w:rsidP="00966ADF">
      <w:pPr>
        <w:pStyle w:val="SingleTxtG"/>
        <w:tabs>
          <w:tab w:val="left" w:pos="2835"/>
        </w:tabs>
        <w:ind w:left="2835" w:hanging="1701"/>
        <w:jc w:val="left"/>
        <w:rPr>
          <w:lang w:val="fr-FR"/>
        </w:rPr>
      </w:pPr>
      <w:r w:rsidRPr="003B1372">
        <w:rPr>
          <w:i/>
          <w:lang w:val="fr-FR"/>
        </w:rPr>
        <w:t>Document</w:t>
      </w:r>
      <w:r w:rsidRPr="003B1372">
        <w:rPr>
          <w:lang w:val="fr-FR"/>
        </w:rPr>
        <w:t> :</w:t>
      </w:r>
      <w:r w:rsidRPr="003B1372">
        <w:rPr>
          <w:lang w:val="fr-FR"/>
        </w:rPr>
        <w:tab/>
        <w:t>ECE/TRANS/WP.15/AC.1/2018/18 (Espagne)</w:t>
      </w:r>
    </w:p>
    <w:p w:rsidR="009427E3" w:rsidRPr="003B1372" w:rsidRDefault="009427E3" w:rsidP="009427E3">
      <w:pPr>
        <w:pStyle w:val="SingleTxtG"/>
        <w:rPr>
          <w:lang w:val="fr-FR"/>
        </w:rPr>
      </w:pPr>
      <w:r w:rsidRPr="003B1372">
        <w:rPr>
          <w:lang w:val="fr-FR"/>
        </w:rPr>
        <w:t>20.</w:t>
      </w:r>
      <w:r w:rsidRPr="003B1372">
        <w:rPr>
          <w:lang w:val="fr-FR"/>
        </w:rPr>
        <w:tab/>
        <w:t xml:space="preserve">La proposition visant à affecter le numéro d’identification du danger 836 au numéro ONU 2683 a été adoptée (voir annexe II). En réponse à une question du représentant de la Belgique, </w:t>
      </w:r>
      <w:r w:rsidR="00A40367">
        <w:rPr>
          <w:lang w:val="fr-FR"/>
        </w:rPr>
        <w:t xml:space="preserve">la </w:t>
      </w:r>
      <w:r w:rsidRPr="003B1372">
        <w:rPr>
          <w:lang w:val="fr-FR"/>
        </w:rPr>
        <w:t>représentant</w:t>
      </w:r>
      <w:r w:rsidR="00A40367">
        <w:rPr>
          <w:lang w:val="fr-FR"/>
        </w:rPr>
        <w:t>e</w:t>
      </w:r>
      <w:r w:rsidRPr="003B1372">
        <w:rPr>
          <w:lang w:val="fr-FR"/>
        </w:rPr>
        <w:t xml:space="preserve"> de l’Espagne a expliqué que le numéro d’identification proposé était conforme à l’ordre de prépondérance des dangers indiqué au chapitre 2.1.</w:t>
      </w:r>
    </w:p>
    <w:p w:rsidR="009427E3" w:rsidRPr="003B1372" w:rsidRDefault="009427E3" w:rsidP="009427E3">
      <w:pPr>
        <w:pStyle w:val="H1G"/>
        <w:rPr>
          <w:lang w:val="fr-FR"/>
        </w:rPr>
      </w:pPr>
      <w:r w:rsidRPr="003B1372">
        <w:rPr>
          <w:lang w:val="fr-FR"/>
        </w:rPr>
        <w:lastRenderedPageBreak/>
        <w:tab/>
        <w:t>B.</w:t>
      </w:r>
      <w:r w:rsidRPr="003B1372">
        <w:rPr>
          <w:lang w:val="fr-FR"/>
        </w:rPr>
        <w:tab/>
        <w:t>Nouvelles propositions</w:t>
      </w:r>
    </w:p>
    <w:p w:rsidR="009427E3" w:rsidRPr="003B1372" w:rsidRDefault="009427E3" w:rsidP="009427E3">
      <w:pPr>
        <w:pStyle w:val="H23G"/>
        <w:rPr>
          <w:lang w:val="fr-FR"/>
        </w:rPr>
      </w:pPr>
      <w:r w:rsidRPr="003B1372">
        <w:rPr>
          <w:lang w:val="fr-FR"/>
        </w:rPr>
        <w:tab/>
        <w:t>1.</w:t>
      </w:r>
      <w:r w:rsidRPr="003B1372">
        <w:rPr>
          <w:lang w:val="fr-FR"/>
        </w:rPr>
        <w:tab/>
        <w:t>Interdictions de chargement en commun pour les colis dont il n’est pas exigé qu’ils soient munis d’étiquettes de danger (7.5.2.1)</w:t>
      </w:r>
    </w:p>
    <w:p w:rsidR="009427E3" w:rsidRPr="003B1372" w:rsidRDefault="009427E3" w:rsidP="00966ADF">
      <w:pPr>
        <w:pStyle w:val="SingleTxtG"/>
        <w:tabs>
          <w:tab w:val="left" w:pos="3119"/>
        </w:tabs>
        <w:ind w:left="3119" w:hanging="1985"/>
        <w:jc w:val="left"/>
        <w:rPr>
          <w:bCs/>
          <w:lang w:val="fr-FR"/>
        </w:rPr>
      </w:pPr>
      <w:r w:rsidRPr="003B1372">
        <w:rPr>
          <w:i/>
          <w:lang w:val="fr-FR"/>
        </w:rPr>
        <w:t>Document</w:t>
      </w:r>
      <w:r w:rsidRPr="003B1372">
        <w:rPr>
          <w:lang w:val="fr-FR"/>
        </w:rPr>
        <w:t> :</w:t>
      </w:r>
      <w:r w:rsidRPr="003B1372">
        <w:rPr>
          <w:lang w:val="fr-FR"/>
        </w:rPr>
        <w:tab/>
        <w:t>ECE/TRANS/WP.15/AC.1/2018/15 (Allemagne).</w:t>
      </w:r>
    </w:p>
    <w:p w:rsidR="009427E3" w:rsidRPr="003B1372" w:rsidRDefault="009427E3" w:rsidP="009427E3">
      <w:pPr>
        <w:pStyle w:val="SingleTxtG"/>
        <w:rPr>
          <w:lang w:val="fr-FR"/>
        </w:rPr>
      </w:pPr>
      <w:r w:rsidRPr="003B1372">
        <w:rPr>
          <w:lang w:val="fr-FR"/>
        </w:rPr>
        <w:t>21.</w:t>
      </w:r>
      <w:r w:rsidRPr="003B1372">
        <w:rPr>
          <w:lang w:val="fr-FR"/>
        </w:rPr>
        <w:tab/>
        <w:t xml:space="preserve">La Réunion commune est convenue que le chargement en commun des numéros ONU 2211 et 3314 avec des marchandises de la classe 1 (à l’exception des 1.4S), dans des colis dont il n’est pas exigé qu’ils soient munis d’étiquettes de danger, devrait être interdit. Il a été souligné que les dispositions du 7.5.2.1 avaient une portée plus large et concernaient les colis munis d’étiquettes différentes. Pour éviter toute erreur d’interprétation et faire en sorte que le chargement en commun soit interdit uniquement pour les numéros ONU 2211 et 3314, la Réunion commune a décidé d’adopter le texte proposé au paragraphe 3 du document, avec quelques modifications, en tant que nouvelle disposition spéciale applicable à ces rubriques (voir annexe II). </w:t>
      </w:r>
    </w:p>
    <w:p w:rsidR="009427E3" w:rsidRPr="003B1372" w:rsidRDefault="009427E3" w:rsidP="009427E3">
      <w:pPr>
        <w:pStyle w:val="H23G"/>
        <w:rPr>
          <w:lang w:val="fr-FR"/>
        </w:rPr>
      </w:pPr>
      <w:r w:rsidRPr="003B1372">
        <w:rPr>
          <w:lang w:val="fr-FR"/>
        </w:rPr>
        <w:tab/>
        <w:t>2.</w:t>
      </w:r>
      <w:r w:rsidRPr="003B1372">
        <w:rPr>
          <w:lang w:val="fr-FR"/>
        </w:rPr>
        <w:tab/>
        <w:t xml:space="preserve">Suppression de la disposition spéciale 556 au chapitre 3.3 du RID/ADR/ADN </w:t>
      </w:r>
    </w:p>
    <w:p w:rsidR="009427E3" w:rsidRPr="003B1372" w:rsidRDefault="009427E3" w:rsidP="00966ADF">
      <w:pPr>
        <w:pStyle w:val="SingleTxtG"/>
        <w:tabs>
          <w:tab w:val="left" w:pos="3119"/>
        </w:tabs>
        <w:ind w:left="3119" w:hanging="1985"/>
        <w:jc w:val="left"/>
        <w:rPr>
          <w:bCs/>
          <w:lang w:val="fr-FR"/>
        </w:rPr>
      </w:pPr>
      <w:r w:rsidRPr="003B1372">
        <w:rPr>
          <w:i/>
          <w:lang w:val="fr-FR"/>
        </w:rPr>
        <w:t>Document</w:t>
      </w:r>
      <w:r w:rsidRPr="003B1372">
        <w:rPr>
          <w:lang w:val="fr-FR"/>
        </w:rPr>
        <w:t xml:space="preserve"> : </w:t>
      </w:r>
      <w:r w:rsidRPr="003B1372">
        <w:rPr>
          <w:lang w:val="fr-FR"/>
        </w:rPr>
        <w:tab/>
        <w:t>ECE/TRANS/WP.15/AC.1/2018/16 (Allemagne)</w:t>
      </w:r>
    </w:p>
    <w:p w:rsidR="009427E3" w:rsidRPr="003B1372" w:rsidRDefault="009427E3" w:rsidP="009427E3">
      <w:pPr>
        <w:pStyle w:val="SingleTxtG"/>
        <w:rPr>
          <w:lang w:val="fr-FR"/>
        </w:rPr>
      </w:pPr>
      <w:r w:rsidRPr="003B1372">
        <w:rPr>
          <w:lang w:val="fr-FR"/>
        </w:rPr>
        <w:t>22.</w:t>
      </w:r>
      <w:r w:rsidRPr="003B1372">
        <w:rPr>
          <w:lang w:val="fr-FR"/>
        </w:rPr>
        <w:tab/>
        <w:t xml:space="preserve">La proposition visant à supprimer la disposition spéciale 556 a été adoptée (voir annexe II). </w:t>
      </w:r>
    </w:p>
    <w:p w:rsidR="009427E3" w:rsidRPr="003B1372" w:rsidRDefault="009427E3" w:rsidP="009427E3">
      <w:pPr>
        <w:pStyle w:val="H23G"/>
        <w:rPr>
          <w:lang w:val="fr-FR"/>
        </w:rPr>
      </w:pPr>
      <w:r w:rsidRPr="003B1372">
        <w:rPr>
          <w:lang w:val="fr-FR"/>
        </w:rPr>
        <w:tab/>
        <w:t>3.</w:t>
      </w:r>
      <w:r w:rsidRPr="003B1372">
        <w:rPr>
          <w:lang w:val="fr-FR"/>
        </w:rPr>
        <w:tab/>
        <w:t>Augmentation de la pression intérieure maximale autorisée pour les générateurs d’aérosols</w:t>
      </w:r>
    </w:p>
    <w:p w:rsidR="009427E3" w:rsidRPr="00364FEF" w:rsidRDefault="009427E3" w:rsidP="00966ADF">
      <w:pPr>
        <w:pStyle w:val="SingleTxtG"/>
        <w:keepNext/>
        <w:keepLines/>
        <w:tabs>
          <w:tab w:val="left" w:pos="3119"/>
        </w:tabs>
        <w:rPr>
          <w:lang w:val="fr-FR"/>
        </w:rPr>
      </w:pPr>
      <w:r w:rsidRPr="00966ADF">
        <w:rPr>
          <w:i/>
          <w:iCs/>
          <w:lang w:val="fr-FR"/>
        </w:rPr>
        <w:t>Document</w:t>
      </w:r>
      <w:r w:rsidRPr="00364FEF">
        <w:rPr>
          <w:lang w:val="fr-FR"/>
        </w:rPr>
        <w:t> :</w:t>
      </w:r>
      <w:r w:rsidRPr="00364FEF">
        <w:rPr>
          <w:lang w:val="fr-FR"/>
        </w:rPr>
        <w:tab/>
        <w:t>ECE/TRANS/WP.15/AC.1/2018/17 (FEA)</w:t>
      </w:r>
    </w:p>
    <w:p w:rsidR="009427E3" w:rsidRPr="003B1372" w:rsidRDefault="009427E3" w:rsidP="009427E3">
      <w:pPr>
        <w:pStyle w:val="SingleTxtG"/>
        <w:rPr>
          <w:lang w:val="fr-FR"/>
        </w:rPr>
      </w:pPr>
      <w:r w:rsidRPr="003B1372">
        <w:rPr>
          <w:lang w:val="fr-FR"/>
        </w:rPr>
        <w:t>23.</w:t>
      </w:r>
      <w:r w:rsidRPr="003B1372">
        <w:rPr>
          <w:lang w:val="fr-FR"/>
        </w:rPr>
        <w:tab/>
        <w:t>Après un échange de vues, la Réunion commune a adopté la proposition de modification de la première phrase du 6.2.6.1.5 visant à augmenter la pression intérieure maximale autorisée pour les générateurs d’aérosols, telle qu’elle figure au paragraphe 3 du document (voir annexe II), afin d’harmoniser les prescriptions du RID/ADR avec celles de la directive 75/324/CEE</w:t>
      </w:r>
      <w:r w:rsidRPr="00364FEF">
        <w:rPr>
          <w:rStyle w:val="FootnoteReference"/>
          <w:lang w:val="fr-FR"/>
        </w:rPr>
        <w:footnoteReference w:id="4"/>
      </w:r>
      <w:r w:rsidRPr="003B1372">
        <w:rPr>
          <w:lang w:val="fr-FR"/>
        </w:rPr>
        <w:t xml:space="preserve">. </w:t>
      </w:r>
    </w:p>
    <w:p w:rsidR="009427E3" w:rsidRPr="003B1372" w:rsidRDefault="009427E3" w:rsidP="009427E3">
      <w:pPr>
        <w:pStyle w:val="SingleTxtG"/>
        <w:rPr>
          <w:lang w:val="fr-FR"/>
        </w:rPr>
      </w:pPr>
      <w:r w:rsidRPr="003B1372">
        <w:rPr>
          <w:lang w:val="fr-FR"/>
        </w:rPr>
        <w:t>24.</w:t>
      </w:r>
      <w:r w:rsidRPr="003B1372">
        <w:rPr>
          <w:lang w:val="fr-FR"/>
        </w:rPr>
        <w:tab/>
        <w:t xml:space="preserve">La Réunion commune a invité le représentant de la FEA à se pencher sur la nécessité d’aborder cette question sous un angle multimodal et à soumettre une proposition au Sous-Comité d’experts du transport des marchandises dangereuses (Sous-Comité TMD), afin de faire en sorte que les mêmes dispositions soient appliquées dans le monde entier. </w:t>
      </w:r>
    </w:p>
    <w:p w:rsidR="009427E3" w:rsidRPr="003B1372" w:rsidRDefault="009427E3" w:rsidP="009427E3">
      <w:pPr>
        <w:pStyle w:val="H23G"/>
        <w:rPr>
          <w:lang w:val="fr-FR"/>
        </w:rPr>
      </w:pPr>
      <w:r w:rsidRPr="003B1372">
        <w:rPr>
          <w:lang w:val="fr-FR"/>
        </w:rPr>
        <w:tab/>
        <w:t>4.</w:t>
      </w:r>
      <w:r w:rsidRPr="003B1372">
        <w:rPr>
          <w:lang w:val="fr-FR"/>
        </w:rPr>
        <w:tab/>
        <w:t>Nom et description du numéro ONU 1010 (Butadiènes, stabilisés)</w:t>
      </w:r>
    </w:p>
    <w:p w:rsidR="009427E3" w:rsidRPr="003B1372" w:rsidRDefault="009427E3" w:rsidP="00966ADF">
      <w:pPr>
        <w:pStyle w:val="SingleTxtG"/>
        <w:tabs>
          <w:tab w:val="left" w:pos="3119"/>
        </w:tabs>
        <w:ind w:left="3119" w:hanging="1985"/>
        <w:jc w:val="left"/>
        <w:rPr>
          <w:lang w:val="fr-FR"/>
        </w:rPr>
      </w:pPr>
      <w:r w:rsidRPr="00364FEF">
        <w:rPr>
          <w:i/>
          <w:lang w:val="fr-FR"/>
        </w:rPr>
        <w:t>Document</w:t>
      </w:r>
      <w:r w:rsidRPr="00364FEF">
        <w:rPr>
          <w:lang w:val="fr-FR"/>
        </w:rPr>
        <w:t> :</w:t>
      </w:r>
      <w:r w:rsidRPr="003B1372">
        <w:rPr>
          <w:lang w:val="fr-FR"/>
        </w:rPr>
        <w:tab/>
        <w:t>ECE/TRANS/WP.15/AC.1/2018/19 (Espagne)</w:t>
      </w:r>
    </w:p>
    <w:p w:rsidR="009427E3" w:rsidRPr="003B1372" w:rsidRDefault="009427E3" w:rsidP="009427E3">
      <w:pPr>
        <w:pStyle w:val="SingleTxtG"/>
        <w:rPr>
          <w:lang w:val="fr-FR"/>
        </w:rPr>
      </w:pPr>
      <w:r w:rsidRPr="003B1372">
        <w:rPr>
          <w:lang w:val="fr-FR"/>
        </w:rPr>
        <w:t>25.</w:t>
      </w:r>
      <w:r w:rsidRPr="003B1372">
        <w:rPr>
          <w:lang w:val="fr-FR"/>
        </w:rPr>
        <w:tab/>
        <w:t xml:space="preserve">La Réunion commune a pris note des différences entre le nom et la description du numéro ONU 1010 dans le RID/ADR et ceux figurant dans le Règlement type. Il a été souligné en particulier que la description figurant actuellement dans le RID/ADR pourrait s’appliquer aux butadiènes et aux mélanges de butadiène contenant moins de 40 % de butadiène, tandis que celle du Règlement type ne concernait que les mélanges contenant plus de 40 % de butadiène. </w:t>
      </w:r>
    </w:p>
    <w:p w:rsidR="009427E3" w:rsidRPr="003B1372" w:rsidRDefault="009427E3" w:rsidP="009427E3">
      <w:pPr>
        <w:pStyle w:val="SingleTxtG"/>
        <w:rPr>
          <w:lang w:val="fr-FR"/>
        </w:rPr>
      </w:pPr>
      <w:r w:rsidRPr="003B1372">
        <w:rPr>
          <w:lang w:val="fr-FR"/>
        </w:rPr>
        <w:t>26.</w:t>
      </w:r>
      <w:r w:rsidRPr="003B1372">
        <w:rPr>
          <w:lang w:val="fr-FR"/>
        </w:rPr>
        <w:tab/>
        <w:t xml:space="preserve">La représentante de l’Espagne a indiqué qu’à sa connaissance, tous les butadiènes et les mélanges de butadiène actuellement utilisés et transportés contenaient plus de 40 % de butadiène et que, par conséquent, la description utilisée dans le RID/ADR devrait être alignée sur celle du Règlement type. Le principe de la proposition a reçu un certain appui. Toutefois, </w:t>
      </w:r>
      <w:r w:rsidRPr="003B1372">
        <w:rPr>
          <w:lang w:val="fr-FR"/>
        </w:rPr>
        <w:lastRenderedPageBreak/>
        <w:t xml:space="preserve">des réserves ont été exprimées en ce qui concerne la question de la stabilisation des mélanges de butadiène contenant moins de 40 % de butadiène, le cas échéant, conformément au 2.2.2.2.1, si ces butadiènes devaient être transportés sous une rubrique générique </w:t>
      </w:r>
      <w:proofErr w:type="spellStart"/>
      <w:r w:rsidRPr="003B1372">
        <w:rPr>
          <w:lang w:val="fr-FR"/>
        </w:rPr>
        <w:t>n.s.a</w:t>
      </w:r>
      <w:proofErr w:type="spellEnd"/>
      <w:r w:rsidRPr="003B1372">
        <w:rPr>
          <w:lang w:val="fr-FR"/>
        </w:rPr>
        <w:t>.</w:t>
      </w:r>
    </w:p>
    <w:p w:rsidR="009427E3" w:rsidRPr="003B1372" w:rsidRDefault="009427E3" w:rsidP="009427E3">
      <w:pPr>
        <w:pStyle w:val="SingleTxtG"/>
        <w:rPr>
          <w:lang w:val="fr-FR"/>
        </w:rPr>
      </w:pPr>
      <w:r w:rsidRPr="003B1372">
        <w:rPr>
          <w:lang w:val="fr-FR"/>
        </w:rPr>
        <w:t>27.</w:t>
      </w:r>
      <w:r w:rsidRPr="003B1372">
        <w:rPr>
          <w:lang w:val="fr-FR"/>
        </w:rPr>
        <w:tab/>
        <w:t xml:space="preserve">La Réunion commune a invité la représentante de l’Espagne à revenir avec une proposition recensant les rubriques </w:t>
      </w:r>
      <w:proofErr w:type="spellStart"/>
      <w:r w:rsidRPr="003B1372">
        <w:rPr>
          <w:lang w:val="fr-FR"/>
        </w:rPr>
        <w:t>n.s.a</w:t>
      </w:r>
      <w:proofErr w:type="spellEnd"/>
      <w:r w:rsidRPr="003B1372">
        <w:rPr>
          <w:lang w:val="fr-FR"/>
        </w:rPr>
        <w:t xml:space="preserve">. susceptibles d’être utilisées et indiquant si elles étaient adaptées au transport de ces matières quel que soit le mode </w:t>
      </w:r>
      <w:r w:rsidR="00A40367">
        <w:rPr>
          <w:lang w:val="fr-FR"/>
        </w:rPr>
        <w:t xml:space="preserve">de transport </w:t>
      </w:r>
      <w:r w:rsidRPr="003B1372">
        <w:rPr>
          <w:lang w:val="fr-FR"/>
        </w:rPr>
        <w:t xml:space="preserve">employé. </w:t>
      </w:r>
    </w:p>
    <w:p w:rsidR="009427E3" w:rsidRPr="003B1372" w:rsidRDefault="009427E3" w:rsidP="009427E3">
      <w:pPr>
        <w:pStyle w:val="H23G"/>
        <w:rPr>
          <w:lang w:val="fr-FR"/>
        </w:rPr>
      </w:pPr>
      <w:r w:rsidRPr="003B1372">
        <w:rPr>
          <w:lang w:val="fr-FR"/>
        </w:rPr>
        <w:tab/>
        <w:t>5.</w:t>
      </w:r>
      <w:r w:rsidRPr="003B1372">
        <w:rPr>
          <w:lang w:val="fr-FR"/>
        </w:rPr>
        <w:tab/>
        <w:t>Emballages de présentation de quantités limitées</w:t>
      </w:r>
    </w:p>
    <w:p w:rsidR="009427E3" w:rsidRPr="00364FEF" w:rsidRDefault="009427E3" w:rsidP="00966ADF">
      <w:pPr>
        <w:pStyle w:val="SingleTxtG"/>
        <w:ind w:left="3119" w:hanging="1985"/>
        <w:jc w:val="left"/>
        <w:rPr>
          <w:lang w:val="fr-FR"/>
        </w:rPr>
      </w:pPr>
      <w:r w:rsidRPr="00364FEF">
        <w:rPr>
          <w:i/>
          <w:lang w:val="fr-FR"/>
        </w:rPr>
        <w:t>Document</w:t>
      </w:r>
      <w:r w:rsidRPr="00364FEF">
        <w:rPr>
          <w:lang w:val="fr-FR"/>
        </w:rPr>
        <w:t> :</w:t>
      </w:r>
      <w:r w:rsidRPr="00364FEF">
        <w:rPr>
          <w:lang w:val="fr-FR"/>
        </w:rPr>
        <w:tab/>
        <w:t>ECE/TRANS/WP.15/AC.1/2018/21 (COSTHA)</w:t>
      </w:r>
    </w:p>
    <w:p w:rsidR="009427E3" w:rsidRPr="003B1372" w:rsidRDefault="009427E3" w:rsidP="009427E3">
      <w:pPr>
        <w:pStyle w:val="SingleTxtG"/>
        <w:rPr>
          <w:lang w:val="fr-FR"/>
        </w:rPr>
      </w:pPr>
      <w:r w:rsidRPr="003B1372">
        <w:rPr>
          <w:lang w:val="fr-FR"/>
        </w:rPr>
        <w:t>28.</w:t>
      </w:r>
      <w:r w:rsidRPr="003B1372">
        <w:rPr>
          <w:lang w:val="fr-FR"/>
        </w:rPr>
        <w:tab/>
        <w:t xml:space="preserve">La Réunion commune n’a pas appuyé la proposition et a estimé qu’elle devrait d’abord être examinée par le Sous-Comité TMD. </w:t>
      </w:r>
    </w:p>
    <w:p w:rsidR="009427E3" w:rsidRPr="003B1372" w:rsidRDefault="009427E3" w:rsidP="009427E3">
      <w:pPr>
        <w:pStyle w:val="SingleTxtG"/>
        <w:rPr>
          <w:lang w:val="fr-FR"/>
        </w:rPr>
      </w:pPr>
      <w:r w:rsidRPr="003B1372">
        <w:rPr>
          <w:lang w:val="fr-FR"/>
        </w:rPr>
        <w:t>29.</w:t>
      </w:r>
      <w:r w:rsidRPr="003B1372">
        <w:rPr>
          <w:lang w:val="fr-FR"/>
        </w:rPr>
        <w:tab/>
        <w:t xml:space="preserve">Certaines délégations étaient d’avis que la proposition n’était pas nécessaire ; d’autres se sont </w:t>
      </w:r>
      <w:proofErr w:type="gramStart"/>
      <w:r w:rsidRPr="003B1372">
        <w:rPr>
          <w:lang w:val="fr-FR"/>
        </w:rPr>
        <w:t>dites</w:t>
      </w:r>
      <w:proofErr w:type="gramEnd"/>
      <w:r w:rsidRPr="003B1372">
        <w:rPr>
          <w:lang w:val="fr-FR"/>
        </w:rPr>
        <w:t xml:space="preserve"> préoccupées par les caractéristiques des emballages proposés sur le plan de la sécurité (par exemple, leur résistance aux épreuves de chute). D’autres encore hésitaient à porter de 30 kg à 550 kg la limite de masse applicable aux colis contenant des quantités limitées, dans les cas et les conditions proposés par le COSTHA. Certaines délégations ont déclaré qu’il serait difficile, en termes de contrôle du respect de la réglementation, de s’assurer que les colis conditionnés comme proposé par le COSTHA ne serviraient qu’au commerce de détail. </w:t>
      </w:r>
    </w:p>
    <w:p w:rsidR="009427E3" w:rsidRPr="003B1372" w:rsidRDefault="009427E3" w:rsidP="009427E3">
      <w:pPr>
        <w:pStyle w:val="SingleTxtG"/>
        <w:rPr>
          <w:lang w:val="fr-FR"/>
        </w:rPr>
      </w:pPr>
      <w:r w:rsidRPr="003B1372">
        <w:rPr>
          <w:lang w:val="fr-FR"/>
        </w:rPr>
        <w:t>30.</w:t>
      </w:r>
      <w:r w:rsidRPr="003B1372">
        <w:rPr>
          <w:lang w:val="fr-FR"/>
        </w:rPr>
        <w:tab/>
        <w:t xml:space="preserve">La représentante du COSTHA a déclaré qu’elle tiendrait compte des observations faites et qu’elle envisagerait de soumettre une proposition au Sous-Comité TMD. </w:t>
      </w:r>
    </w:p>
    <w:p w:rsidR="009427E3" w:rsidRPr="00364FEF" w:rsidRDefault="009427E3" w:rsidP="009427E3">
      <w:pPr>
        <w:pStyle w:val="H23G"/>
        <w:rPr>
          <w:lang w:val="fr-FR"/>
        </w:rPr>
      </w:pPr>
      <w:r w:rsidRPr="003B1372">
        <w:rPr>
          <w:lang w:val="fr-FR"/>
        </w:rPr>
        <w:tab/>
        <w:t>6.</w:t>
      </w:r>
      <w:r w:rsidRPr="003B1372">
        <w:rPr>
          <w:lang w:val="fr-FR"/>
        </w:rPr>
        <w:tab/>
        <w:t>Situation concernant les annexes aux directives 84/525/CEE, 84/526/CEE et 84/527/CEE visées au 6.2.4 du RID/ADR</w:t>
      </w:r>
    </w:p>
    <w:p w:rsidR="009427E3" w:rsidRPr="00364FEF" w:rsidRDefault="009427E3" w:rsidP="009427E3">
      <w:pPr>
        <w:pStyle w:val="SingleTxtG"/>
        <w:keepNext/>
        <w:keepLines/>
        <w:tabs>
          <w:tab w:val="left" w:pos="3119"/>
        </w:tabs>
        <w:rPr>
          <w:lang w:val="fr-FR"/>
        </w:rPr>
      </w:pPr>
      <w:r w:rsidRPr="003B1372">
        <w:rPr>
          <w:i/>
          <w:lang w:val="fr-FR"/>
        </w:rPr>
        <w:t>Document</w:t>
      </w:r>
      <w:r w:rsidRPr="003B1372">
        <w:rPr>
          <w:lang w:val="fr-FR"/>
        </w:rPr>
        <w:t xml:space="preserve"> : </w:t>
      </w:r>
      <w:r w:rsidRPr="003B1372">
        <w:rPr>
          <w:lang w:val="fr-FR"/>
        </w:rPr>
        <w:tab/>
        <w:t>ECE/TRANS/WP.15/AC.1/2018/24 (Fédération de Russie)</w:t>
      </w:r>
    </w:p>
    <w:p w:rsidR="009427E3" w:rsidRPr="00364FEF" w:rsidRDefault="009427E3" w:rsidP="009427E3">
      <w:pPr>
        <w:pStyle w:val="SingleTxtG"/>
        <w:tabs>
          <w:tab w:val="left" w:pos="3119"/>
        </w:tabs>
        <w:ind w:left="3119" w:hanging="1985"/>
        <w:jc w:val="left"/>
        <w:rPr>
          <w:lang w:val="fr-FR"/>
        </w:rPr>
      </w:pPr>
      <w:r w:rsidRPr="003B1372">
        <w:rPr>
          <w:i/>
          <w:lang w:val="fr-FR"/>
        </w:rPr>
        <w:t>Documents informels </w:t>
      </w:r>
      <w:r w:rsidRPr="003B1372">
        <w:rPr>
          <w:lang w:val="fr-FR"/>
        </w:rPr>
        <w:t>:</w:t>
      </w:r>
      <w:r w:rsidRPr="003B1372">
        <w:rPr>
          <w:lang w:val="fr-FR"/>
        </w:rPr>
        <w:tab/>
        <w:t>INF.14 (ECMA/EIGA)</w:t>
      </w:r>
      <w:r w:rsidRPr="003B1372">
        <w:rPr>
          <w:lang w:val="fr-FR"/>
        </w:rPr>
        <w:br/>
        <w:t>INF.26 (Fédération de Russie)</w:t>
      </w:r>
      <w:r w:rsidRPr="003B1372">
        <w:rPr>
          <w:lang w:val="fr-FR"/>
        </w:rPr>
        <w:br/>
      </w:r>
      <w:r w:rsidRPr="00364FEF">
        <w:rPr>
          <w:lang w:val="fr-FR"/>
        </w:rPr>
        <w:t>INF.28 (ECMA/EIGA)</w:t>
      </w:r>
    </w:p>
    <w:p w:rsidR="009427E3" w:rsidRPr="003B1372" w:rsidRDefault="009427E3" w:rsidP="009427E3">
      <w:pPr>
        <w:pStyle w:val="SingleTxtG"/>
        <w:rPr>
          <w:lang w:val="fr-FR"/>
        </w:rPr>
      </w:pPr>
      <w:r w:rsidRPr="003B1372">
        <w:rPr>
          <w:lang w:val="fr-FR"/>
        </w:rPr>
        <w:t>31.</w:t>
      </w:r>
      <w:r w:rsidRPr="003B1372">
        <w:rPr>
          <w:lang w:val="fr-FR"/>
        </w:rPr>
        <w:tab/>
        <w:t>La Réunion commune a confirmé la nécessité de conserver les renvois aux annexes aux directives 84/525/CEE, 84/526/CEE et 84/527/CEE visées au 6.2.4 du RID/ADR, comme certains participants l’avaient fait remarquer à sa session de mars 2018. Il a été noté que, même si ces directives avaient été abrogées, il existait une demande non négligeable de bouteilles conçues et construites conformément aux spécifications techniques énoncées dans lesdites annexes.</w:t>
      </w:r>
    </w:p>
    <w:p w:rsidR="009427E3" w:rsidRPr="003B1372" w:rsidRDefault="009427E3" w:rsidP="009427E3">
      <w:pPr>
        <w:pStyle w:val="SingleTxtG"/>
        <w:rPr>
          <w:lang w:val="fr-FR"/>
        </w:rPr>
      </w:pPr>
      <w:r w:rsidRPr="003B1372">
        <w:rPr>
          <w:lang w:val="fr-FR"/>
        </w:rPr>
        <w:t>32.</w:t>
      </w:r>
      <w:r w:rsidRPr="003B1372">
        <w:rPr>
          <w:lang w:val="fr-FR"/>
        </w:rPr>
        <w:tab/>
        <w:t>S’agissant de la situation concernant les annexes, les participants se sont accordés sur le fait que dès qu’il existait un renvoi auxdites annexes dans le RID/ADR, celles-ci étaient applicables dans le cadre juridique du RID/ADR. Certaines délégations ont suggéré d’ajouter une note, ou une note de bas de page, aux renvois aux normes en question pour que cela soit bien clair. La Réunion commune a approuvé cette suggestion et invité les délégations intéressées à formuler une proposition comprenant les éléments suivants :</w:t>
      </w:r>
    </w:p>
    <w:p w:rsidR="009427E3" w:rsidRPr="00364FEF" w:rsidRDefault="009427E3" w:rsidP="009427E3">
      <w:pPr>
        <w:pStyle w:val="SingleTxtG"/>
        <w:ind w:firstLine="567"/>
        <w:rPr>
          <w:lang w:val="fr-FR"/>
        </w:rPr>
      </w:pPr>
      <w:r w:rsidRPr="003B1372">
        <w:rPr>
          <w:lang w:val="fr-FR"/>
        </w:rPr>
        <w:t>a)</w:t>
      </w:r>
      <w:r w:rsidRPr="003B1372">
        <w:rPr>
          <w:lang w:val="fr-FR"/>
        </w:rPr>
        <w:tab/>
        <w:t>L’interprétation convenue de la situation des annexes aux normes dans le cadre du RID/ADR ;</w:t>
      </w:r>
    </w:p>
    <w:p w:rsidR="009427E3" w:rsidRPr="00364FEF" w:rsidRDefault="009427E3" w:rsidP="009427E3">
      <w:pPr>
        <w:pStyle w:val="SingleTxtG"/>
        <w:ind w:firstLine="567"/>
        <w:rPr>
          <w:lang w:val="fr-FR"/>
        </w:rPr>
      </w:pPr>
      <w:r w:rsidRPr="003B1372">
        <w:rPr>
          <w:lang w:val="fr-FR"/>
        </w:rPr>
        <w:t>b)</w:t>
      </w:r>
      <w:r w:rsidRPr="003B1372">
        <w:rPr>
          <w:lang w:val="fr-FR"/>
        </w:rPr>
        <w:tab/>
        <w:t>Les renvois au Journal officiel de l’Union européenne, dans lequel on pouvait trouver le texte des annexes ;</w:t>
      </w:r>
    </w:p>
    <w:p w:rsidR="009427E3" w:rsidRPr="003B1372" w:rsidRDefault="009427E3" w:rsidP="009427E3">
      <w:pPr>
        <w:pStyle w:val="SingleTxtG"/>
        <w:ind w:firstLine="567"/>
        <w:rPr>
          <w:lang w:val="fr-FR"/>
        </w:rPr>
      </w:pPr>
      <w:r w:rsidRPr="003B1372">
        <w:rPr>
          <w:lang w:val="fr-FR"/>
        </w:rPr>
        <w:t>c)</w:t>
      </w:r>
      <w:r w:rsidRPr="003B1372">
        <w:rPr>
          <w:lang w:val="fr-FR"/>
        </w:rPr>
        <w:tab/>
        <w:t xml:space="preserve">Une période transitoire durant laquelle les annexes devraient être considérées comme </w:t>
      </w:r>
      <w:proofErr w:type="gramStart"/>
      <w:r w:rsidRPr="003B1372">
        <w:rPr>
          <w:lang w:val="fr-FR"/>
        </w:rPr>
        <w:t>des textes demeurant</w:t>
      </w:r>
      <w:proofErr w:type="gramEnd"/>
      <w:r w:rsidRPr="003B1372">
        <w:rPr>
          <w:lang w:val="fr-FR"/>
        </w:rPr>
        <w:t xml:space="preserve"> applicables.</w:t>
      </w:r>
    </w:p>
    <w:p w:rsidR="009427E3" w:rsidRPr="003B1372" w:rsidRDefault="009427E3" w:rsidP="009427E3">
      <w:pPr>
        <w:pStyle w:val="SingleTxtG"/>
        <w:rPr>
          <w:lang w:val="fr-FR"/>
        </w:rPr>
      </w:pPr>
      <w:r w:rsidRPr="003B1372">
        <w:rPr>
          <w:lang w:val="fr-FR"/>
        </w:rPr>
        <w:lastRenderedPageBreak/>
        <w:t>33.</w:t>
      </w:r>
      <w:r w:rsidRPr="003B1372">
        <w:rPr>
          <w:lang w:val="fr-FR"/>
        </w:rPr>
        <w:tab/>
        <w:t>Dans un premier temps, en attendant que les annexes aux directives visées soient transposées dans une norme, la Réunion commune a adopté, moyennant quelques modifications, la note proposée dans le document informel INF.28 en vue de son ajout, au tableau 6.2.4 du RID/ADR (voir annexe II), aux renvois aux annexes des directives en question (84/525/CEE, 84/526/CEE et 84/527/CEE). La Réunion commune a également encouragé le CEN à élaborer une norme.</w:t>
      </w:r>
    </w:p>
    <w:p w:rsidR="009427E3" w:rsidRPr="00364FEF" w:rsidRDefault="009427E3" w:rsidP="009427E3">
      <w:pPr>
        <w:pStyle w:val="H23G"/>
        <w:rPr>
          <w:lang w:val="fr-FR"/>
        </w:rPr>
      </w:pPr>
      <w:r w:rsidRPr="003B1372">
        <w:rPr>
          <w:lang w:val="fr-FR"/>
        </w:rPr>
        <w:tab/>
        <w:t>7.</w:t>
      </w:r>
      <w:r w:rsidRPr="003B1372">
        <w:rPr>
          <w:lang w:val="fr-FR"/>
        </w:rPr>
        <w:tab/>
        <w:t>Alignement du paragraphe 1.8.5.1 sur les sections 1.4.2 et 1.4.3 du RID/ADR/ADN</w:t>
      </w:r>
    </w:p>
    <w:p w:rsidR="009427E3" w:rsidRPr="00364FEF" w:rsidRDefault="009427E3" w:rsidP="00966ADF">
      <w:pPr>
        <w:pStyle w:val="SingleTxtG"/>
        <w:tabs>
          <w:tab w:val="left" w:pos="3119"/>
        </w:tabs>
        <w:rPr>
          <w:lang w:val="fr-FR"/>
        </w:rPr>
      </w:pPr>
      <w:r w:rsidRPr="003B1372">
        <w:rPr>
          <w:i/>
          <w:lang w:val="fr-FR"/>
        </w:rPr>
        <w:t>Document</w:t>
      </w:r>
      <w:r w:rsidRPr="003B1372">
        <w:rPr>
          <w:lang w:val="fr-FR"/>
        </w:rPr>
        <w:t xml:space="preserve"> : </w:t>
      </w:r>
      <w:r w:rsidRPr="003B1372">
        <w:rPr>
          <w:lang w:val="fr-FR"/>
        </w:rPr>
        <w:tab/>
        <w:t>ECE/TRANS/WP.15/AC.1/2018/30 (Autriche)</w:t>
      </w:r>
    </w:p>
    <w:p w:rsidR="009427E3" w:rsidRPr="003B1372" w:rsidRDefault="009427E3" w:rsidP="009427E3">
      <w:pPr>
        <w:pStyle w:val="SingleTxtG"/>
        <w:rPr>
          <w:lang w:val="fr-FR"/>
        </w:rPr>
      </w:pPr>
      <w:r w:rsidRPr="003B1372">
        <w:rPr>
          <w:lang w:val="fr-FR"/>
        </w:rPr>
        <w:t>34.</w:t>
      </w:r>
      <w:r w:rsidRPr="003B1372">
        <w:rPr>
          <w:lang w:val="fr-FR"/>
        </w:rPr>
        <w:tab/>
        <w:t>La plupart des délégations qui se sont exprimées ont considéré que la mention du « destinataire » au 1.8.5.1 était correcte et ne devait pas être supprimée, et qu’il convenait de mentionner le « déchargeur ». À l’issue d’un échange de vues, la Réunion commune a approuvé cette suggestion et a adopté la proposition de l’Autriche telle que modifiée (voir annexe II).</w:t>
      </w:r>
    </w:p>
    <w:p w:rsidR="009427E3" w:rsidRPr="003B1372" w:rsidRDefault="009427E3" w:rsidP="009427E3">
      <w:pPr>
        <w:pStyle w:val="SingleTxtG"/>
        <w:rPr>
          <w:lang w:val="fr-FR"/>
        </w:rPr>
      </w:pPr>
      <w:r w:rsidRPr="003B1372">
        <w:rPr>
          <w:lang w:val="fr-FR"/>
        </w:rPr>
        <w:t>35.</w:t>
      </w:r>
      <w:r w:rsidRPr="003B1372">
        <w:rPr>
          <w:lang w:val="fr-FR"/>
        </w:rPr>
        <w:tab/>
        <w:t>Les rôles et les responsabilités des différents intervenants dans la chaîne de transport en cas de notification aux autorités compétentes d’un incident concernant des marchandises dangereuses ont fait l’objet d’un débat. Il a été noté que, conformément au 1.4.1.3, les Parties contractantes pouvaient transférer les obligations incombant à un intervenant désigné à un ou plusieurs autres intervenants, et donc que les pratiques pouvaient varier entre les Parties contractantes. La Réunion commune a conclu que si l’on jugeait nécessaire d’examiner des questions de principe relatives à la notification des incidents, un groupe de travail informel chargé des questions concernant la notification des incidents pourrait s’en occuper (voir paragraphe 54 et annexe IV).</w:t>
      </w:r>
    </w:p>
    <w:p w:rsidR="009427E3" w:rsidRPr="00364FEF" w:rsidRDefault="009427E3" w:rsidP="009427E3">
      <w:pPr>
        <w:pStyle w:val="H23G"/>
        <w:rPr>
          <w:lang w:val="fr-FR"/>
        </w:rPr>
      </w:pPr>
      <w:r w:rsidRPr="003B1372">
        <w:rPr>
          <w:lang w:val="fr-FR"/>
        </w:rPr>
        <w:tab/>
        <w:t>8.</w:t>
      </w:r>
      <w:r w:rsidRPr="003B1372">
        <w:rPr>
          <w:lang w:val="fr-FR"/>
        </w:rPr>
        <w:tab/>
        <w:t>Transport d’objets contenant des PCB contaminés par des dioxines et des furannes</w:t>
      </w:r>
    </w:p>
    <w:p w:rsidR="009427E3" w:rsidRPr="00364FEF" w:rsidRDefault="009427E3" w:rsidP="00966ADF">
      <w:pPr>
        <w:pStyle w:val="SingleTxtG"/>
        <w:keepNext/>
        <w:keepLines/>
        <w:tabs>
          <w:tab w:val="left" w:pos="3119"/>
        </w:tabs>
        <w:jc w:val="left"/>
        <w:rPr>
          <w:bCs/>
          <w:i/>
          <w:iCs/>
          <w:lang w:val="fr-FR"/>
        </w:rPr>
      </w:pPr>
      <w:r w:rsidRPr="00364FEF">
        <w:rPr>
          <w:i/>
          <w:lang w:val="fr-FR"/>
        </w:rPr>
        <w:t>Document </w:t>
      </w:r>
      <w:r w:rsidRPr="00364FEF">
        <w:rPr>
          <w:lang w:val="fr-FR"/>
        </w:rPr>
        <w:t>:</w:t>
      </w:r>
      <w:r w:rsidRPr="003B1372">
        <w:rPr>
          <w:lang w:val="fr-FR"/>
        </w:rPr>
        <w:tab/>
        <w:t>ECE/TRANS/WP.15/AC.1/2018/23 (Allemagne)</w:t>
      </w:r>
    </w:p>
    <w:p w:rsidR="009427E3" w:rsidRPr="00364FEF" w:rsidRDefault="009427E3" w:rsidP="00966ADF">
      <w:pPr>
        <w:pStyle w:val="SingleTxtG"/>
        <w:keepNext/>
        <w:keepLines/>
        <w:tabs>
          <w:tab w:val="left" w:pos="3119"/>
        </w:tabs>
        <w:jc w:val="left"/>
        <w:rPr>
          <w:lang w:val="fr-FR"/>
        </w:rPr>
      </w:pPr>
      <w:r w:rsidRPr="00364FEF">
        <w:rPr>
          <w:i/>
          <w:lang w:val="fr-FR"/>
        </w:rPr>
        <w:t>Document informel </w:t>
      </w:r>
      <w:r w:rsidRPr="00364FEF">
        <w:rPr>
          <w:lang w:val="fr-FR"/>
        </w:rPr>
        <w:t>:</w:t>
      </w:r>
      <w:r w:rsidRPr="003B1372">
        <w:rPr>
          <w:lang w:val="fr-FR"/>
        </w:rPr>
        <w:tab/>
        <w:t>INF.27 (Allemagne)</w:t>
      </w:r>
    </w:p>
    <w:p w:rsidR="009427E3" w:rsidRPr="00364FEF" w:rsidRDefault="009427E3" w:rsidP="009427E3">
      <w:pPr>
        <w:pStyle w:val="SingleTxtG"/>
        <w:rPr>
          <w:lang w:val="fr-FR"/>
        </w:rPr>
      </w:pPr>
      <w:r w:rsidRPr="003B1372">
        <w:rPr>
          <w:lang w:val="fr-FR"/>
        </w:rPr>
        <w:t>36.</w:t>
      </w:r>
      <w:r w:rsidRPr="003B1372">
        <w:rPr>
          <w:lang w:val="fr-FR"/>
        </w:rPr>
        <w:tab/>
        <w:t>La Réunion commune a adopté, moyennant quelques modifications, la proposition formulée dans le document informel INF.27 (voir annexe II).</w:t>
      </w:r>
    </w:p>
    <w:p w:rsidR="009427E3" w:rsidRPr="00364FEF" w:rsidRDefault="009427E3" w:rsidP="009427E3">
      <w:pPr>
        <w:pStyle w:val="H23G"/>
        <w:rPr>
          <w:lang w:val="fr-FR"/>
        </w:rPr>
      </w:pPr>
      <w:r w:rsidRPr="003B1372">
        <w:rPr>
          <w:lang w:val="fr-FR"/>
        </w:rPr>
        <w:tab/>
        <w:t>9.</w:t>
      </w:r>
      <w:r w:rsidRPr="003B1372">
        <w:rPr>
          <w:lang w:val="fr-FR"/>
        </w:rPr>
        <w:tab/>
        <w:t>Amendements au 5.2.2.2.1.3 et au 5.2.2.2.1.5 du RID/ADR/ADN</w:t>
      </w:r>
    </w:p>
    <w:p w:rsidR="009427E3" w:rsidRPr="00364FEF" w:rsidRDefault="009427E3" w:rsidP="00966ADF">
      <w:pPr>
        <w:pStyle w:val="SingleTxtG"/>
        <w:keepNext/>
        <w:tabs>
          <w:tab w:val="left" w:pos="3119"/>
        </w:tabs>
        <w:jc w:val="left"/>
        <w:rPr>
          <w:lang w:val="fr-FR"/>
        </w:rPr>
      </w:pPr>
      <w:r w:rsidRPr="00364FEF">
        <w:rPr>
          <w:i/>
          <w:lang w:val="fr-FR"/>
        </w:rPr>
        <w:t>Document informel </w:t>
      </w:r>
      <w:r w:rsidRPr="00364FEF">
        <w:rPr>
          <w:lang w:val="fr-FR"/>
        </w:rPr>
        <w:t>:</w:t>
      </w:r>
      <w:r w:rsidRPr="00364FEF">
        <w:rPr>
          <w:lang w:val="fr-FR"/>
        </w:rPr>
        <w:tab/>
      </w:r>
      <w:r w:rsidRPr="003B1372">
        <w:rPr>
          <w:lang w:val="fr-FR"/>
        </w:rPr>
        <w:t xml:space="preserve"> INF.8 (Fédération de Russie)</w:t>
      </w:r>
    </w:p>
    <w:p w:rsidR="009427E3" w:rsidRPr="003B1372" w:rsidRDefault="009427E3" w:rsidP="009427E3">
      <w:pPr>
        <w:pStyle w:val="SingleTxtG"/>
        <w:keepLines/>
        <w:rPr>
          <w:lang w:val="fr-FR"/>
        </w:rPr>
      </w:pPr>
      <w:r w:rsidRPr="003B1372">
        <w:rPr>
          <w:lang w:val="fr-FR"/>
        </w:rPr>
        <w:t>37.</w:t>
      </w:r>
      <w:r w:rsidRPr="003B1372">
        <w:rPr>
          <w:lang w:val="fr-FR"/>
        </w:rPr>
        <w:tab/>
        <w:t>La Réunion commune a noté que cette question avait été examinée par le Sous</w:t>
      </w:r>
      <w:r w:rsidRPr="003B1372">
        <w:rPr>
          <w:lang w:val="fr-FR"/>
        </w:rPr>
        <w:noBreakHyphen/>
        <w:t>Comité TMD à sa cinquante-troisième session sur la base d’un document informel, et que le représentant de la Fédération de Russie avait été invité à soumettre un document officiel à la prochaine session (voir ST/SG/AC.10/C.3/106, par. 102 et 103). La proposition se rapportant au texte actuel du Règlement type, la Réunion commune a estimé qu’elle devait être examinée par le Sous-Comité TMD avant que les amendements à apporter au RID/ADR/ADN puissent être pris en considération.</w:t>
      </w:r>
    </w:p>
    <w:p w:rsidR="009427E3" w:rsidRPr="00364FEF" w:rsidRDefault="009427E3" w:rsidP="009427E3">
      <w:pPr>
        <w:pStyle w:val="H23G"/>
        <w:rPr>
          <w:lang w:val="fr-FR"/>
        </w:rPr>
      </w:pPr>
      <w:r w:rsidRPr="003B1372">
        <w:rPr>
          <w:lang w:val="fr-FR"/>
        </w:rPr>
        <w:tab/>
        <w:t>10.</w:t>
      </w:r>
      <w:r w:rsidRPr="003B1372">
        <w:rPr>
          <w:lang w:val="fr-FR"/>
        </w:rPr>
        <w:tab/>
        <w:t>Disposition spéciale 386 dans l’ADR/ADN</w:t>
      </w:r>
    </w:p>
    <w:p w:rsidR="009427E3" w:rsidRPr="00364FEF" w:rsidRDefault="009427E3" w:rsidP="00966ADF">
      <w:pPr>
        <w:pStyle w:val="SingleTxtG"/>
        <w:tabs>
          <w:tab w:val="left" w:pos="3119"/>
        </w:tabs>
        <w:jc w:val="left"/>
        <w:rPr>
          <w:bCs/>
          <w:lang w:val="fr-FR"/>
        </w:rPr>
      </w:pPr>
      <w:r w:rsidRPr="00364FEF">
        <w:rPr>
          <w:i/>
          <w:lang w:val="fr-FR"/>
        </w:rPr>
        <w:t>Document informel </w:t>
      </w:r>
      <w:r w:rsidRPr="00364FEF">
        <w:rPr>
          <w:lang w:val="fr-FR"/>
        </w:rPr>
        <w:t>:</w:t>
      </w:r>
      <w:r w:rsidR="00A40367">
        <w:rPr>
          <w:lang w:val="fr-FR"/>
        </w:rPr>
        <w:tab/>
        <w:t>INF.6 (Allemagne)</w:t>
      </w:r>
      <w:r w:rsidRPr="003B1372">
        <w:rPr>
          <w:lang w:val="fr-FR"/>
        </w:rPr>
        <w:t xml:space="preserve"> </w:t>
      </w:r>
    </w:p>
    <w:p w:rsidR="009427E3" w:rsidRPr="003B1372" w:rsidRDefault="009427E3" w:rsidP="009427E3">
      <w:pPr>
        <w:pStyle w:val="SingleTxtG"/>
        <w:rPr>
          <w:lang w:val="fr-FR"/>
        </w:rPr>
      </w:pPr>
      <w:r w:rsidRPr="003B1372">
        <w:rPr>
          <w:lang w:val="fr-FR"/>
        </w:rPr>
        <w:t>38.</w:t>
      </w:r>
      <w:r w:rsidRPr="003B1372">
        <w:rPr>
          <w:lang w:val="fr-FR"/>
        </w:rPr>
        <w:tab/>
        <w:t>La Réunion commune a adopté la proposition énoncée au paragraphe 3 du document informel INF.6, visant à remplacer le renvoi au 2.2.41.1.17 par un renvoi au 2.2.41.1.21 dans la première phrase de la disposition spéciale 386 (voir annexe II).</w:t>
      </w:r>
    </w:p>
    <w:p w:rsidR="009427E3" w:rsidRPr="00364FEF" w:rsidRDefault="009427E3" w:rsidP="009427E3">
      <w:pPr>
        <w:pStyle w:val="H23G"/>
        <w:rPr>
          <w:lang w:val="fr-FR"/>
        </w:rPr>
      </w:pPr>
      <w:r w:rsidRPr="003B1372">
        <w:rPr>
          <w:lang w:val="fr-FR"/>
        </w:rPr>
        <w:lastRenderedPageBreak/>
        <w:tab/>
        <w:t>11.</w:t>
      </w:r>
      <w:r w:rsidRPr="003B1372">
        <w:rPr>
          <w:lang w:val="fr-FR"/>
        </w:rPr>
        <w:tab/>
        <w:t xml:space="preserve">Évaluation séparée des robinets et autres accessoires démontables ayant une fonction de sécurité directe sur les récipients à pression </w:t>
      </w:r>
      <w:r w:rsidRPr="00364FEF">
        <w:rPr>
          <w:lang w:val="fr-FR"/>
        </w:rPr>
        <w:t>« UN »</w:t>
      </w:r>
    </w:p>
    <w:p w:rsidR="009427E3" w:rsidRPr="00364FEF" w:rsidRDefault="009427E3" w:rsidP="00966ADF">
      <w:pPr>
        <w:pStyle w:val="SingleTxtG"/>
        <w:tabs>
          <w:tab w:val="left" w:pos="3119"/>
        </w:tabs>
        <w:jc w:val="left"/>
        <w:rPr>
          <w:bCs/>
          <w:lang w:val="fr-FR"/>
        </w:rPr>
      </w:pPr>
      <w:r w:rsidRPr="00364FEF">
        <w:rPr>
          <w:i/>
          <w:lang w:val="fr-FR"/>
        </w:rPr>
        <w:t>Document informel </w:t>
      </w:r>
      <w:r w:rsidRPr="00364FEF">
        <w:rPr>
          <w:lang w:val="fr-FR"/>
        </w:rPr>
        <w:t>:</w:t>
      </w:r>
      <w:r w:rsidRPr="003B1372">
        <w:rPr>
          <w:lang w:val="fr-FR"/>
        </w:rPr>
        <w:tab/>
        <w:t>INF.13 (France)</w:t>
      </w:r>
    </w:p>
    <w:p w:rsidR="009427E3" w:rsidRPr="003B1372" w:rsidRDefault="009427E3" w:rsidP="009427E3">
      <w:pPr>
        <w:pStyle w:val="SingleTxtG"/>
        <w:rPr>
          <w:lang w:val="fr-FR"/>
        </w:rPr>
      </w:pPr>
      <w:r w:rsidRPr="003B1372">
        <w:rPr>
          <w:lang w:val="fr-FR"/>
        </w:rPr>
        <w:t>39.</w:t>
      </w:r>
      <w:r w:rsidRPr="003B1372">
        <w:rPr>
          <w:lang w:val="fr-FR"/>
        </w:rPr>
        <w:tab/>
        <w:t xml:space="preserve">La Réunion commune a convenu que les dispositions du 6.2.3.6.1 applicables aux récipients à pression </w:t>
      </w:r>
      <w:r w:rsidR="00A40367">
        <w:rPr>
          <w:lang w:val="fr-FR"/>
        </w:rPr>
        <w:t>« non</w:t>
      </w:r>
      <w:r w:rsidRPr="003B1372">
        <w:rPr>
          <w:lang w:val="fr-FR"/>
        </w:rPr>
        <w:t xml:space="preserve"> UN » en ce qui concerne l’évaluation de la conformité des robinets et autres accessoires démontables ayant une fonction de sécurité directe étaient également pertinentes pour les récipients à pression « UN » et donc que le 6.2.2.11 devait être modifié en conséquence. La représentante de la France a dit qu’elle soumettrait une proposition officielle </w:t>
      </w:r>
      <w:r w:rsidR="00A40367">
        <w:rPr>
          <w:lang w:val="fr-FR"/>
        </w:rPr>
        <w:t>à</w:t>
      </w:r>
      <w:r w:rsidRPr="003B1372">
        <w:rPr>
          <w:lang w:val="fr-FR"/>
        </w:rPr>
        <w:t xml:space="preserve"> la prochaine session. </w:t>
      </w:r>
    </w:p>
    <w:p w:rsidR="009427E3" w:rsidRPr="00364FEF" w:rsidRDefault="009427E3" w:rsidP="009427E3">
      <w:pPr>
        <w:pStyle w:val="SingleTxtG"/>
        <w:rPr>
          <w:lang w:val="fr-FR"/>
        </w:rPr>
      </w:pPr>
      <w:r w:rsidRPr="003B1372">
        <w:rPr>
          <w:lang w:val="fr-FR"/>
        </w:rPr>
        <w:t>40.</w:t>
      </w:r>
      <w:r w:rsidRPr="003B1372">
        <w:rPr>
          <w:lang w:val="fr-FR"/>
        </w:rPr>
        <w:tab/>
        <w:t xml:space="preserve">Le </w:t>
      </w:r>
      <w:r w:rsidRPr="003B1372">
        <w:rPr>
          <w:szCs w:val="24"/>
          <w:lang w:val="fr-FR"/>
        </w:rPr>
        <w:t>représentant</w:t>
      </w:r>
      <w:r w:rsidRPr="003B1372">
        <w:rPr>
          <w:lang w:val="fr-FR"/>
        </w:rPr>
        <w:t xml:space="preserve"> de l’EIGA a informé la Réunion commune que l’EIGA dirigeait depuis 2015 les travaux d’un groupe de travail informel chargé de réexaminer les dispositions concernant les fermetures des récipients à pression dans le Règlement type (voir le rapport du Sous-Comité TMD sur sa quarante-huitième session, document ST/SG/AC.10/C.3/96, par. 69 et 70). La Réunion commune a noté que le groupe de travail informel comptait achever ses travaux et soumettre des propositions d’amendements au Règlement type au cours de la période 2019-2020.</w:t>
      </w:r>
    </w:p>
    <w:p w:rsidR="009427E3" w:rsidRPr="00364FEF" w:rsidRDefault="009427E3" w:rsidP="009427E3">
      <w:pPr>
        <w:pStyle w:val="H23G"/>
        <w:keepNext w:val="0"/>
        <w:rPr>
          <w:lang w:val="fr-FR"/>
        </w:rPr>
      </w:pPr>
      <w:r w:rsidRPr="003B1372">
        <w:rPr>
          <w:lang w:val="fr-FR"/>
        </w:rPr>
        <w:tab/>
        <w:t>1</w:t>
      </w:r>
      <w:r>
        <w:rPr>
          <w:lang w:val="fr-FR"/>
        </w:rPr>
        <w:t>2</w:t>
      </w:r>
      <w:r w:rsidRPr="003B1372">
        <w:rPr>
          <w:lang w:val="fr-FR"/>
        </w:rPr>
        <w:t>.</w:t>
      </w:r>
      <w:r w:rsidRPr="003B1372">
        <w:rPr>
          <w:lang w:val="fr-FR"/>
        </w:rPr>
        <w:tab/>
        <w:t>Transport de récipients à pression agréés par le Ministère des transports des États</w:t>
      </w:r>
      <w:r w:rsidRPr="003B1372">
        <w:rPr>
          <w:lang w:val="fr-FR"/>
        </w:rPr>
        <w:noBreakHyphen/>
        <w:t>Unis d’Amérique [</w:t>
      </w:r>
      <w:proofErr w:type="spellStart"/>
      <w:r w:rsidRPr="003B1372">
        <w:rPr>
          <w:lang w:val="fr-FR"/>
        </w:rPr>
        <w:t>Department</w:t>
      </w:r>
      <w:proofErr w:type="spellEnd"/>
      <w:r w:rsidRPr="003B1372">
        <w:rPr>
          <w:lang w:val="fr-FR"/>
        </w:rPr>
        <w:t xml:space="preserve"> of Transportation (DOT)]</w:t>
      </w:r>
    </w:p>
    <w:p w:rsidR="009427E3" w:rsidRPr="00364FEF" w:rsidRDefault="009427E3" w:rsidP="00966ADF">
      <w:pPr>
        <w:pStyle w:val="SingleTxtG"/>
        <w:tabs>
          <w:tab w:val="left" w:pos="3119"/>
        </w:tabs>
        <w:jc w:val="left"/>
        <w:rPr>
          <w:bCs/>
          <w:lang w:val="fr-FR"/>
        </w:rPr>
      </w:pPr>
      <w:r w:rsidRPr="00364FEF">
        <w:rPr>
          <w:i/>
          <w:iCs/>
          <w:lang w:val="fr-FR"/>
        </w:rPr>
        <w:t>Document</w:t>
      </w:r>
      <w:r w:rsidRPr="00364FEF">
        <w:rPr>
          <w:lang w:val="fr-FR"/>
        </w:rPr>
        <w:t> :</w:t>
      </w:r>
      <w:r w:rsidRPr="00364FEF">
        <w:rPr>
          <w:lang w:val="fr-FR"/>
        </w:rPr>
        <w:tab/>
        <w:t>ECE/TRANS/WP.15/AC.1/2018/22 (EIGA)</w:t>
      </w:r>
    </w:p>
    <w:p w:rsidR="009427E3" w:rsidRPr="00364FEF" w:rsidRDefault="009427E3" w:rsidP="00966ADF">
      <w:pPr>
        <w:pStyle w:val="SingleTxtG"/>
        <w:tabs>
          <w:tab w:val="left" w:pos="3119"/>
        </w:tabs>
        <w:jc w:val="left"/>
        <w:rPr>
          <w:bCs/>
          <w:lang w:val="fr-FR"/>
        </w:rPr>
      </w:pPr>
      <w:r w:rsidRPr="003B1372">
        <w:rPr>
          <w:i/>
          <w:iCs/>
          <w:lang w:val="fr-FR"/>
        </w:rPr>
        <w:t>Document informel</w:t>
      </w:r>
      <w:r w:rsidRPr="003B1372">
        <w:rPr>
          <w:lang w:val="fr-FR"/>
        </w:rPr>
        <w:t> :</w:t>
      </w:r>
      <w:r w:rsidRPr="003B1372">
        <w:rPr>
          <w:lang w:val="fr-FR"/>
        </w:rPr>
        <w:tab/>
        <w:t>INF.32 (EIGA)</w:t>
      </w:r>
    </w:p>
    <w:p w:rsidR="009427E3" w:rsidRPr="00364FEF" w:rsidRDefault="009427E3" w:rsidP="009427E3">
      <w:pPr>
        <w:pStyle w:val="SingleTxtG"/>
        <w:rPr>
          <w:lang w:val="fr-FR"/>
        </w:rPr>
      </w:pPr>
      <w:r w:rsidRPr="003B1372">
        <w:rPr>
          <w:lang w:val="fr-FR"/>
        </w:rPr>
        <w:t>41.</w:t>
      </w:r>
      <w:r w:rsidRPr="003B1372">
        <w:rPr>
          <w:lang w:val="fr-FR"/>
        </w:rPr>
        <w:tab/>
        <w:t>La Réunion commune a donné son accord de principe pour le projet de texte proposé au paragraphe 5 du document informel INF.32, et elle a bien noté que l’EIGA envisageait de continuer à travailler à sa mise au point en collaboration avec le représentant des États</w:t>
      </w:r>
      <w:r w:rsidRPr="003B1372">
        <w:rPr>
          <w:lang w:val="fr-FR"/>
        </w:rPr>
        <w:noBreakHyphen/>
        <w:t xml:space="preserve">Unis d’Amérique et ceux des autres délégations intéressées, l’objectif étant de soumettre un document officiel pour la prochaine session. Le représentant de l’EIGA a invité les représentants à faire part de leurs observations sur le projet de texte proposé. </w:t>
      </w:r>
    </w:p>
    <w:p w:rsidR="009427E3" w:rsidRPr="003B1372" w:rsidRDefault="009427E3" w:rsidP="009427E3">
      <w:pPr>
        <w:pStyle w:val="HChG"/>
        <w:rPr>
          <w:lang w:val="fr-FR"/>
        </w:rPr>
      </w:pPr>
      <w:r w:rsidRPr="003B1372">
        <w:rPr>
          <w:lang w:val="fr-FR"/>
        </w:rPr>
        <w:tab/>
        <w:t>VII.</w:t>
      </w:r>
      <w:r w:rsidRPr="003B1372">
        <w:rPr>
          <w:lang w:val="fr-FR"/>
        </w:rPr>
        <w:tab/>
        <w:t>Rapports des groupes de travail informels (point 6 de l’ordre du jour)</w:t>
      </w:r>
      <w:bookmarkStart w:id="1" w:name="_Hlk525066820"/>
    </w:p>
    <w:p w:rsidR="009427E3" w:rsidRPr="003B1372" w:rsidRDefault="009427E3" w:rsidP="009427E3">
      <w:pPr>
        <w:pStyle w:val="H1G"/>
        <w:rPr>
          <w:lang w:val="fr-FR"/>
        </w:rPr>
      </w:pPr>
      <w:r w:rsidRPr="003B1372">
        <w:rPr>
          <w:lang w:val="fr-FR"/>
        </w:rPr>
        <w:tab/>
        <w:t>A.</w:t>
      </w:r>
      <w:r w:rsidRPr="003B1372">
        <w:rPr>
          <w:lang w:val="fr-FR"/>
        </w:rPr>
        <w:tab/>
        <w:t xml:space="preserve">Groupe de travail informel de la télématique </w:t>
      </w:r>
    </w:p>
    <w:p w:rsidR="009427E3" w:rsidRPr="003B1372" w:rsidRDefault="009427E3" w:rsidP="00966ADF">
      <w:pPr>
        <w:pStyle w:val="SingleTxtG"/>
        <w:tabs>
          <w:tab w:val="left" w:pos="3119"/>
          <w:tab w:val="left" w:pos="4962"/>
        </w:tabs>
        <w:jc w:val="left"/>
        <w:rPr>
          <w:lang w:val="fr-FR"/>
        </w:rPr>
      </w:pPr>
      <w:r w:rsidRPr="003B1372">
        <w:rPr>
          <w:i/>
          <w:iCs/>
          <w:lang w:val="fr-FR"/>
        </w:rPr>
        <w:t>Document</w:t>
      </w:r>
      <w:r w:rsidRPr="003B1372">
        <w:rPr>
          <w:lang w:val="fr-FR"/>
        </w:rPr>
        <w:t xml:space="preserve"> : </w:t>
      </w:r>
      <w:r w:rsidRPr="003B1372">
        <w:rPr>
          <w:lang w:val="fr-FR"/>
        </w:rPr>
        <w:tab/>
        <w:t>ECE/TRANS/WP.15/AC.1/2018/25 (France)</w:t>
      </w:r>
    </w:p>
    <w:p w:rsidR="009427E3" w:rsidRPr="003B1372" w:rsidRDefault="009427E3" w:rsidP="00966ADF">
      <w:pPr>
        <w:pStyle w:val="SingleTxtG"/>
        <w:tabs>
          <w:tab w:val="left" w:pos="3119"/>
          <w:tab w:val="left" w:pos="4962"/>
        </w:tabs>
        <w:jc w:val="left"/>
        <w:rPr>
          <w:lang w:val="fr-FR"/>
        </w:rPr>
      </w:pPr>
      <w:r w:rsidRPr="003B1372">
        <w:rPr>
          <w:i/>
          <w:iCs/>
          <w:lang w:val="fr-FR"/>
        </w:rPr>
        <w:t>Document informel</w:t>
      </w:r>
      <w:r w:rsidRPr="003B1372">
        <w:rPr>
          <w:lang w:val="fr-FR"/>
        </w:rPr>
        <w:t xml:space="preserve"> : </w:t>
      </w:r>
      <w:r w:rsidRPr="003B1372">
        <w:rPr>
          <w:lang w:val="fr-FR"/>
        </w:rPr>
        <w:tab/>
        <w:t>INF.24 (Union européenne)</w:t>
      </w:r>
    </w:p>
    <w:p w:rsidR="009427E3" w:rsidRPr="003B1372" w:rsidRDefault="009427E3" w:rsidP="009427E3">
      <w:pPr>
        <w:pStyle w:val="SingleTxtG"/>
        <w:rPr>
          <w:lang w:val="fr-FR"/>
        </w:rPr>
      </w:pPr>
      <w:bookmarkStart w:id="2" w:name="_Hlk525066685"/>
      <w:bookmarkEnd w:id="1"/>
      <w:r w:rsidRPr="003B1372">
        <w:rPr>
          <w:lang w:val="fr-FR"/>
        </w:rPr>
        <w:t>42.</w:t>
      </w:r>
      <w:r w:rsidRPr="003B1372">
        <w:rPr>
          <w:lang w:val="fr-FR"/>
        </w:rPr>
        <w:tab/>
        <w:t xml:space="preserve">La Réunion commune a été informée qu’à sa dernière réunion, qui s’est tenue à Londres (4 et 5 juin 2018), le groupe de travail informel s’était entendu sur le mémorandum d’accord qui est annexé au document ECE/TRANS/WP.15/AC.1/2018/25. Il a été fait remarquer que ce mémorandum d’accord avait été élaboré en tenant compte des projets de recherche les plus récents menés en Italie et </w:t>
      </w:r>
      <w:r w:rsidR="00EF6739">
        <w:rPr>
          <w:lang w:val="fr-FR"/>
        </w:rPr>
        <w:t xml:space="preserve">en </w:t>
      </w:r>
      <w:r w:rsidRPr="003B1372">
        <w:rPr>
          <w:lang w:val="fr-FR"/>
        </w:rPr>
        <w:t xml:space="preserve">France. </w:t>
      </w:r>
    </w:p>
    <w:p w:rsidR="009427E3" w:rsidRPr="003B1372" w:rsidRDefault="009427E3" w:rsidP="009427E3">
      <w:pPr>
        <w:pStyle w:val="SingleTxtG"/>
        <w:rPr>
          <w:lang w:val="fr-FR"/>
        </w:rPr>
      </w:pPr>
      <w:r w:rsidRPr="003B1372">
        <w:rPr>
          <w:lang w:val="fr-FR"/>
        </w:rPr>
        <w:t>43.</w:t>
      </w:r>
      <w:r w:rsidRPr="003B1372">
        <w:rPr>
          <w:lang w:val="fr-FR"/>
        </w:rPr>
        <w:tab/>
        <w:t xml:space="preserve">La Réunion commune a également noté avec satisfaction que le mémorandum d’accord contenait les principes convenus essentiels relatifs à la mise en place d’une architecture pour la télématique dans le transport des marchandises dangereuses et qu’il dénotait une communauté de vues sur la manière d’appliquer les dispositions du paragraphe 5.4.0.2 du RID, de l’ADR et de l’ADN de façon à garantir la mise en œuvre harmonisée de ces Règlements. Il a été souligné que le mémorandum d’accord ne créait pas d’obligation réglementaire et qu’aucun problème n’avait été signalé en ce qui concerne sa </w:t>
      </w:r>
      <w:r w:rsidRPr="003B1372">
        <w:rPr>
          <w:lang w:val="fr-FR"/>
        </w:rPr>
        <w:lastRenderedPageBreak/>
        <w:t xml:space="preserve">mise en œuvre. Les Parties contractantes qui ne l’avaient pas encore fait ont été invitées à se joindre aux travaux du groupe de travail informel, soit en participant à ses réunions lorsque cela est possible, soit en formulant des observations par écrit. Certaines délégations ont annoncé qu’elles avaient l’intention de participer à ces travaux et qu’elles envisageaient de signer le mémorandum d’accord. </w:t>
      </w:r>
    </w:p>
    <w:p w:rsidR="009427E3" w:rsidRPr="003B1372" w:rsidRDefault="009427E3" w:rsidP="009427E3">
      <w:pPr>
        <w:pStyle w:val="SingleTxtG"/>
        <w:keepLines/>
        <w:rPr>
          <w:lang w:val="fr-FR"/>
        </w:rPr>
      </w:pPr>
      <w:r w:rsidRPr="003B1372">
        <w:rPr>
          <w:lang w:val="fr-FR"/>
        </w:rPr>
        <w:t>44.</w:t>
      </w:r>
      <w:r w:rsidRPr="003B1372">
        <w:rPr>
          <w:lang w:val="fr-FR"/>
        </w:rPr>
        <w:tab/>
        <w:t xml:space="preserve">En ce qui concerne la proposition de </w:t>
      </w:r>
      <w:bookmarkStart w:id="3" w:name="_Hlk525135753"/>
      <w:r w:rsidRPr="003B1372">
        <w:rPr>
          <w:lang w:val="fr-FR"/>
        </w:rPr>
        <w:t>règlement relatif à l’information électronique pour le transport de marchandises</w:t>
      </w:r>
      <w:bookmarkEnd w:id="3"/>
      <w:r w:rsidRPr="003B1372">
        <w:rPr>
          <w:lang w:val="fr-FR"/>
        </w:rPr>
        <w:t xml:space="preserve"> mentionnée dans le document informel INF.24, plusieurs délégations se sont </w:t>
      </w:r>
      <w:proofErr w:type="gramStart"/>
      <w:r w:rsidRPr="003B1372">
        <w:rPr>
          <w:lang w:val="fr-FR"/>
        </w:rPr>
        <w:t>dites</w:t>
      </w:r>
      <w:proofErr w:type="gramEnd"/>
      <w:r w:rsidRPr="003B1372">
        <w:rPr>
          <w:lang w:val="fr-FR"/>
        </w:rPr>
        <w:t xml:space="preserve"> préoccupées par le manque d’informations sur les exigences fonctionnelles et les spécifications techniques qui seraient visées par les actes juridiques complétant le texte en question. Elles ont estimé que les activités liées à la télématique qui étaient en cours de développement à l’échelle européenne devraient tenir compte des travaux déjà effectués par ailleurs, et en particulier à propos des marchandises dangereuses, par le groupe de travail informel de la télématique de la Réunion commune. </w:t>
      </w:r>
    </w:p>
    <w:p w:rsidR="009427E3" w:rsidRPr="003B1372" w:rsidRDefault="009427E3" w:rsidP="009427E3">
      <w:pPr>
        <w:pStyle w:val="SingleTxtG"/>
        <w:rPr>
          <w:lang w:val="fr-FR"/>
        </w:rPr>
      </w:pPr>
      <w:r w:rsidRPr="003B1372">
        <w:rPr>
          <w:lang w:val="fr-FR"/>
        </w:rPr>
        <w:t>45.</w:t>
      </w:r>
      <w:r w:rsidRPr="003B1372">
        <w:rPr>
          <w:lang w:val="fr-FR"/>
        </w:rPr>
        <w:tab/>
        <w:t xml:space="preserve">La Réunion commune a pris note de ces préoccupations et a invité les délégations participant aux travaux des organes de l’Union européenne concernés à veiller à ce que les spécifications techniques élaborées sous ces auspices ne contredisent pas celles dont s’était déjà occupé le groupe de travail informel de la télématique à propos du transport de marchandises dangereuses, ou ne s’en écartent pas trop. </w:t>
      </w:r>
    </w:p>
    <w:p w:rsidR="009427E3" w:rsidRPr="003B1372" w:rsidRDefault="009427E3" w:rsidP="009427E3">
      <w:pPr>
        <w:pStyle w:val="SingleTxtG"/>
        <w:rPr>
          <w:lang w:val="fr-FR"/>
        </w:rPr>
      </w:pPr>
      <w:r w:rsidRPr="003B1372">
        <w:rPr>
          <w:lang w:val="fr-FR"/>
        </w:rPr>
        <w:t>46.</w:t>
      </w:r>
      <w:r w:rsidRPr="003B1372">
        <w:rPr>
          <w:lang w:val="fr-FR"/>
        </w:rPr>
        <w:tab/>
        <w:t xml:space="preserve">La Réunion commune a noté que la prochaine réunion du Groupe de travail informel de la télématique aurait lieu à Vienne du 12 au 14 novembre 2018 et que le représentant de l’Autriche diffuserait prochainement l’invitation. </w:t>
      </w:r>
      <w:bookmarkEnd w:id="2"/>
    </w:p>
    <w:p w:rsidR="009427E3" w:rsidRPr="003B1372" w:rsidRDefault="009427E3" w:rsidP="009427E3">
      <w:pPr>
        <w:pStyle w:val="H1G"/>
        <w:rPr>
          <w:lang w:val="fr-FR"/>
        </w:rPr>
      </w:pPr>
      <w:r w:rsidRPr="003B1372">
        <w:rPr>
          <w:lang w:val="fr-FR"/>
        </w:rPr>
        <w:tab/>
        <w:t>B.</w:t>
      </w:r>
      <w:r w:rsidRPr="003B1372">
        <w:rPr>
          <w:lang w:val="fr-FR"/>
        </w:rPr>
        <w:tab/>
        <w:t>Rapport du groupe de travail informel des définitions des termes « risque » et « danger » dans le contexte du RID, de l’ADR et de l’ADN</w:t>
      </w:r>
    </w:p>
    <w:p w:rsidR="009427E3" w:rsidRPr="003B1372" w:rsidRDefault="009427E3" w:rsidP="00966ADF">
      <w:pPr>
        <w:pStyle w:val="SingleTxtG"/>
        <w:tabs>
          <w:tab w:val="left" w:pos="3119"/>
          <w:tab w:val="left" w:pos="4962"/>
        </w:tabs>
        <w:jc w:val="left"/>
        <w:rPr>
          <w:lang w:val="fr-FR"/>
        </w:rPr>
      </w:pPr>
      <w:proofErr w:type="gramStart"/>
      <w:r w:rsidRPr="003B1372">
        <w:rPr>
          <w:i/>
          <w:iCs/>
          <w:lang w:val="fr-FR"/>
        </w:rPr>
        <w:t>Document informels</w:t>
      </w:r>
      <w:proofErr w:type="gramEnd"/>
      <w:r w:rsidRPr="003B1372">
        <w:rPr>
          <w:lang w:val="fr-FR"/>
        </w:rPr>
        <w:t> :</w:t>
      </w:r>
      <w:r w:rsidRPr="003B1372">
        <w:rPr>
          <w:lang w:val="fr-FR"/>
        </w:rPr>
        <w:tab/>
        <w:t>INF.10 et Add.1 et 2 (Rouman</w:t>
      </w:r>
      <w:r w:rsidR="00A40367">
        <w:rPr>
          <w:lang w:val="fr-FR"/>
        </w:rPr>
        <w:t>i</w:t>
      </w:r>
      <w:r w:rsidRPr="003B1372">
        <w:rPr>
          <w:lang w:val="fr-FR"/>
        </w:rPr>
        <w:t>e/UIC)</w:t>
      </w:r>
    </w:p>
    <w:p w:rsidR="009427E3" w:rsidRPr="003B1372" w:rsidRDefault="009427E3" w:rsidP="009427E3">
      <w:pPr>
        <w:pStyle w:val="SingleTxtG"/>
        <w:rPr>
          <w:lang w:val="fr-FR"/>
        </w:rPr>
      </w:pPr>
      <w:r w:rsidRPr="003B1372">
        <w:rPr>
          <w:lang w:val="fr-FR"/>
        </w:rPr>
        <w:t>47.</w:t>
      </w:r>
      <w:r w:rsidRPr="003B1372">
        <w:rPr>
          <w:lang w:val="fr-FR"/>
        </w:rPr>
        <w:tab/>
        <w:t xml:space="preserve">La Réunion commune s’est félicitée des résultats des travaux du groupe de travail informel. Notant que certaines modifications concernaient des textes du Règlement type, elle a invité le représentant de la Roumanie à les porter à la connaissance du Sous-Comité </w:t>
      </w:r>
      <w:r w:rsidR="00A40367">
        <w:rPr>
          <w:lang w:val="fr-FR"/>
        </w:rPr>
        <w:t>TMD</w:t>
      </w:r>
      <w:r w:rsidRPr="003B1372">
        <w:rPr>
          <w:lang w:val="fr-FR"/>
        </w:rPr>
        <w:t xml:space="preserve"> à sa cinquante-cinquième session (juillet 2019) dans un document officiel. </w:t>
      </w:r>
    </w:p>
    <w:p w:rsidR="009427E3" w:rsidRPr="003B1372" w:rsidRDefault="009427E3" w:rsidP="009427E3">
      <w:pPr>
        <w:pStyle w:val="SingleTxtG"/>
        <w:rPr>
          <w:lang w:val="fr-FR"/>
        </w:rPr>
      </w:pPr>
      <w:r w:rsidRPr="003B1372">
        <w:rPr>
          <w:lang w:val="fr-FR"/>
        </w:rPr>
        <w:t>48.</w:t>
      </w:r>
      <w:r w:rsidRPr="003B1372">
        <w:rPr>
          <w:lang w:val="fr-FR"/>
        </w:rPr>
        <w:tab/>
        <w:t xml:space="preserve">La Réunion commune a donné son accord de principe pour les amendements aux consignes écrites proposés. Toutefois, notant que ces amendements n’avaient pas trait à la sécurité et que le renouvellement du stock déjà imprimé pourrait avoir d’importantes incidences budgétaires, elle a estimé que ces amendements ne devraient entrer en vigueur que lorsque d’autres amendements aux consignes auraient été adoptés. Le représentant de la Roumanie a dit qu’une proposition d’amendement à la note de bas de page </w:t>
      </w:r>
      <w:r w:rsidRPr="00364FEF">
        <w:rPr>
          <w:lang w:val="fr-FR"/>
        </w:rPr>
        <w:t>b</w:t>
      </w:r>
      <w:r w:rsidRPr="003B1372">
        <w:rPr>
          <w:lang w:val="fr-FR"/>
        </w:rPr>
        <w:t xml:space="preserve"> des consignes écrites selon l’ADR avait été soumise pour examen au WP.15 à sa 105</w:t>
      </w:r>
      <w:r w:rsidRPr="003B1372">
        <w:rPr>
          <w:vertAlign w:val="superscript"/>
          <w:lang w:val="fr-FR"/>
        </w:rPr>
        <w:t>e</w:t>
      </w:r>
      <w:r w:rsidRPr="003B1372">
        <w:rPr>
          <w:lang w:val="fr-FR"/>
        </w:rPr>
        <w:t> session (voir document ECE/TRANS/WP.15/2018/5) et que cette proposition prévoyait une période transitoire de deux ans pour la mise en œuvre. Il a fait observer que si les deux propositions étaient adoptées pour l’édition 2021 de l’ADR, la même période transitoire s’appliquerait aux amendements aux consignes écrites visés aux points 27 à 47 du document informel INF.10/Add.1.</w:t>
      </w:r>
    </w:p>
    <w:p w:rsidR="009427E3" w:rsidRPr="003B1372" w:rsidRDefault="009427E3" w:rsidP="009427E3">
      <w:pPr>
        <w:pStyle w:val="SingleTxtG"/>
        <w:rPr>
          <w:lang w:val="fr-FR"/>
        </w:rPr>
      </w:pPr>
      <w:r w:rsidRPr="003B1372">
        <w:rPr>
          <w:lang w:val="fr-FR"/>
        </w:rPr>
        <w:t>49.</w:t>
      </w:r>
      <w:r w:rsidRPr="003B1372">
        <w:rPr>
          <w:lang w:val="fr-FR"/>
        </w:rPr>
        <w:tab/>
        <w:t xml:space="preserve">La Réunion commune a invité le représentant de la Roumanie à soumettre, pour sa prochaine session, un document officiel contenant les propositions d’amendement au RID, à l’ADR et à l’ADN. Les décisions prises par la Réunion commune seraient ensuite portées à la connaissance du WP.15, du Comité de sécurité de l’ADN et de la Commission d’experts du RID. </w:t>
      </w:r>
    </w:p>
    <w:p w:rsidR="009427E3" w:rsidRPr="003B1372" w:rsidRDefault="009427E3" w:rsidP="009427E3">
      <w:pPr>
        <w:pStyle w:val="SingleTxtG"/>
        <w:rPr>
          <w:lang w:val="fr-FR"/>
        </w:rPr>
      </w:pPr>
      <w:r w:rsidRPr="003B1372">
        <w:rPr>
          <w:lang w:val="fr-FR"/>
        </w:rPr>
        <w:lastRenderedPageBreak/>
        <w:t>50.</w:t>
      </w:r>
      <w:r w:rsidRPr="003B1372">
        <w:rPr>
          <w:lang w:val="fr-FR"/>
        </w:rPr>
        <w:tab/>
        <w:t>La Réunion commune a noté que la prochaine réunion du groupe de travail informel se tiendrait à La Haye du 11 au 13 juin 2019. Les délégations souhaitant participer aux travaux du groupe ont été invitées à prendre contact avec l’expert de la Roumanie.</w:t>
      </w:r>
    </w:p>
    <w:p w:rsidR="009427E3" w:rsidRPr="003B1372" w:rsidRDefault="009427E3" w:rsidP="009427E3">
      <w:pPr>
        <w:pStyle w:val="H1G"/>
        <w:rPr>
          <w:lang w:val="fr-FR"/>
        </w:rPr>
      </w:pPr>
      <w:r w:rsidRPr="003B1372">
        <w:rPr>
          <w:lang w:val="fr-FR"/>
        </w:rPr>
        <w:tab/>
        <w:t>C.</w:t>
      </w:r>
      <w:r w:rsidRPr="003B1372">
        <w:rPr>
          <w:lang w:val="fr-FR"/>
        </w:rPr>
        <w:tab/>
        <w:t>Groupe de travail informel de la réduction du risque de vaporisation explosive d’un liquide porté à ébullition (BLEVE) au cours du transport des marchandises dangereuses</w:t>
      </w:r>
    </w:p>
    <w:p w:rsidR="009427E3" w:rsidRPr="003B1372" w:rsidRDefault="009427E3" w:rsidP="00966ADF">
      <w:pPr>
        <w:pStyle w:val="SingleTxtG"/>
        <w:keepNext/>
        <w:tabs>
          <w:tab w:val="left" w:pos="3119"/>
          <w:tab w:val="left" w:pos="4962"/>
        </w:tabs>
        <w:jc w:val="left"/>
        <w:rPr>
          <w:lang w:val="fr-FR"/>
        </w:rPr>
      </w:pPr>
      <w:r w:rsidRPr="003B1372">
        <w:rPr>
          <w:i/>
          <w:iCs/>
          <w:lang w:val="fr-FR"/>
        </w:rPr>
        <w:t>Document informel</w:t>
      </w:r>
      <w:r w:rsidRPr="003B1372">
        <w:rPr>
          <w:lang w:val="fr-FR"/>
        </w:rPr>
        <w:t xml:space="preserve"> : </w:t>
      </w:r>
      <w:r w:rsidRPr="003B1372">
        <w:rPr>
          <w:lang w:val="fr-FR"/>
        </w:rPr>
        <w:tab/>
        <w:t>INF.22 (Espagne)</w:t>
      </w:r>
    </w:p>
    <w:p w:rsidR="009427E3" w:rsidRPr="003B1372" w:rsidRDefault="009427E3" w:rsidP="009427E3">
      <w:pPr>
        <w:pStyle w:val="SingleTxtG"/>
        <w:rPr>
          <w:lang w:val="fr-FR"/>
        </w:rPr>
      </w:pPr>
      <w:r w:rsidRPr="003B1372">
        <w:rPr>
          <w:lang w:val="fr-FR"/>
        </w:rPr>
        <w:t>51.</w:t>
      </w:r>
      <w:r w:rsidRPr="003B1372">
        <w:rPr>
          <w:lang w:val="fr-FR"/>
        </w:rPr>
        <w:tab/>
        <w:t xml:space="preserve">Pour donner suite à une demande formulée par plusieurs délégations, la représentante de l’Espagne a accepté de </w:t>
      </w:r>
      <w:r w:rsidR="00A40367">
        <w:rPr>
          <w:lang w:val="fr-FR"/>
        </w:rPr>
        <w:t>déplacer</w:t>
      </w:r>
      <w:r w:rsidRPr="003B1372">
        <w:rPr>
          <w:lang w:val="fr-FR"/>
        </w:rPr>
        <w:t xml:space="preserve"> la prochaine réunion du groupe de travail informel, initialement prévue en octobre, au mois de janvier 2019 (du 15 au 17) de façon à faciliter la participation de toutes les personnes s’intéressant aux travaux du groupe. Elle a encouragé les délégations à confirmer leur participation avant le 28 décembre 2018 et à fournir des informations sur les thèmes énumérés au paragraphe 6 du document informel INF.22.</w:t>
      </w:r>
    </w:p>
    <w:p w:rsidR="009427E3" w:rsidRPr="003B1372" w:rsidRDefault="009427E3" w:rsidP="009427E3">
      <w:pPr>
        <w:pStyle w:val="HChG"/>
        <w:rPr>
          <w:lang w:val="fr-FR"/>
        </w:rPr>
      </w:pPr>
      <w:r w:rsidRPr="003B1372">
        <w:rPr>
          <w:lang w:val="fr-FR"/>
        </w:rPr>
        <w:tab/>
        <w:t>VIII.</w:t>
      </w:r>
      <w:r w:rsidRPr="003B1372">
        <w:rPr>
          <w:lang w:val="fr-FR"/>
        </w:rPr>
        <w:tab/>
        <w:t>Accidents et gestion des risques (point 7 de l’ordre du jour)</w:t>
      </w:r>
    </w:p>
    <w:p w:rsidR="009427E3" w:rsidRPr="003B1372" w:rsidRDefault="009427E3" w:rsidP="009427E3">
      <w:pPr>
        <w:pStyle w:val="H1G"/>
        <w:rPr>
          <w:lang w:val="fr-FR"/>
        </w:rPr>
      </w:pPr>
      <w:r w:rsidRPr="003B1372">
        <w:rPr>
          <w:lang w:val="fr-FR"/>
        </w:rPr>
        <w:tab/>
        <w:t>A.</w:t>
      </w:r>
      <w:r w:rsidRPr="003B1372">
        <w:rPr>
          <w:lang w:val="fr-FR"/>
        </w:rPr>
        <w:tab/>
        <w:t>Accident impliquant de l’aluminium fondu</w:t>
      </w:r>
    </w:p>
    <w:p w:rsidR="009427E3" w:rsidRPr="003B1372" w:rsidRDefault="009427E3" w:rsidP="00966ADF">
      <w:pPr>
        <w:pStyle w:val="SingleTxtG"/>
        <w:tabs>
          <w:tab w:val="left" w:pos="3119"/>
        </w:tabs>
        <w:jc w:val="left"/>
        <w:rPr>
          <w:bCs/>
          <w:lang w:val="fr-FR"/>
        </w:rPr>
      </w:pPr>
      <w:r w:rsidRPr="003B1372">
        <w:rPr>
          <w:i/>
          <w:lang w:val="fr-FR"/>
        </w:rPr>
        <w:t>Document informel</w:t>
      </w:r>
      <w:r w:rsidRPr="003B1372">
        <w:rPr>
          <w:lang w:val="fr-FR"/>
        </w:rPr>
        <w:t xml:space="preserve"> : </w:t>
      </w:r>
      <w:r w:rsidRPr="003B1372">
        <w:rPr>
          <w:lang w:val="fr-FR"/>
        </w:rPr>
        <w:tab/>
        <w:t>INF.5 (Allemagne)</w:t>
      </w:r>
    </w:p>
    <w:p w:rsidR="009427E3" w:rsidRPr="003B1372" w:rsidRDefault="009427E3" w:rsidP="009427E3">
      <w:pPr>
        <w:pStyle w:val="SingleTxtG"/>
        <w:rPr>
          <w:lang w:val="fr-FR"/>
        </w:rPr>
      </w:pPr>
      <w:r w:rsidRPr="003B1372">
        <w:rPr>
          <w:lang w:val="fr-FR"/>
        </w:rPr>
        <w:t>52.</w:t>
      </w:r>
      <w:r w:rsidRPr="003B1372">
        <w:rPr>
          <w:lang w:val="fr-FR"/>
        </w:rPr>
        <w:tab/>
        <w:t>Après un échange de vues, la Réunion commune a noté que le transport national et international de l’aluminium fondu ou des matières similaires avait lieu dans plusieurs pays et se déroulait dans les conditions décrites dans le document informel INF.5, et qu’il existait des divergences entre les réglementations nationales. Afin d’avoir un aperçu des dispositions applicables dans chaque pays et d’être mieux à même d’étudier la nécessité d’adopter une approche harmonisée, la Réunion commune a invité les délégations à fournir au représentant de l’Allemagne des informations sur :</w:t>
      </w:r>
    </w:p>
    <w:p w:rsidR="009427E3" w:rsidRPr="003B1372" w:rsidRDefault="009427E3" w:rsidP="009427E3">
      <w:pPr>
        <w:pStyle w:val="SingleTxtG"/>
        <w:ind w:firstLine="567"/>
        <w:rPr>
          <w:lang w:val="fr-FR"/>
        </w:rPr>
      </w:pPr>
      <w:r w:rsidRPr="003B1372">
        <w:rPr>
          <w:lang w:val="fr-FR"/>
        </w:rPr>
        <w:t>a)</w:t>
      </w:r>
      <w:r w:rsidRPr="003B1372">
        <w:rPr>
          <w:lang w:val="fr-FR"/>
        </w:rPr>
        <w:tab/>
        <w:t xml:space="preserve">Les types d’autorisations et d’agréments délivrés par les autorités compétentes de leur pays ; et </w:t>
      </w:r>
    </w:p>
    <w:p w:rsidR="009427E3" w:rsidRPr="003B1372" w:rsidRDefault="009427E3" w:rsidP="009427E3">
      <w:pPr>
        <w:pStyle w:val="SingleTxtG"/>
        <w:ind w:firstLine="567"/>
        <w:rPr>
          <w:lang w:val="fr-FR"/>
        </w:rPr>
      </w:pPr>
      <w:r w:rsidRPr="003B1372">
        <w:rPr>
          <w:lang w:val="fr-FR"/>
        </w:rPr>
        <w:t>b)</w:t>
      </w:r>
      <w:r w:rsidRPr="003B1372">
        <w:rPr>
          <w:lang w:val="fr-FR"/>
        </w:rPr>
        <w:tab/>
        <w:t xml:space="preserve">Les données disponibles, le cas échéant, sur les accidents impliquant ces matières. </w:t>
      </w:r>
    </w:p>
    <w:p w:rsidR="009427E3" w:rsidRPr="003B1372" w:rsidRDefault="009427E3" w:rsidP="009427E3">
      <w:pPr>
        <w:pStyle w:val="SingleTxtG"/>
        <w:rPr>
          <w:lang w:val="fr-FR"/>
        </w:rPr>
      </w:pPr>
      <w:r w:rsidRPr="003B1372">
        <w:rPr>
          <w:lang w:val="fr-FR"/>
        </w:rPr>
        <w:t>53.</w:t>
      </w:r>
      <w:r w:rsidRPr="003B1372">
        <w:rPr>
          <w:lang w:val="fr-FR"/>
        </w:rPr>
        <w:tab/>
        <w:t>Le représentant de l’Allemagne s’est dit disposé à compiler les informations reçues avant la fin de 2018 et à établir un document pour une prochaine session de la Réunion commune.</w:t>
      </w:r>
    </w:p>
    <w:p w:rsidR="009427E3" w:rsidRPr="003B1372" w:rsidRDefault="009427E3" w:rsidP="009427E3">
      <w:pPr>
        <w:pStyle w:val="H1G"/>
        <w:rPr>
          <w:lang w:val="fr-FR"/>
        </w:rPr>
      </w:pPr>
      <w:r w:rsidRPr="003B1372">
        <w:rPr>
          <w:lang w:val="fr-FR"/>
        </w:rPr>
        <w:tab/>
        <w:t>B.</w:t>
      </w:r>
      <w:r w:rsidRPr="003B1372">
        <w:rPr>
          <w:lang w:val="fr-FR"/>
        </w:rPr>
        <w:tab/>
        <w:t>Amélioration du rapport d’accident</w:t>
      </w:r>
    </w:p>
    <w:p w:rsidR="009427E3" w:rsidRPr="00364FEF" w:rsidRDefault="009427E3" w:rsidP="00966ADF">
      <w:pPr>
        <w:pStyle w:val="SingleTxtG"/>
        <w:keepNext/>
        <w:keepLines/>
        <w:tabs>
          <w:tab w:val="left" w:pos="3119"/>
        </w:tabs>
        <w:jc w:val="left"/>
        <w:rPr>
          <w:bCs/>
          <w:lang w:val="fr-FR"/>
        </w:rPr>
      </w:pPr>
      <w:r w:rsidRPr="003B1372">
        <w:rPr>
          <w:i/>
          <w:iCs/>
          <w:lang w:val="fr-FR"/>
        </w:rPr>
        <w:t>Document</w:t>
      </w:r>
      <w:r w:rsidRPr="003B1372">
        <w:rPr>
          <w:lang w:val="fr-FR"/>
        </w:rPr>
        <w:t> :</w:t>
      </w:r>
      <w:r w:rsidRPr="003B1372">
        <w:rPr>
          <w:lang w:val="fr-FR"/>
        </w:rPr>
        <w:tab/>
        <w:t>ECE/TRANS/WP.15/AC.1/2018/26 (France)</w:t>
      </w:r>
    </w:p>
    <w:p w:rsidR="009427E3" w:rsidRPr="00364FEF" w:rsidRDefault="009427E3" w:rsidP="00966ADF">
      <w:pPr>
        <w:pStyle w:val="SingleTxtG"/>
        <w:tabs>
          <w:tab w:val="left" w:pos="3119"/>
        </w:tabs>
        <w:ind w:left="3119" w:hanging="1985"/>
        <w:jc w:val="left"/>
        <w:rPr>
          <w:bCs/>
          <w:lang w:val="fr-FR"/>
        </w:rPr>
      </w:pPr>
      <w:r w:rsidRPr="003B1372">
        <w:rPr>
          <w:i/>
          <w:iCs/>
          <w:lang w:val="fr-FR"/>
        </w:rPr>
        <w:t>Documents informels</w:t>
      </w:r>
      <w:r w:rsidRPr="003B1372">
        <w:rPr>
          <w:lang w:val="fr-FR"/>
        </w:rPr>
        <w:t> :</w:t>
      </w:r>
      <w:r w:rsidRPr="003B1372">
        <w:rPr>
          <w:lang w:val="fr-FR"/>
        </w:rPr>
        <w:tab/>
        <w:t>INF.26 (session de mars 2018) (France)</w:t>
      </w:r>
      <w:r w:rsidRPr="003B1372">
        <w:rPr>
          <w:lang w:val="fr-FR"/>
        </w:rPr>
        <w:br/>
      </w:r>
      <w:r w:rsidR="00966ADF">
        <w:rPr>
          <w:lang w:val="fr-FR"/>
        </w:rPr>
        <w:t>I</w:t>
      </w:r>
      <w:r w:rsidRPr="003B1372">
        <w:rPr>
          <w:lang w:val="fr-FR"/>
        </w:rPr>
        <w:t>NF.31 et INF.31/Rev.1 (France)</w:t>
      </w:r>
    </w:p>
    <w:p w:rsidR="009427E3" w:rsidRPr="00364FEF" w:rsidRDefault="009427E3" w:rsidP="009427E3">
      <w:pPr>
        <w:pStyle w:val="SingleTxtG"/>
        <w:rPr>
          <w:lang w:val="fr-FR"/>
        </w:rPr>
      </w:pPr>
      <w:r w:rsidRPr="003B1372">
        <w:rPr>
          <w:lang w:val="fr-FR"/>
        </w:rPr>
        <w:t>54.</w:t>
      </w:r>
      <w:r w:rsidRPr="003B1372">
        <w:rPr>
          <w:lang w:val="fr-FR"/>
        </w:rPr>
        <w:tab/>
        <w:t xml:space="preserve">Après en avoir débattu, la Réunion commune a approuvé le mandat concernant les travaux sur l’amélioration du rapport d’accident, dont il est question dans le document informel INF.31/Rev.1, tel que modifié (voir annexe IV). Ces travaux seront menés par un groupe de travail informel dirigé par la France. </w:t>
      </w:r>
    </w:p>
    <w:p w:rsidR="009427E3" w:rsidRPr="00364FEF" w:rsidRDefault="009427E3" w:rsidP="009427E3">
      <w:pPr>
        <w:pStyle w:val="HChG"/>
        <w:rPr>
          <w:lang w:val="fr-FR"/>
        </w:rPr>
      </w:pPr>
      <w:r w:rsidRPr="003B1372">
        <w:rPr>
          <w:lang w:val="fr-FR"/>
        </w:rPr>
        <w:lastRenderedPageBreak/>
        <w:tab/>
        <w:t>IX.</w:t>
      </w:r>
      <w:r w:rsidRPr="003B1372">
        <w:rPr>
          <w:lang w:val="fr-FR"/>
        </w:rPr>
        <w:tab/>
        <w:t>Élection du Bureau pour 2019 (point 8 de l’ordre du jour)</w:t>
      </w:r>
    </w:p>
    <w:p w:rsidR="009427E3" w:rsidRPr="00364FEF" w:rsidRDefault="009427E3" w:rsidP="009427E3">
      <w:pPr>
        <w:pStyle w:val="SingleTxtG"/>
        <w:rPr>
          <w:lang w:val="fr-FR"/>
        </w:rPr>
      </w:pPr>
      <w:r w:rsidRPr="003B1372">
        <w:rPr>
          <w:lang w:val="fr-FR"/>
        </w:rPr>
        <w:t>55.</w:t>
      </w:r>
      <w:r w:rsidRPr="003B1372">
        <w:rPr>
          <w:lang w:val="fr-FR"/>
        </w:rPr>
        <w:tab/>
      </w:r>
      <w:proofErr w:type="gramStart"/>
      <w:r w:rsidRPr="003B1372">
        <w:rPr>
          <w:lang w:val="fr-FR"/>
        </w:rPr>
        <w:t>Suite aux</w:t>
      </w:r>
      <w:proofErr w:type="gramEnd"/>
      <w:r w:rsidRPr="003B1372">
        <w:rPr>
          <w:lang w:val="fr-FR"/>
        </w:rPr>
        <w:t xml:space="preserve"> propositions du représentant de la Roumanie et du représentant de l’Autriche, M. C. </w:t>
      </w:r>
      <w:proofErr w:type="spellStart"/>
      <w:r w:rsidRPr="003B1372">
        <w:rPr>
          <w:lang w:val="fr-FR"/>
        </w:rPr>
        <w:t>Pfauvadel</w:t>
      </w:r>
      <w:proofErr w:type="spellEnd"/>
      <w:r w:rsidRPr="003B1372">
        <w:rPr>
          <w:lang w:val="fr-FR"/>
        </w:rPr>
        <w:t xml:space="preserve"> (France) a été réélu Président de la Réunion commune pour 2019, et M</w:t>
      </w:r>
      <w:r w:rsidRPr="003B1372">
        <w:rPr>
          <w:vertAlign w:val="superscript"/>
          <w:lang w:val="fr-FR"/>
        </w:rPr>
        <w:t>me</w:t>
      </w:r>
      <w:r w:rsidRPr="003B1372">
        <w:rPr>
          <w:lang w:val="fr-FR"/>
        </w:rPr>
        <w:t> S. García Wolfrum (Espagne) a été élue Vice-Présidente.</w:t>
      </w:r>
    </w:p>
    <w:p w:rsidR="009427E3" w:rsidRPr="00364FEF" w:rsidRDefault="009427E3" w:rsidP="009427E3">
      <w:pPr>
        <w:pStyle w:val="HChG"/>
        <w:rPr>
          <w:lang w:val="fr-FR"/>
        </w:rPr>
      </w:pPr>
      <w:r w:rsidRPr="003B1372">
        <w:rPr>
          <w:lang w:val="fr-FR"/>
        </w:rPr>
        <w:tab/>
        <w:t>X.</w:t>
      </w:r>
      <w:r w:rsidRPr="003B1372">
        <w:rPr>
          <w:lang w:val="fr-FR"/>
        </w:rPr>
        <w:tab/>
      </w:r>
      <w:r w:rsidRPr="00364FEF">
        <w:rPr>
          <w:rFonts w:eastAsia="Times New Roman"/>
          <w:lang w:val="fr-FR"/>
        </w:rPr>
        <w:t>Travaux futurs (point 9 de l’ordre du jour)</w:t>
      </w:r>
      <w:r w:rsidRPr="003B1372">
        <w:rPr>
          <w:lang w:val="fr-FR"/>
        </w:rPr>
        <w:t xml:space="preserve"> </w:t>
      </w:r>
    </w:p>
    <w:p w:rsidR="009427E3" w:rsidRPr="00364FEF" w:rsidRDefault="009427E3" w:rsidP="009427E3">
      <w:pPr>
        <w:pStyle w:val="SingleTxtG"/>
        <w:rPr>
          <w:lang w:val="fr-FR"/>
        </w:rPr>
      </w:pPr>
      <w:r w:rsidRPr="003B1372">
        <w:rPr>
          <w:lang w:val="fr-FR"/>
        </w:rPr>
        <w:t>56.</w:t>
      </w:r>
      <w:r w:rsidRPr="003B1372">
        <w:rPr>
          <w:lang w:val="fr-FR"/>
        </w:rPr>
        <w:tab/>
        <w:t>La Réunion commune a été informée que sa prochaine session se tiendrait à Berne du 18 au 22 mars 2019 et que la date limite de soumission des documents était fixée au 21 décembre 2018.</w:t>
      </w:r>
    </w:p>
    <w:p w:rsidR="009427E3" w:rsidRPr="003B1372" w:rsidRDefault="009427E3" w:rsidP="009427E3">
      <w:pPr>
        <w:pStyle w:val="HChG"/>
        <w:rPr>
          <w:lang w:val="fr-FR"/>
        </w:rPr>
      </w:pPr>
      <w:r w:rsidRPr="003B1372">
        <w:rPr>
          <w:lang w:val="fr-FR"/>
        </w:rPr>
        <w:tab/>
        <w:t>XI.</w:t>
      </w:r>
      <w:r w:rsidRPr="003B1372">
        <w:rPr>
          <w:lang w:val="fr-FR"/>
        </w:rPr>
        <w:tab/>
        <w:t>Questions diverses (point 10 de l’ordre du jour)</w:t>
      </w:r>
    </w:p>
    <w:p w:rsidR="009427E3" w:rsidRPr="003B1372" w:rsidRDefault="009427E3" w:rsidP="009427E3">
      <w:pPr>
        <w:pStyle w:val="H1G"/>
        <w:rPr>
          <w:lang w:val="fr-FR"/>
        </w:rPr>
      </w:pPr>
      <w:r w:rsidRPr="003B1372">
        <w:rPr>
          <w:lang w:val="fr-FR"/>
        </w:rPr>
        <w:tab/>
        <w:t>A.</w:t>
      </w:r>
      <w:r w:rsidRPr="003B1372">
        <w:rPr>
          <w:lang w:val="fr-FR"/>
        </w:rPr>
        <w:tab/>
        <w:t>Références faites à l</w:t>
      </w:r>
      <w:proofErr w:type="gramStart"/>
      <w:r w:rsidRPr="003B1372">
        <w:rPr>
          <w:lang w:val="fr-FR"/>
        </w:rPr>
        <w:t>’«</w:t>
      </w:r>
      <w:proofErr w:type="gramEnd"/>
      <w:r w:rsidRPr="003B1372">
        <w:rPr>
          <w:lang w:val="fr-FR"/>
        </w:rPr>
        <w:t> autorité compétente » dans l’ADR</w:t>
      </w:r>
    </w:p>
    <w:p w:rsidR="009427E3" w:rsidRPr="003B1372" w:rsidRDefault="009427E3" w:rsidP="00966ADF">
      <w:pPr>
        <w:pStyle w:val="SingleTxtG"/>
        <w:tabs>
          <w:tab w:val="left" w:pos="3119"/>
        </w:tabs>
        <w:jc w:val="left"/>
        <w:rPr>
          <w:bCs/>
          <w:lang w:val="fr-FR"/>
        </w:rPr>
      </w:pPr>
      <w:r w:rsidRPr="003B1372">
        <w:rPr>
          <w:i/>
          <w:lang w:val="fr-FR"/>
        </w:rPr>
        <w:t>Document informel</w:t>
      </w:r>
      <w:r w:rsidRPr="003B1372">
        <w:rPr>
          <w:lang w:val="fr-FR"/>
        </w:rPr>
        <w:t xml:space="preserve"> : </w:t>
      </w:r>
      <w:r w:rsidRPr="003B1372">
        <w:rPr>
          <w:lang w:val="fr-FR"/>
        </w:rPr>
        <w:tab/>
        <w:t>INF.21 (secrétariat)</w:t>
      </w:r>
    </w:p>
    <w:p w:rsidR="009427E3" w:rsidRPr="003B1372" w:rsidRDefault="009427E3" w:rsidP="009427E3">
      <w:pPr>
        <w:pStyle w:val="SingleTxtG"/>
        <w:keepNext/>
        <w:rPr>
          <w:lang w:val="fr-FR"/>
        </w:rPr>
      </w:pPr>
      <w:r w:rsidRPr="003B1372">
        <w:rPr>
          <w:lang w:val="fr-FR"/>
        </w:rPr>
        <w:t>57.</w:t>
      </w:r>
      <w:r w:rsidRPr="003B1372">
        <w:rPr>
          <w:lang w:val="fr-FR"/>
        </w:rPr>
        <w:tab/>
        <w:t>La Réunion commune a salué le travail accompli par le secrétariat. Reconnaissant qu’il serait difficile d’étudier en séance plénière toutes les questions soulevées dans le document informel INF.21, la Réunion commune a décidé de confier leur examen à un groupe de travail informel. Il a été suggéré que les travaux se déroulent en deux phases :</w:t>
      </w:r>
    </w:p>
    <w:p w:rsidR="009427E3" w:rsidRPr="003B1372" w:rsidRDefault="009427E3" w:rsidP="009427E3">
      <w:pPr>
        <w:pStyle w:val="SingleTxtG"/>
        <w:ind w:firstLine="567"/>
        <w:rPr>
          <w:lang w:val="fr-FR"/>
        </w:rPr>
      </w:pPr>
      <w:r w:rsidRPr="003B1372">
        <w:rPr>
          <w:lang w:val="fr-FR"/>
        </w:rPr>
        <w:t>a)</w:t>
      </w:r>
      <w:r w:rsidRPr="003B1372">
        <w:rPr>
          <w:lang w:val="fr-FR"/>
        </w:rPr>
        <w:tab/>
        <w:t xml:space="preserve">Tout d’abord, s’entendre sur un ensemble de principes directeurs pour la définition du type d’autorité compétente concerné et la manière dont il faut y faire référence ; </w:t>
      </w:r>
    </w:p>
    <w:p w:rsidR="009427E3" w:rsidRPr="003B1372" w:rsidRDefault="009427E3" w:rsidP="009427E3">
      <w:pPr>
        <w:pStyle w:val="SingleTxtG"/>
        <w:ind w:firstLine="567"/>
        <w:rPr>
          <w:lang w:val="fr-FR"/>
        </w:rPr>
      </w:pPr>
      <w:r w:rsidRPr="003B1372">
        <w:rPr>
          <w:lang w:val="fr-FR"/>
        </w:rPr>
        <w:t>b)</w:t>
      </w:r>
      <w:r w:rsidRPr="003B1372">
        <w:rPr>
          <w:lang w:val="fr-FR"/>
        </w:rPr>
        <w:tab/>
        <w:t>Dans un deuxième temps, réviser les références actuelles conformément à ces principes.</w:t>
      </w:r>
    </w:p>
    <w:p w:rsidR="009427E3" w:rsidRPr="003B1372" w:rsidRDefault="009427E3" w:rsidP="009427E3">
      <w:pPr>
        <w:pStyle w:val="SingleTxtG"/>
        <w:rPr>
          <w:lang w:val="fr-FR"/>
        </w:rPr>
      </w:pPr>
      <w:r w:rsidRPr="003B1372">
        <w:rPr>
          <w:lang w:val="fr-FR"/>
        </w:rPr>
        <w:t>58.</w:t>
      </w:r>
      <w:r w:rsidRPr="003B1372">
        <w:rPr>
          <w:lang w:val="fr-FR"/>
        </w:rPr>
        <w:tab/>
        <w:t xml:space="preserve">Il a été proposé que les résultats des discussions pertinentes du Groupe de travail informel sur le contrôle et l’homologation des citernes, en ce qui concerne les références à l’autorité compétente, soient également pris en compte. </w:t>
      </w:r>
    </w:p>
    <w:p w:rsidR="009427E3" w:rsidRPr="003B1372" w:rsidRDefault="009427E3" w:rsidP="009427E3">
      <w:pPr>
        <w:pStyle w:val="SingleTxtG"/>
        <w:rPr>
          <w:lang w:val="fr-FR"/>
        </w:rPr>
      </w:pPr>
      <w:r w:rsidRPr="003B1372">
        <w:rPr>
          <w:lang w:val="fr-FR"/>
        </w:rPr>
        <w:t>59.</w:t>
      </w:r>
      <w:r w:rsidRPr="003B1372">
        <w:rPr>
          <w:lang w:val="fr-FR"/>
        </w:rPr>
        <w:tab/>
        <w:t>La Réunion commune a invité les délégations intéressées à soumettre, à la session de mars 2019, un document contenant une proposition de mandat pour le groupe de travail informel. Elle a estimé que la participation du secrétariat aux réunions du groupe de travail informel était souhaitable en fonction du temps et des ressources disponibles.</w:t>
      </w:r>
    </w:p>
    <w:p w:rsidR="009427E3" w:rsidRPr="003B1372" w:rsidRDefault="009427E3" w:rsidP="009427E3">
      <w:pPr>
        <w:pStyle w:val="H1G"/>
        <w:rPr>
          <w:lang w:val="fr-FR"/>
        </w:rPr>
      </w:pPr>
      <w:r w:rsidRPr="003B1372">
        <w:rPr>
          <w:lang w:val="fr-FR"/>
        </w:rPr>
        <w:tab/>
        <w:t>B.</w:t>
      </w:r>
      <w:r w:rsidRPr="003B1372">
        <w:rPr>
          <w:lang w:val="fr-FR"/>
        </w:rPr>
        <w:tab/>
        <w:t>Formation en ligne pour les transporteurs</w:t>
      </w:r>
    </w:p>
    <w:p w:rsidR="009427E3" w:rsidRPr="00364FEF" w:rsidRDefault="009427E3" w:rsidP="00966ADF">
      <w:pPr>
        <w:pStyle w:val="SingleTxtG"/>
        <w:tabs>
          <w:tab w:val="left" w:pos="3119"/>
        </w:tabs>
        <w:rPr>
          <w:lang w:val="fr-FR"/>
        </w:rPr>
      </w:pPr>
      <w:r w:rsidRPr="00364FEF">
        <w:rPr>
          <w:i/>
          <w:iCs/>
          <w:lang w:val="fr-FR"/>
        </w:rPr>
        <w:t>Document informel :</w:t>
      </w:r>
      <w:r w:rsidRPr="003B1372">
        <w:rPr>
          <w:lang w:val="fr-FR"/>
        </w:rPr>
        <w:t xml:space="preserve"> </w:t>
      </w:r>
      <w:r w:rsidRPr="003B1372">
        <w:rPr>
          <w:lang w:val="fr-FR"/>
        </w:rPr>
        <w:tab/>
        <w:t>INF.19 (IRU)</w:t>
      </w:r>
    </w:p>
    <w:p w:rsidR="009427E3" w:rsidRPr="003B1372" w:rsidRDefault="009427E3" w:rsidP="009427E3">
      <w:pPr>
        <w:pStyle w:val="SingleTxtG"/>
        <w:rPr>
          <w:lang w:val="fr-FR"/>
        </w:rPr>
      </w:pPr>
      <w:r w:rsidRPr="003B1372">
        <w:rPr>
          <w:lang w:val="fr-FR"/>
        </w:rPr>
        <w:t>60.</w:t>
      </w:r>
      <w:r w:rsidRPr="003B1372">
        <w:rPr>
          <w:lang w:val="fr-FR"/>
        </w:rPr>
        <w:tab/>
        <w:t>La Réunion commune a constaté que la formation en ligne n’était pas considérée de la même façon d’un pays à un autre. Certaines délégations estimaient que la décision d’autoriser la formation en ligne pour le RID/ADR/ADN, tout comme les conditions dans lesquelles un organisme de formation pourrait être agré</w:t>
      </w:r>
      <w:r>
        <w:rPr>
          <w:lang w:val="fr-FR"/>
        </w:rPr>
        <w:t>é</w:t>
      </w:r>
      <w:r w:rsidRPr="003B1372">
        <w:rPr>
          <w:lang w:val="fr-FR"/>
        </w:rPr>
        <w:t xml:space="preserve"> en vue de dispenser une telle formation, devaient être laissées au choix des autorités compétentes ; d’autres étaient d’avis qu’il serait utile de définir dans le RID/ADR/ADN un cadre général pour ce type de formation. En revanche, les délégations pensaient dans leur ensemble que la formation en ligne, ou toute formation dispensée à l’aide de moyens informatiques, ne devrait pas constituer la totalité du programme de formation, dans la mesure où les interactions entre formateurs et élèves et les échanges d’expériences entre élèves étaient jugés essentiels aux fins de l’apprentissage.</w:t>
      </w:r>
    </w:p>
    <w:p w:rsidR="009427E3" w:rsidRPr="003B1372" w:rsidRDefault="009427E3" w:rsidP="009427E3">
      <w:pPr>
        <w:pStyle w:val="SingleTxtG"/>
        <w:rPr>
          <w:lang w:val="fr-FR"/>
        </w:rPr>
      </w:pPr>
      <w:r w:rsidRPr="003B1372">
        <w:rPr>
          <w:lang w:val="fr-FR"/>
        </w:rPr>
        <w:lastRenderedPageBreak/>
        <w:t>61.</w:t>
      </w:r>
      <w:r w:rsidRPr="003B1372">
        <w:rPr>
          <w:lang w:val="fr-FR"/>
        </w:rPr>
        <w:tab/>
        <w:t>La Réunion commune a invité le représentant de l’IRU à revoir la proposition formulée dans le document ECE/TRANS/WP.15/AC.1/2018/10 en tenant compte des observations qui avaient été faites et à soumettre la proposition ainsi révisée pour examen aux prochaines sessions du WP.15 et du Comité de sécurité de l’ADN. Ils pourraient ainsi déterminer si des questions particulières devaient être étudiées. Le représentant prendrait en considération les observations de ces deux organes, puis soumettrait un nouveau document à une prochaine session de la Réunion commune.</w:t>
      </w:r>
    </w:p>
    <w:p w:rsidR="009427E3" w:rsidRPr="00364FEF" w:rsidRDefault="009427E3" w:rsidP="009427E3">
      <w:pPr>
        <w:pStyle w:val="H1G"/>
        <w:spacing w:line="240" w:lineRule="exact"/>
        <w:rPr>
          <w:lang w:val="fr-FR"/>
        </w:rPr>
      </w:pPr>
      <w:r w:rsidRPr="003B1372">
        <w:rPr>
          <w:lang w:val="fr-FR"/>
        </w:rPr>
        <w:tab/>
        <w:t>C.</w:t>
      </w:r>
      <w:r w:rsidRPr="003B1372">
        <w:rPr>
          <w:lang w:val="fr-FR"/>
        </w:rPr>
        <w:tab/>
        <w:t>Transport de déchets dangereux</w:t>
      </w:r>
    </w:p>
    <w:p w:rsidR="009427E3" w:rsidRPr="00364FEF" w:rsidRDefault="009427E3" w:rsidP="00966ADF">
      <w:pPr>
        <w:pStyle w:val="SingleTxtG"/>
        <w:tabs>
          <w:tab w:val="left" w:pos="3119"/>
        </w:tabs>
        <w:rPr>
          <w:lang w:val="fr-FR"/>
        </w:rPr>
      </w:pPr>
      <w:r w:rsidRPr="00364FEF">
        <w:rPr>
          <w:i/>
          <w:iCs/>
          <w:lang w:val="fr-FR"/>
        </w:rPr>
        <w:t xml:space="preserve">Document informel : </w:t>
      </w:r>
      <w:r w:rsidRPr="00364FEF">
        <w:rPr>
          <w:lang w:val="fr-FR"/>
        </w:rPr>
        <w:tab/>
        <w:t>INF.4 (FEAD)</w:t>
      </w:r>
    </w:p>
    <w:p w:rsidR="009427E3" w:rsidRPr="003B1372" w:rsidRDefault="009427E3" w:rsidP="009427E3">
      <w:pPr>
        <w:pStyle w:val="SingleTxtG"/>
        <w:rPr>
          <w:lang w:val="fr-FR"/>
        </w:rPr>
      </w:pPr>
      <w:r w:rsidRPr="003B1372">
        <w:rPr>
          <w:lang w:val="fr-FR"/>
        </w:rPr>
        <w:t>62.</w:t>
      </w:r>
      <w:r w:rsidRPr="003B1372">
        <w:rPr>
          <w:lang w:val="fr-FR"/>
        </w:rPr>
        <w:tab/>
        <w:t>Les participants à la réunion ont dans leur ensemble approuvé l’idée d’établir un groupe de travail informel dirigé par la FEAD. La Réunion commune a dans un premier temps demandé au représentant de la FEAD d’établir une liste des questions à examiner, y compris une description de la situation juridique et factuelle dans chaque cas, et de la diffuser pour observations à toutes les personnes ayant fait part de leur souhait de participer aux travaux, bien avant la tenue de la première réunion du groupe de travail informel. Un document contenant toutes les observations reçues devrait par la suite être soumis pour examen à une future session de la Réunion commune, et celle-ci déterminerait alors la meilleure façon de tirer parti desdites observations.</w:t>
      </w:r>
    </w:p>
    <w:p w:rsidR="009427E3" w:rsidRPr="00364FEF" w:rsidRDefault="009427E3" w:rsidP="009427E3">
      <w:pPr>
        <w:pStyle w:val="H1G"/>
        <w:rPr>
          <w:lang w:val="fr-FR"/>
        </w:rPr>
      </w:pPr>
      <w:r w:rsidRPr="003B1372">
        <w:rPr>
          <w:lang w:val="fr-FR"/>
        </w:rPr>
        <w:tab/>
        <w:t>D.</w:t>
      </w:r>
      <w:r w:rsidRPr="003B1372">
        <w:rPr>
          <w:lang w:val="fr-FR"/>
        </w:rPr>
        <w:tab/>
        <w:t>Hommage à M. H. Rein (Allemagne)</w:t>
      </w:r>
    </w:p>
    <w:p w:rsidR="009427E3" w:rsidRPr="00364FEF" w:rsidRDefault="009427E3" w:rsidP="009427E3">
      <w:pPr>
        <w:pStyle w:val="SingleTxtG"/>
        <w:rPr>
          <w:lang w:val="fr-FR"/>
        </w:rPr>
      </w:pPr>
      <w:r w:rsidRPr="003B1372">
        <w:rPr>
          <w:lang w:val="fr-FR"/>
        </w:rPr>
        <w:t>63.</w:t>
      </w:r>
      <w:r w:rsidRPr="003B1372">
        <w:rPr>
          <w:lang w:val="fr-FR"/>
        </w:rPr>
        <w:tab/>
        <w:t>La Réunion commune a été informée que M. Rein, qui assurait la vice-présidence des sessions de la Réunion commune depuis 1996, participait pour la dernière fois à une session car il allait prochainement prendre sa retraite. La Réunion commune l’a remercié pour son excellent travail et pour son engagement en fav</w:t>
      </w:r>
      <w:bookmarkStart w:id="4" w:name="_GoBack"/>
      <w:bookmarkEnd w:id="4"/>
      <w:r w:rsidRPr="003B1372">
        <w:rPr>
          <w:lang w:val="fr-FR"/>
        </w:rPr>
        <w:t>eur de la sécurité du transport des marchandises dangereuses et lui a souhaité une longue et heureuse retraite.</w:t>
      </w:r>
    </w:p>
    <w:p w:rsidR="009427E3" w:rsidRPr="00364FEF" w:rsidRDefault="009427E3" w:rsidP="009427E3">
      <w:pPr>
        <w:pStyle w:val="HChG"/>
        <w:rPr>
          <w:lang w:val="fr-FR"/>
        </w:rPr>
      </w:pPr>
      <w:r w:rsidRPr="003B1372">
        <w:rPr>
          <w:lang w:val="fr-FR"/>
        </w:rPr>
        <w:tab/>
        <w:t>XII.</w:t>
      </w:r>
      <w:r w:rsidRPr="003B1372">
        <w:rPr>
          <w:lang w:val="fr-FR"/>
        </w:rPr>
        <w:tab/>
        <w:t>Adoption du rapport (point 11 de l’ordre du jour)</w:t>
      </w:r>
    </w:p>
    <w:p w:rsidR="009427E3" w:rsidRPr="003B1372" w:rsidRDefault="009427E3" w:rsidP="009427E3">
      <w:pPr>
        <w:pStyle w:val="SingleTxtG"/>
        <w:rPr>
          <w:lang w:val="fr-FR"/>
        </w:rPr>
      </w:pPr>
      <w:r w:rsidRPr="003B1372">
        <w:rPr>
          <w:lang w:val="fr-FR"/>
        </w:rPr>
        <w:t>64.</w:t>
      </w:r>
      <w:r w:rsidRPr="003B1372">
        <w:rPr>
          <w:lang w:val="fr-FR"/>
        </w:rPr>
        <w:tab/>
        <w:t>La Réunion commune a adopté le rapport sur sa session de l’automne 2018 et ses annexes sur la base d’un projet établi par le secrétariat.</w:t>
      </w:r>
    </w:p>
    <w:p w:rsidR="009427E3" w:rsidRPr="003B1372" w:rsidRDefault="009427E3" w:rsidP="009427E3">
      <w:pPr>
        <w:pStyle w:val="SingleTxtG"/>
        <w:rPr>
          <w:lang w:val="fr-FR"/>
        </w:rPr>
      </w:pPr>
    </w:p>
    <w:p w:rsidR="009427E3" w:rsidRPr="00364FEF" w:rsidRDefault="009427E3" w:rsidP="009427E3">
      <w:pPr>
        <w:pStyle w:val="HChG"/>
        <w:ind w:firstLine="0"/>
        <w:rPr>
          <w:lang w:val="fr-FR"/>
        </w:rPr>
      </w:pPr>
      <w:r w:rsidRPr="00364FEF">
        <w:rPr>
          <w:sz w:val="20"/>
          <w:lang w:val="fr-FR"/>
        </w:rPr>
        <w:br w:type="page"/>
      </w:r>
      <w:r w:rsidRPr="00364FEF">
        <w:rPr>
          <w:lang w:val="fr-FR"/>
        </w:rPr>
        <w:lastRenderedPageBreak/>
        <w:t>Annexe I</w:t>
      </w:r>
    </w:p>
    <w:p w:rsidR="009427E3" w:rsidRPr="00364FEF" w:rsidRDefault="009427E3" w:rsidP="009427E3">
      <w:pPr>
        <w:pStyle w:val="HChG"/>
        <w:rPr>
          <w:lang w:val="fr-FR"/>
        </w:rPr>
      </w:pPr>
      <w:r w:rsidRPr="00364FEF">
        <w:rPr>
          <w:lang w:val="fr-FR"/>
        </w:rPr>
        <w:tab/>
      </w:r>
      <w:r w:rsidRPr="00364FEF">
        <w:rPr>
          <w:lang w:val="fr-FR"/>
        </w:rPr>
        <w:tab/>
        <w:t>Rapport du Groupe de travail sur les citernes</w:t>
      </w:r>
    </w:p>
    <w:p w:rsidR="009427E3" w:rsidRPr="00364FEF" w:rsidRDefault="009427E3" w:rsidP="009427E3">
      <w:pPr>
        <w:pStyle w:val="SingleTxtG"/>
        <w:rPr>
          <w:lang w:val="fr-FR"/>
        </w:rPr>
      </w:pPr>
      <w:r w:rsidRPr="00364FEF">
        <w:rPr>
          <w:lang w:val="fr-FR"/>
        </w:rPr>
        <w:t>(</w:t>
      </w:r>
      <w:proofErr w:type="gramStart"/>
      <w:r w:rsidRPr="00364FEF">
        <w:rPr>
          <w:lang w:val="fr-FR"/>
        </w:rPr>
        <w:t>voir</w:t>
      </w:r>
      <w:proofErr w:type="gramEnd"/>
      <w:r w:rsidRPr="00364FEF">
        <w:rPr>
          <w:lang w:val="fr-FR"/>
        </w:rPr>
        <w:t xml:space="preserve"> ECE/TRANS/WP.15/AC.1/152/Add.1)</w:t>
      </w:r>
    </w:p>
    <w:p w:rsidR="009427E3" w:rsidRPr="00364FEF" w:rsidRDefault="009427E3" w:rsidP="009427E3">
      <w:pPr>
        <w:suppressAutoHyphens w:val="0"/>
        <w:kinsoku/>
        <w:overflowPunct/>
        <w:autoSpaceDE/>
        <w:autoSpaceDN/>
        <w:adjustRightInd/>
        <w:snapToGrid/>
        <w:spacing w:after="200" w:line="276" w:lineRule="auto"/>
        <w:rPr>
          <w:lang w:val="fr-FR"/>
        </w:rPr>
      </w:pPr>
      <w:r w:rsidRPr="00364FEF">
        <w:rPr>
          <w:lang w:val="fr-FR"/>
        </w:rPr>
        <w:br w:type="page"/>
      </w:r>
    </w:p>
    <w:p w:rsidR="009427E3" w:rsidRPr="00364FEF" w:rsidRDefault="009427E3" w:rsidP="009427E3">
      <w:pPr>
        <w:pStyle w:val="HChG"/>
        <w:rPr>
          <w:lang w:val="fr-FR"/>
        </w:rPr>
      </w:pPr>
      <w:r w:rsidRPr="00364FEF">
        <w:rPr>
          <w:lang w:val="fr-FR"/>
        </w:rPr>
        <w:lastRenderedPageBreak/>
        <w:tab/>
      </w:r>
      <w:r w:rsidRPr="00364FEF">
        <w:rPr>
          <w:lang w:val="fr-FR"/>
        </w:rPr>
        <w:tab/>
        <w:t>Annexe II</w:t>
      </w:r>
    </w:p>
    <w:p w:rsidR="009427E3" w:rsidRPr="00364FEF" w:rsidRDefault="009427E3" w:rsidP="009427E3">
      <w:pPr>
        <w:pStyle w:val="HChG"/>
        <w:rPr>
          <w:lang w:val="fr-FR"/>
        </w:rPr>
      </w:pPr>
      <w:r w:rsidRPr="00364FEF">
        <w:rPr>
          <w:lang w:val="fr-FR"/>
        </w:rPr>
        <w:tab/>
      </w:r>
      <w:r w:rsidRPr="00364FEF">
        <w:rPr>
          <w:lang w:val="fr-FR"/>
        </w:rPr>
        <w:tab/>
        <w:t xml:space="preserve">Projet d’amendements au RID, à l’ADR et à l’ADN pour </w:t>
      </w:r>
      <w:proofErr w:type="spellStart"/>
      <w:r w:rsidRPr="00364FEF">
        <w:rPr>
          <w:lang w:val="fr-FR"/>
        </w:rPr>
        <w:t>entrée</w:t>
      </w:r>
      <w:proofErr w:type="spellEnd"/>
      <w:r w:rsidRPr="00364FEF">
        <w:rPr>
          <w:lang w:val="fr-FR"/>
        </w:rPr>
        <w:t xml:space="preserve"> en vigueur le 1</w:t>
      </w:r>
      <w:r w:rsidRPr="00364FEF">
        <w:rPr>
          <w:vertAlign w:val="superscript"/>
          <w:lang w:val="fr-FR"/>
        </w:rPr>
        <w:t>er</w:t>
      </w:r>
      <w:r w:rsidRPr="00364FEF">
        <w:rPr>
          <w:lang w:val="fr-FR"/>
        </w:rPr>
        <w:t xml:space="preserve"> janvier 2021</w:t>
      </w:r>
    </w:p>
    <w:p w:rsidR="009427E3" w:rsidRPr="003B1372" w:rsidRDefault="009427E3" w:rsidP="009427E3">
      <w:pPr>
        <w:pStyle w:val="H1G"/>
        <w:rPr>
          <w:lang w:val="fr-FR"/>
        </w:rPr>
      </w:pPr>
      <w:r w:rsidRPr="003B1372">
        <w:rPr>
          <w:lang w:val="fr-FR"/>
        </w:rPr>
        <w:tab/>
      </w:r>
      <w:r w:rsidRPr="003B1372">
        <w:rPr>
          <w:lang w:val="fr-FR"/>
        </w:rPr>
        <w:tab/>
        <w:t>Chapitre 1.4</w:t>
      </w:r>
    </w:p>
    <w:p w:rsidR="009427E3" w:rsidRPr="003B1372" w:rsidRDefault="009427E3" w:rsidP="009427E3">
      <w:pPr>
        <w:pStyle w:val="SingleTxtG"/>
        <w:rPr>
          <w:lang w:val="fr-FR"/>
        </w:rPr>
      </w:pPr>
      <w:r w:rsidRPr="003B1372">
        <w:rPr>
          <w:lang w:val="fr-FR"/>
        </w:rPr>
        <w:tab/>
      </w:r>
      <w:r w:rsidRPr="00364FEF">
        <w:rPr>
          <w:lang w:val="fr-FR"/>
        </w:rPr>
        <w:t>1.4.3.3</w:t>
      </w:r>
      <w:r w:rsidRPr="00364FEF">
        <w:rPr>
          <w:lang w:val="fr-FR"/>
        </w:rPr>
        <w:tab/>
        <w:t xml:space="preserve"> e)</w:t>
      </w:r>
      <w:r w:rsidRPr="00364FEF">
        <w:rPr>
          <w:lang w:val="fr-FR"/>
        </w:rPr>
        <w:tab/>
        <w:t>Supprimer « maximal » et « maximale ».</w:t>
      </w:r>
    </w:p>
    <w:p w:rsidR="009427E3" w:rsidRPr="00364FEF" w:rsidRDefault="009427E3" w:rsidP="009427E3">
      <w:pPr>
        <w:pStyle w:val="SingleTxtG"/>
        <w:ind w:left="0"/>
        <w:rPr>
          <w:i/>
          <w:iCs/>
          <w:lang w:val="fr-FR"/>
        </w:rPr>
      </w:pPr>
      <w:r w:rsidRPr="00364FEF">
        <w:rPr>
          <w:lang w:val="fr-FR"/>
        </w:rPr>
        <w:tab/>
      </w:r>
      <w:r w:rsidRPr="00364FEF">
        <w:rPr>
          <w:lang w:val="fr-FR"/>
        </w:rPr>
        <w:tab/>
      </w:r>
      <w:r w:rsidRPr="00364FEF">
        <w:rPr>
          <w:i/>
          <w:iCs/>
          <w:lang w:val="fr-FR"/>
        </w:rPr>
        <w:t>(</w:t>
      </w:r>
      <w:r w:rsidRPr="00364FEF">
        <w:rPr>
          <w:i/>
          <w:lang w:val="fr-FR"/>
        </w:rPr>
        <w:t xml:space="preserve">Document </w:t>
      </w:r>
      <w:r w:rsidRPr="003B1372">
        <w:rPr>
          <w:i/>
          <w:iCs/>
          <w:lang w:val="fr-FR"/>
        </w:rPr>
        <w:t xml:space="preserve">de référence : document informel </w:t>
      </w:r>
      <w:r w:rsidRPr="00364FEF">
        <w:rPr>
          <w:i/>
          <w:iCs/>
          <w:lang w:val="fr-FR"/>
        </w:rPr>
        <w:t>INF.30)</w:t>
      </w:r>
    </w:p>
    <w:p w:rsidR="009427E3" w:rsidRPr="003B1372" w:rsidRDefault="009427E3" w:rsidP="009427E3">
      <w:pPr>
        <w:pStyle w:val="H1G"/>
        <w:rPr>
          <w:lang w:val="fr-FR"/>
        </w:rPr>
      </w:pPr>
      <w:r w:rsidRPr="003B1372">
        <w:rPr>
          <w:lang w:val="fr-FR"/>
        </w:rPr>
        <w:tab/>
      </w:r>
      <w:r w:rsidRPr="003B1372">
        <w:rPr>
          <w:lang w:val="fr-FR"/>
        </w:rPr>
        <w:tab/>
      </w:r>
      <w:r w:rsidRPr="003B1372">
        <w:rPr>
          <w:lang w:val="fr-FR"/>
        </w:rPr>
        <w:tab/>
        <w:t>Chapitre 1.6</w:t>
      </w:r>
    </w:p>
    <w:p w:rsidR="009427E3" w:rsidRPr="003B1372" w:rsidRDefault="009427E3" w:rsidP="009427E3">
      <w:pPr>
        <w:pStyle w:val="SingleTxtG"/>
        <w:rPr>
          <w:lang w:val="fr-FR"/>
        </w:rPr>
      </w:pPr>
      <w:r w:rsidRPr="003B1372">
        <w:rPr>
          <w:lang w:val="fr-FR"/>
        </w:rPr>
        <w:t>Ajouter le nouveau paragraphe 1.6.2.16 suivant :</w:t>
      </w:r>
    </w:p>
    <w:p w:rsidR="009427E3" w:rsidRPr="003B1372" w:rsidRDefault="009427E3" w:rsidP="009427E3">
      <w:pPr>
        <w:pStyle w:val="SingleTxtG"/>
        <w:rPr>
          <w:lang w:val="fr-FR"/>
        </w:rPr>
      </w:pPr>
      <w:r w:rsidRPr="003B1372">
        <w:rPr>
          <w:lang w:val="fr-FR"/>
        </w:rPr>
        <w:t>« </w:t>
      </w:r>
      <w:r w:rsidRPr="00364FEF">
        <w:rPr>
          <w:lang w:val="fr-FR"/>
        </w:rPr>
        <w:t>1.6.2.16</w:t>
      </w:r>
      <w:r w:rsidRPr="00364FEF">
        <w:rPr>
          <w:lang w:val="fr-FR"/>
        </w:rPr>
        <w:tab/>
      </w:r>
      <w:r w:rsidRPr="00364FEF">
        <w:rPr>
          <w:rStyle w:val="SingleTxtGChar"/>
          <w:lang w:val="fr-FR"/>
        </w:rPr>
        <w:t>Les dispositions de la note 3 du 6.2.3.5.1, applicables jusqu'au 31 décembre 2020 peuvent continuer à être appliquées jusqu'au 31 décembre 2022. ».</w:t>
      </w:r>
    </w:p>
    <w:p w:rsidR="009427E3" w:rsidRPr="00364FEF" w:rsidRDefault="009427E3" w:rsidP="009427E3">
      <w:pPr>
        <w:spacing w:before="120" w:line="240" w:lineRule="auto"/>
        <w:ind w:left="1134" w:right="1134"/>
        <w:jc w:val="both"/>
        <w:rPr>
          <w:rStyle w:val="SingleTxtGChar"/>
          <w:lang w:val="fr-FR"/>
        </w:rPr>
      </w:pPr>
      <w:r w:rsidRPr="00364FEF">
        <w:rPr>
          <w:lang w:val="fr-FR"/>
        </w:rPr>
        <w:tab/>
      </w:r>
      <w:r w:rsidRPr="00364FEF">
        <w:rPr>
          <w:i/>
          <w:iCs/>
          <w:lang w:val="fr-FR"/>
        </w:rPr>
        <w:t>(</w:t>
      </w:r>
      <w:r w:rsidRPr="00364FEF">
        <w:rPr>
          <w:i/>
          <w:lang w:val="fr-FR"/>
        </w:rPr>
        <w:t xml:space="preserve">Document </w:t>
      </w:r>
      <w:r w:rsidRPr="003B1372">
        <w:rPr>
          <w:i/>
          <w:iCs/>
          <w:lang w:val="fr-FR"/>
        </w:rPr>
        <w:t xml:space="preserve">de référence : document informel </w:t>
      </w:r>
      <w:r w:rsidRPr="00364FEF">
        <w:rPr>
          <w:i/>
          <w:iCs/>
          <w:lang w:val="fr-FR"/>
        </w:rPr>
        <w:t>INF.29)</w:t>
      </w:r>
    </w:p>
    <w:p w:rsidR="009427E3" w:rsidRPr="00364FEF" w:rsidRDefault="009427E3" w:rsidP="009427E3">
      <w:pPr>
        <w:pStyle w:val="H23G"/>
        <w:rPr>
          <w:lang w:val="fr-FR"/>
        </w:rPr>
      </w:pPr>
      <w:r w:rsidRPr="00364FEF">
        <w:rPr>
          <w:lang w:val="fr-FR"/>
        </w:rPr>
        <w:tab/>
      </w:r>
      <w:r w:rsidRPr="00364FEF">
        <w:rPr>
          <w:lang w:val="fr-FR"/>
        </w:rPr>
        <w:tab/>
        <w:t>[ADR</w:t>
      </w:r>
      <w:r>
        <w:rPr>
          <w:lang w:val="fr-FR"/>
        </w:rPr>
        <w:t xml:space="preserve"> seulement</w:t>
      </w:r>
      <w:r w:rsidRPr="00364FEF">
        <w:rPr>
          <w:lang w:val="fr-FR"/>
        </w:rPr>
        <w:t>]</w:t>
      </w:r>
    </w:p>
    <w:p w:rsidR="009427E3" w:rsidRPr="00364FEF" w:rsidRDefault="009427E3" w:rsidP="009427E3">
      <w:pPr>
        <w:pStyle w:val="SingleTxtG"/>
        <w:rPr>
          <w:lang w:val="fr-FR"/>
        </w:rPr>
      </w:pPr>
      <w:r w:rsidRPr="00364FEF">
        <w:rPr>
          <w:lang w:val="fr-FR"/>
        </w:rPr>
        <w:t>1.6.3.100</w:t>
      </w:r>
      <w:r w:rsidRPr="00364FEF">
        <w:rPr>
          <w:lang w:val="fr-FR"/>
        </w:rPr>
        <w:tab/>
        <w:t>Combiner les deux paragraphes existants sous le titre, les numéroter en tant que 1.6.3.100.1 et ajouter le nouveau paragraphe 1.6.3.100.2 suivant :</w:t>
      </w:r>
    </w:p>
    <w:p w:rsidR="009427E3" w:rsidRPr="003B1372" w:rsidRDefault="009427E3" w:rsidP="009427E3">
      <w:pPr>
        <w:pStyle w:val="SingleTxtG"/>
        <w:rPr>
          <w:lang w:val="fr-FR"/>
        </w:rPr>
      </w:pPr>
      <w:r w:rsidRPr="00364FEF">
        <w:rPr>
          <w:lang w:val="fr-FR"/>
        </w:rPr>
        <w:t>« 1.6.3.100.2</w:t>
      </w:r>
      <w:r w:rsidRPr="00364FEF">
        <w:rPr>
          <w:lang w:val="fr-FR"/>
        </w:rPr>
        <w:tab/>
        <w:t>Les citernes en matière plastique renforcée de fibres construites avant le 1er juillet 2021 conformément aux prescriptions applicables jusqu’au 31 décembre 2020 mais qui ne sont cependant pas conformes aux prescriptions de marquage du code-citerne du 6.9.6.1 applicables à compter du 1</w:t>
      </w:r>
      <w:r w:rsidRPr="00301954">
        <w:rPr>
          <w:lang w:val="fr-FR"/>
        </w:rPr>
        <w:t>er</w:t>
      </w:r>
      <w:r w:rsidRPr="00364FEF">
        <w:rPr>
          <w:lang w:val="fr-FR"/>
        </w:rPr>
        <w:t> janvier 2021 pourront continuer à porter le marquage conforme aux prescriptions en vigueur jusqu’au 31 décembre 2020 jusqu’au prochain contrôle périodique devant avoir lieu après le 1er juillet 2021. ».</w:t>
      </w:r>
    </w:p>
    <w:p w:rsidR="009427E3" w:rsidRPr="00364FEF" w:rsidRDefault="009427E3" w:rsidP="009427E3">
      <w:pPr>
        <w:pStyle w:val="SingleTxtG"/>
        <w:ind w:left="1138" w:right="1138"/>
        <w:rPr>
          <w:lang w:val="fr-FR"/>
        </w:rPr>
      </w:pPr>
      <w:r w:rsidRPr="00364FEF">
        <w:rPr>
          <w:i/>
          <w:iCs/>
          <w:lang w:val="fr-FR"/>
        </w:rPr>
        <w:t>(</w:t>
      </w:r>
      <w:r w:rsidRPr="00364FEF">
        <w:rPr>
          <w:i/>
          <w:lang w:val="fr-FR"/>
        </w:rPr>
        <w:t xml:space="preserve">Document </w:t>
      </w:r>
      <w:r w:rsidRPr="003B1372">
        <w:rPr>
          <w:i/>
          <w:iCs/>
          <w:lang w:val="fr-FR"/>
        </w:rPr>
        <w:t xml:space="preserve">de référence : document informel </w:t>
      </w:r>
      <w:r w:rsidRPr="00364FEF">
        <w:rPr>
          <w:i/>
          <w:iCs/>
          <w:lang w:val="fr-FR"/>
        </w:rPr>
        <w:t>INF.30</w:t>
      </w:r>
      <w:r w:rsidRPr="003B1372">
        <w:rPr>
          <w:i/>
          <w:iCs/>
          <w:lang w:val="fr-FR"/>
        </w:rPr>
        <w:t>, tel que modifié</w:t>
      </w:r>
      <w:r w:rsidRPr="00364FEF">
        <w:rPr>
          <w:i/>
          <w:iCs/>
          <w:lang w:val="fr-FR"/>
        </w:rPr>
        <w:t>)</w:t>
      </w:r>
    </w:p>
    <w:p w:rsidR="009427E3" w:rsidRPr="00364FEF" w:rsidRDefault="009427E3" w:rsidP="009427E3">
      <w:pPr>
        <w:pStyle w:val="SingleTxtG"/>
        <w:rPr>
          <w:b/>
          <w:bCs/>
          <w:lang w:val="fr-FR"/>
        </w:rPr>
      </w:pPr>
      <w:r w:rsidRPr="00364FEF">
        <w:rPr>
          <w:b/>
          <w:bCs/>
          <w:lang w:val="fr-FR"/>
        </w:rPr>
        <w:t>[RID seulement]</w:t>
      </w:r>
    </w:p>
    <w:p w:rsidR="009427E3" w:rsidRPr="00364FEF" w:rsidRDefault="009427E3" w:rsidP="009427E3">
      <w:pPr>
        <w:pStyle w:val="SingleTxtG"/>
        <w:rPr>
          <w:lang w:val="fr-FR"/>
        </w:rPr>
      </w:pPr>
      <w:r w:rsidRPr="00364FEF">
        <w:rPr>
          <w:lang w:val="fr-FR"/>
        </w:rPr>
        <w:t>1.6.4.55</w:t>
      </w:r>
      <w:r w:rsidRPr="00364FEF">
        <w:rPr>
          <w:lang w:val="fr-FR"/>
        </w:rPr>
        <w:tab/>
        <w:t>Ajouter le nouveau paragraphe 1.6.4.55 suivant :</w:t>
      </w:r>
    </w:p>
    <w:p w:rsidR="009427E3" w:rsidRPr="003B1372" w:rsidRDefault="009427E3" w:rsidP="009427E3">
      <w:pPr>
        <w:pStyle w:val="SingleTxtG"/>
        <w:rPr>
          <w:lang w:val="fr-FR"/>
        </w:rPr>
      </w:pPr>
      <w:r w:rsidRPr="00364FEF">
        <w:rPr>
          <w:lang w:val="fr-FR"/>
        </w:rPr>
        <w:t>« 1.6.4.55</w:t>
      </w:r>
      <w:r w:rsidRPr="00364FEF">
        <w:rPr>
          <w:lang w:val="fr-FR"/>
        </w:rPr>
        <w:tab/>
        <w:t>Les conteneurs-citernes en matière plastique renforcée de fibres construits avant le 1er juillet 2021 conformément aux prescriptions applicables jusqu’au 31 décembre 2020 mais qui ne sont cependant pas conformes aux prescriptions de marquage du code-citerne du 6.9.6.1 applicables à compter du 1er janvier 2021, pourront continuer à porter le marquage conforme aux prescriptions en vigueur jusqu’au 31 décembre 2020 jusqu’au prochain contrôle périodique devant avoir lieu après le 1er juillet 2021. ».</w:t>
      </w:r>
      <w:r w:rsidRPr="003B1372">
        <w:rPr>
          <w:lang w:val="fr-FR"/>
        </w:rPr>
        <w:t xml:space="preserve"> </w:t>
      </w:r>
    </w:p>
    <w:p w:rsidR="009427E3" w:rsidRPr="00364FEF" w:rsidRDefault="009427E3" w:rsidP="009427E3">
      <w:pPr>
        <w:pStyle w:val="SingleTxtG"/>
        <w:ind w:left="1138" w:right="1138"/>
        <w:rPr>
          <w:lang w:val="fr-FR"/>
        </w:rPr>
      </w:pPr>
      <w:r w:rsidRPr="00364FEF">
        <w:rPr>
          <w:i/>
          <w:iCs/>
          <w:lang w:val="fr-FR"/>
        </w:rPr>
        <w:t>(</w:t>
      </w:r>
      <w:r w:rsidRPr="00364FEF">
        <w:rPr>
          <w:i/>
          <w:lang w:val="fr-FR"/>
        </w:rPr>
        <w:t xml:space="preserve">Document </w:t>
      </w:r>
      <w:r w:rsidRPr="003B1372">
        <w:rPr>
          <w:i/>
          <w:iCs/>
          <w:lang w:val="fr-FR"/>
        </w:rPr>
        <w:t xml:space="preserve">de référence : document informel </w:t>
      </w:r>
      <w:r w:rsidRPr="00364FEF">
        <w:rPr>
          <w:i/>
          <w:iCs/>
          <w:lang w:val="fr-FR"/>
        </w:rPr>
        <w:t>INF.30</w:t>
      </w:r>
      <w:r w:rsidRPr="003B1372">
        <w:rPr>
          <w:i/>
          <w:iCs/>
          <w:lang w:val="fr-FR"/>
        </w:rPr>
        <w:t>, tel que modifié</w:t>
      </w:r>
      <w:r w:rsidRPr="00364FEF">
        <w:rPr>
          <w:i/>
          <w:iCs/>
          <w:lang w:val="fr-FR"/>
        </w:rPr>
        <w:t>)</w:t>
      </w:r>
    </w:p>
    <w:p w:rsidR="009427E3" w:rsidRPr="003B1372" w:rsidRDefault="009427E3" w:rsidP="009427E3">
      <w:pPr>
        <w:pStyle w:val="H1G"/>
        <w:rPr>
          <w:lang w:val="fr-FR"/>
        </w:rPr>
      </w:pPr>
      <w:r w:rsidRPr="003B1372">
        <w:rPr>
          <w:lang w:val="fr-FR"/>
        </w:rPr>
        <w:tab/>
      </w:r>
      <w:r w:rsidRPr="003B1372">
        <w:rPr>
          <w:lang w:val="fr-FR"/>
        </w:rPr>
        <w:tab/>
        <w:t>Chapitre 1.8</w:t>
      </w:r>
    </w:p>
    <w:p w:rsidR="009427E3" w:rsidRPr="00364FEF" w:rsidRDefault="009427E3" w:rsidP="009427E3">
      <w:pPr>
        <w:pStyle w:val="SingleTxtG"/>
        <w:rPr>
          <w:lang w:val="fr-FR"/>
        </w:rPr>
      </w:pPr>
      <w:r w:rsidRPr="00364FEF">
        <w:rPr>
          <w:lang w:val="fr-FR"/>
        </w:rPr>
        <w:t>1.8.5.1</w:t>
      </w:r>
      <w:r w:rsidRPr="00364FEF">
        <w:rPr>
          <w:lang w:val="fr-FR"/>
        </w:rPr>
        <w:tab/>
      </w:r>
      <w:r w:rsidRPr="00364FEF">
        <w:rPr>
          <w:lang w:val="fr-FR"/>
        </w:rPr>
        <w:tab/>
        <w:t xml:space="preserve">Après « le transporteur » ajouter </w:t>
      </w:r>
      <w:proofErr w:type="gramStart"/>
      <w:r w:rsidRPr="00364FEF">
        <w:rPr>
          <w:lang w:val="fr-FR"/>
        </w:rPr>
        <w:t>« ,</w:t>
      </w:r>
      <w:proofErr w:type="gramEnd"/>
      <w:r w:rsidRPr="00364FEF">
        <w:rPr>
          <w:lang w:val="fr-FR"/>
        </w:rPr>
        <w:t xml:space="preserve"> le déchargeur ».</w:t>
      </w:r>
    </w:p>
    <w:p w:rsidR="009427E3" w:rsidRPr="00364FEF" w:rsidRDefault="009427E3" w:rsidP="009427E3">
      <w:pPr>
        <w:pStyle w:val="SingleTxtG"/>
        <w:rPr>
          <w:lang w:val="fr-FR"/>
        </w:rPr>
      </w:pPr>
      <w:r w:rsidRPr="003B1372">
        <w:rPr>
          <w:i/>
          <w:iCs/>
          <w:lang w:val="fr-FR"/>
        </w:rPr>
        <w:t>(</w:t>
      </w:r>
      <w:r w:rsidRPr="00364FEF">
        <w:rPr>
          <w:i/>
          <w:lang w:val="fr-FR"/>
        </w:rPr>
        <w:t xml:space="preserve">Document </w:t>
      </w:r>
      <w:r w:rsidRPr="003B1372">
        <w:rPr>
          <w:i/>
          <w:iCs/>
          <w:lang w:val="fr-FR"/>
        </w:rPr>
        <w:t>de référence : ECE/TRANS/WP.15/AC.1/2018/30, tel que modifié)</w:t>
      </w:r>
    </w:p>
    <w:p w:rsidR="009427E3" w:rsidRPr="003B1372" w:rsidRDefault="009427E3" w:rsidP="009427E3">
      <w:pPr>
        <w:pStyle w:val="H1G"/>
        <w:rPr>
          <w:lang w:val="fr-FR"/>
        </w:rPr>
      </w:pPr>
      <w:r w:rsidRPr="003B1372">
        <w:rPr>
          <w:lang w:val="fr-FR"/>
        </w:rPr>
        <w:lastRenderedPageBreak/>
        <w:tab/>
      </w:r>
      <w:r w:rsidRPr="003B1372">
        <w:rPr>
          <w:lang w:val="fr-FR"/>
        </w:rPr>
        <w:tab/>
        <w:t>Chapitre 2.1</w:t>
      </w:r>
    </w:p>
    <w:p w:rsidR="009427E3" w:rsidRPr="003B1372" w:rsidRDefault="009427E3" w:rsidP="009427E3">
      <w:pPr>
        <w:pStyle w:val="SingleTxtG"/>
        <w:rPr>
          <w:u w:val="single"/>
          <w:lang w:val="fr-FR"/>
        </w:rPr>
      </w:pPr>
      <w:r w:rsidRPr="00364FEF">
        <w:rPr>
          <w:lang w:val="fr-FR"/>
        </w:rPr>
        <w:t>2.1.3.4.3</w:t>
      </w:r>
      <w:r w:rsidRPr="00364FEF">
        <w:rPr>
          <w:lang w:val="fr-FR"/>
        </w:rPr>
        <w:tab/>
        <w:t>Ajouter le nouveau paragraphe 2.1.3.4.3 suivant :</w:t>
      </w:r>
    </w:p>
    <w:p w:rsidR="009427E3" w:rsidRPr="003B1372" w:rsidRDefault="009427E3" w:rsidP="009427E3">
      <w:pPr>
        <w:pStyle w:val="SingleTxtG"/>
        <w:rPr>
          <w:lang w:val="fr-FR" w:eastAsia="de-DE"/>
        </w:rPr>
      </w:pPr>
      <w:r w:rsidRPr="003B1372">
        <w:rPr>
          <w:lang w:val="fr-FR"/>
        </w:rPr>
        <w:t>« 2.1.3.4.3</w:t>
      </w:r>
      <w:r w:rsidRPr="003B1372">
        <w:rPr>
          <w:lang w:val="fr-FR"/>
        </w:rPr>
        <w:tab/>
        <w:t xml:space="preserve">Les articles usagés, par exemple les transformateurs et les condensateurs, contenant une solution ou </w:t>
      </w:r>
      <w:proofErr w:type="gramStart"/>
      <w:r w:rsidRPr="003B1372">
        <w:rPr>
          <w:lang w:val="fr-FR"/>
        </w:rPr>
        <w:t>un mélange visés</w:t>
      </w:r>
      <w:proofErr w:type="gramEnd"/>
      <w:r w:rsidRPr="003B1372">
        <w:rPr>
          <w:lang w:val="fr-FR"/>
        </w:rPr>
        <w:t xml:space="preserve"> au 2.1.3.4.2, doivent toujours être classés sous la même rubrique de la classe 9, à condition :</w:t>
      </w:r>
    </w:p>
    <w:p w:rsidR="009427E3" w:rsidRPr="00364FEF" w:rsidRDefault="009427E3" w:rsidP="009427E3">
      <w:pPr>
        <w:pStyle w:val="SingleTxtG"/>
        <w:ind w:left="2694" w:hanging="426"/>
        <w:rPr>
          <w:lang w:val="fr-FR"/>
        </w:rPr>
      </w:pPr>
      <w:r w:rsidRPr="003B1372">
        <w:rPr>
          <w:lang w:val="fr-FR"/>
        </w:rPr>
        <w:t>a)</w:t>
      </w:r>
      <w:r w:rsidRPr="003B1372">
        <w:rPr>
          <w:lang w:val="fr-FR"/>
        </w:rPr>
        <w:tab/>
        <w:t xml:space="preserve">qu’ils ne contiennent pas en outre de composants dangereux autres que des </w:t>
      </w:r>
      <w:proofErr w:type="spellStart"/>
      <w:r w:rsidRPr="003B1372">
        <w:rPr>
          <w:lang w:val="fr-FR"/>
        </w:rPr>
        <w:t>dibenzodioxines</w:t>
      </w:r>
      <w:proofErr w:type="spellEnd"/>
      <w:r w:rsidRPr="003B1372">
        <w:rPr>
          <w:lang w:val="fr-FR"/>
        </w:rPr>
        <w:t xml:space="preserve"> et des </w:t>
      </w:r>
      <w:proofErr w:type="spellStart"/>
      <w:r w:rsidRPr="003B1372">
        <w:rPr>
          <w:lang w:val="fr-FR"/>
        </w:rPr>
        <w:t>dibenzofurannes</w:t>
      </w:r>
      <w:proofErr w:type="spellEnd"/>
      <w:r w:rsidRPr="003B1372">
        <w:rPr>
          <w:lang w:val="fr-FR"/>
        </w:rPr>
        <w:t xml:space="preserve"> </w:t>
      </w:r>
      <w:proofErr w:type="spellStart"/>
      <w:r w:rsidRPr="003B1372">
        <w:rPr>
          <w:lang w:val="fr-FR"/>
        </w:rPr>
        <w:t>polyhalogénés</w:t>
      </w:r>
      <w:proofErr w:type="spellEnd"/>
      <w:r w:rsidRPr="003B1372">
        <w:rPr>
          <w:lang w:val="fr-FR"/>
        </w:rPr>
        <w:t xml:space="preserve"> de la classe 6.1 ou des composants du groupe d’emballage III des classes 3, 4.1, 4.2, 4.3, 5.1, 6.1 ou 8 ; et</w:t>
      </w:r>
    </w:p>
    <w:p w:rsidR="009427E3" w:rsidRPr="00364FEF" w:rsidRDefault="009427E3" w:rsidP="009427E3">
      <w:pPr>
        <w:pStyle w:val="SingleTxtG"/>
        <w:ind w:left="2694" w:hanging="426"/>
        <w:rPr>
          <w:lang w:val="fr-FR"/>
        </w:rPr>
      </w:pPr>
      <w:r w:rsidRPr="003B1372">
        <w:rPr>
          <w:lang w:val="fr-FR"/>
        </w:rPr>
        <w:t>b)</w:t>
      </w:r>
      <w:r w:rsidRPr="003B1372">
        <w:rPr>
          <w:lang w:val="fr-FR"/>
        </w:rPr>
        <w:tab/>
        <w:t>qu’ils ne présentent pas les caractéristiques de danger indiquées aux alinéas a) à g) et i) du 2.1.3.5.3. ».</w:t>
      </w:r>
    </w:p>
    <w:p w:rsidR="009427E3" w:rsidRPr="003B1372" w:rsidRDefault="009427E3" w:rsidP="009427E3">
      <w:pPr>
        <w:pStyle w:val="SingleTxtG"/>
        <w:spacing w:line="240" w:lineRule="auto"/>
        <w:rPr>
          <w:rStyle w:val="Emphasis"/>
          <w:lang w:val="fr-FR"/>
        </w:rPr>
      </w:pPr>
      <w:r w:rsidRPr="003B1372">
        <w:rPr>
          <w:i/>
          <w:iCs/>
          <w:lang w:val="fr-FR"/>
        </w:rPr>
        <w:t>(</w:t>
      </w:r>
      <w:r w:rsidRPr="00364FEF">
        <w:rPr>
          <w:i/>
          <w:lang w:val="fr-FR"/>
        </w:rPr>
        <w:t xml:space="preserve">Document </w:t>
      </w:r>
      <w:r w:rsidRPr="003B1372">
        <w:rPr>
          <w:i/>
          <w:iCs/>
          <w:lang w:val="fr-FR"/>
        </w:rPr>
        <w:t xml:space="preserve">de référence : document informel INF.27, tel que modifié) </w:t>
      </w:r>
      <w:r w:rsidRPr="00364FEF">
        <w:rPr>
          <w:rStyle w:val="Emphasis"/>
          <w:bCs/>
          <w:lang w:val="fr-FR"/>
        </w:rPr>
        <w:tab/>
      </w:r>
    </w:p>
    <w:p w:rsidR="009427E3" w:rsidRPr="003B1372" w:rsidRDefault="009427E3" w:rsidP="009427E3">
      <w:pPr>
        <w:pStyle w:val="H1G"/>
        <w:rPr>
          <w:lang w:val="fr-FR"/>
        </w:rPr>
      </w:pPr>
      <w:r w:rsidRPr="003B1372">
        <w:rPr>
          <w:lang w:val="fr-FR"/>
        </w:rPr>
        <w:tab/>
      </w:r>
      <w:r w:rsidRPr="003B1372">
        <w:rPr>
          <w:lang w:val="fr-FR"/>
        </w:rPr>
        <w:tab/>
        <w:t>Chapitre 3.2, Tableau A</w:t>
      </w:r>
    </w:p>
    <w:p w:rsidR="009427E3" w:rsidRPr="00364FEF" w:rsidRDefault="009427E3" w:rsidP="009427E3">
      <w:pPr>
        <w:pStyle w:val="SingleTxtG"/>
        <w:keepLines/>
        <w:ind w:left="1138" w:right="1138"/>
        <w:rPr>
          <w:lang w:val="fr-FR"/>
        </w:rPr>
      </w:pPr>
      <w:r w:rsidRPr="00364FEF">
        <w:rPr>
          <w:lang w:val="fr-FR"/>
        </w:rPr>
        <w:t>Pour les numéros ONU 2211 et 3314, insérer « 675 » dans la colonne (6).</w:t>
      </w:r>
    </w:p>
    <w:p w:rsidR="009427E3" w:rsidRPr="00364FEF" w:rsidRDefault="009427E3" w:rsidP="009427E3">
      <w:pPr>
        <w:pStyle w:val="SingleTxtG"/>
        <w:keepLines/>
        <w:ind w:left="1138" w:right="1138"/>
        <w:rPr>
          <w:lang w:val="fr-FR"/>
        </w:rPr>
      </w:pPr>
      <w:r w:rsidRPr="003B1372">
        <w:rPr>
          <w:i/>
          <w:iCs/>
          <w:lang w:val="fr-FR"/>
        </w:rPr>
        <w:t>(</w:t>
      </w:r>
      <w:r w:rsidRPr="00364FEF">
        <w:rPr>
          <w:i/>
          <w:lang w:val="fr-FR"/>
        </w:rPr>
        <w:t xml:space="preserve">Document </w:t>
      </w:r>
      <w:r w:rsidRPr="003B1372">
        <w:rPr>
          <w:i/>
          <w:iCs/>
          <w:lang w:val="fr-FR"/>
        </w:rPr>
        <w:t>de référence : ECE/TRANS/WP.15/AC.1/2018/15, tel que modifié)</w:t>
      </w:r>
    </w:p>
    <w:p w:rsidR="009427E3" w:rsidRPr="00364FEF" w:rsidRDefault="009427E3" w:rsidP="009427E3">
      <w:pPr>
        <w:pStyle w:val="SingleTxtG"/>
        <w:rPr>
          <w:lang w:val="fr-FR"/>
        </w:rPr>
      </w:pPr>
      <w:r w:rsidRPr="00364FEF">
        <w:rPr>
          <w:lang w:val="fr-FR"/>
        </w:rPr>
        <w:t>Pour le numéro ONU 2683, dans la colonne (20), remplacer « 86 » par « 836 ».</w:t>
      </w:r>
    </w:p>
    <w:p w:rsidR="009427E3" w:rsidRPr="003B1372" w:rsidRDefault="009427E3" w:rsidP="009427E3">
      <w:pPr>
        <w:pStyle w:val="SingleTxtG"/>
        <w:rPr>
          <w:i/>
          <w:iCs/>
          <w:lang w:val="fr-FR"/>
        </w:rPr>
      </w:pPr>
      <w:r w:rsidRPr="003B1372">
        <w:rPr>
          <w:i/>
          <w:iCs/>
          <w:lang w:val="fr-FR"/>
        </w:rPr>
        <w:t>(</w:t>
      </w:r>
      <w:r w:rsidRPr="00364FEF">
        <w:rPr>
          <w:i/>
          <w:lang w:val="fr-FR"/>
        </w:rPr>
        <w:t xml:space="preserve">Document </w:t>
      </w:r>
      <w:r w:rsidRPr="003B1372">
        <w:rPr>
          <w:i/>
          <w:iCs/>
          <w:lang w:val="fr-FR"/>
        </w:rPr>
        <w:t>de référence : ECE/TRANS/WP.15/AC.1/2018/18)</w:t>
      </w:r>
    </w:p>
    <w:p w:rsidR="009427E3" w:rsidRDefault="009427E3" w:rsidP="009427E3">
      <w:pPr>
        <w:pStyle w:val="H1G"/>
        <w:rPr>
          <w:lang w:val="fr-FR"/>
        </w:rPr>
      </w:pPr>
      <w:r w:rsidRPr="003B1372">
        <w:rPr>
          <w:lang w:val="fr-FR"/>
        </w:rPr>
        <w:tab/>
      </w:r>
      <w:r w:rsidRPr="003B1372">
        <w:rPr>
          <w:lang w:val="fr-FR"/>
        </w:rPr>
        <w:tab/>
        <w:t>Chapitre 3.3</w:t>
      </w:r>
    </w:p>
    <w:p w:rsidR="009427E3" w:rsidRPr="00364FEF" w:rsidRDefault="009427E3" w:rsidP="009427E3">
      <w:pPr>
        <w:pStyle w:val="SingleTxtG"/>
        <w:rPr>
          <w:lang w:val="fr-FR"/>
        </w:rPr>
      </w:pPr>
      <w:r w:rsidRPr="00364FEF">
        <w:rPr>
          <w:lang w:val="fr-FR"/>
        </w:rPr>
        <w:t>Disposition spéciale 556</w:t>
      </w:r>
      <w:r w:rsidRPr="00364FEF">
        <w:rPr>
          <w:lang w:val="fr-FR"/>
        </w:rPr>
        <w:tab/>
        <w:t>Supprimer et ajouter « (Supprimé) ».</w:t>
      </w:r>
    </w:p>
    <w:p w:rsidR="009427E3" w:rsidRPr="003B1372" w:rsidRDefault="009427E3" w:rsidP="009427E3">
      <w:pPr>
        <w:pStyle w:val="SingleTxtG"/>
        <w:rPr>
          <w:i/>
          <w:iCs/>
          <w:lang w:val="fr-FR"/>
        </w:rPr>
      </w:pPr>
      <w:r w:rsidRPr="003B1372">
        <w:rPr>
          <w:i/>
          <w:iCs/>
          <w:lang w:val="fr-FR"/>
        </w:rPr>
        <w:t>(</w:t>
      </w:r>
      <w:r w:rsidRPr="00364FEF">
        <w:rPr>
          <w:i/>
          <w:lang w:val="fr-FR"/>
        </w:rPr>
        <w:t xml:space="preserve">Document </w:t>
      </w:r>
      <w:r w:rsidRPr="003B1372">
        <w:rPr>
          <w:i/>
          <w:iCs/>
          <w:lang w:val="fr-FR"/>
        </w:rPr>
        <w:t>de référence : ECE/TRANS/WP.15/AC.1/2018/16)</w:t>
      </w:r>
    </w:p>
    <w:p w:rsidR="009427E3" w:rsidRPr="00364FEF" w:rsidRDefault="009427E3" w:rsidP="009427E3">
      <w:pPr>
        <w:pStyle w:val="SingleTxtG"/>
        <w:rPr>
          <w:lang w:val="fr-FR"/>
        </w:rPr>
      </w:pPr>
      <w:r w:rsidRPr="00364FEF">
        <w:rPr>
          <w:lang w:val="fr-FR"/>
        </w:rPr>
        <w:t>Disposition spéciale 675</w:t>
      </w:r>
      <w:r w:rsidRPr="00364FEF">
        <w:rPr>
          <w:lang w:val="fr-FR"/>
        </w:rPr>
        <w:tab/>
        <w:t xml:space="preserve">Ajouter la nouvelle disposition spéciale 675 </w:t>
      </w:r>
      <w:proofErr w:type="gramStart"/>
      <w:r w:rsidRPr="00364FEF">
        <w:rPr>
          <w:lang w:val="fr-FR"/>
        </w:rPr>
        <w:t>suivante:</w:t>
      </w:r>
      <w:proofErr w:type="gramEnd"/>
    </w:p>
    <w:p w:rsidR="009427E3" w:rsidRPr="00364FEF" w:rsidRDefault="009427E3" w:rsidP="009427E3">
      <w:pPr>
        <w:pStyle w:val="SingleTxtG"/>
        <w:rPr>
          <w:lang w:val="fr-FR"/>
        </w:rPr>
      </w:pPr>
      <w:r w:rsidRPr="00364FEF">
        <w:rPr>
          <w:lang w:val="fr-FR"/>
        </w:rPr>
        <w:t>«675</w:t>
      </w:r>
      <w:r w:rsidRPr="00364FEF">
        <w:rPr>
          <w:lang w:val="fr-FR"/>
        </w:rPr>
        <w:tab/>
        <w:t>Pour les colis contenant ces marchandises dangereuses, le chargement en commun avec des matières ou objets de la classe 1, à l’exception du 1.4S, est interdit</w:t>
      </w:r>
      <w:r w:rsidR="00055EA2">
        <w:rPr>
          <w:lang w:val="fr-FR"/>
        </w:rPr>
        <w:t>.</w:t>
      </w:r>
      <w:r w:rsidRPr="00364FEF">
        <w:rPr>
          <w:lang w:val="fr-FR"/>
        </w:rPr>
        <w:t xml:space="preserve"> ».</w:t>
      </w:r>
    </w:p>
    <w:p w:rsidR="009427E3" w:rsidRDefault="009427E3" w:rsidP="009427E3">
      <w:pPr>
        <w:pStyle w:val="SingleTxtG"/>
        <w:rPr>
          <w:i/>
          <w:iCs/>
          <w:lang w:val="fr-FR"/>
        </w:rPr>
      </w:pPr>
      <w:r w:rsidRPr="00364FEF">
        <w:rPr>
          <w:i/>
          <w:iCs/>
          <w:lang w:val="fr-FR"/>
        </w:rPr>
        <w:t xml:space="preserve">(Document de référence : </w:t>
      </w:r>
      <w:bookmarkStart w:id="5" w:name="_Hlk525019281"/>
      <w:r w:rsidRPr="00364FEF">
        <w:rPr>
          <w:i/>
          <w:iCs/>
          <w:lang w:val="fr-FR"/>
        </w:rPr>
        <w:t>ECE/TRANS/WP.15/AC.1/2018/15</w:t>
      </w:r>
      <w:bookmarkEnd w:id="5"/>
      <w:r w:rsidRPr="00364FEF">
        <w:rPr>
          <w:i/>
          <w:iCs/>
          <w:lang w:val="fr-FR"/>
        </w:rPr>
        <w:t>, tel que modifié)</w:t>
      </w:r>
    </w:p>
    <w:p w:rsidR="009427E3" w:rsidRPr="00364FEF" w:rsidRDefault="009427E3" w:rsidP="009427E3">
      <w:pPr>
        <w:pStyle w:val="SingleTxtG"/>
        <w:rPr>
          <w:b/>
          <w:bCs/>
          <w:lang w:val="fr-FR"/>
        </w:rPr>
      </w:pPr>
      <w:r w:rsidRPr="00364FEF">
        <w:rPr>
          <w:b/>
          <w:bCs/>
          <w:lang w:val="fr-FR"/>
        </w:rPr>
        <w:t>[ADR/ADN</w:t>
      </w:r>
      <w:r>
        <w:rPr>
          <w:b/>
          <w:bCs/>
          <w:lang w:val="fr-FR"/>
        </w:rPr>
        <w:t xml:space="preserve"> seulement</w:t>
      </w:r>
      <w:r w:rsidRPr="00364FEF">
        <w:rPr>
          <w:b/>
          <w:bCs/>
          <w:lang w:val="fr-FR"/>
        </w:rPr>
        <w:t>]</w:t>
      </w:r>
    </w:p>
    <w:p w:rsidR="009427E3" w:rsidRPr="00364FEF" w:rsidRDefault="009427E3" w:rsidP="009427E3">
      <w:pPr>
        <w:pStyle w:val="SingleTxtG"/>
        <w:rPr>
          <w:lang w:val="fr-FR"/>
        </w:rPr>
      </w:pPr>
      <w:r w:rsidRPr="00364FEF">
        <w:rPr>
          <w:lang w:val="fr-FR"/>
        </w:rPr>
        <w:t>Disposition spéciale 386</w:t>
      </w:r>
      <w:r w:rsidRPr="00364FEF">
        <w:rPr>
          <w:lang w:val="fr-FR"/>
        </w:rPr>
        <w:tab/>
        <w:t>Dans la première phrase, remplacer « 2.2.41.1.17 » par « 2.2.41.1.21 ».</w:t>
      </w:r>
    </w:p>
    <w:p w:rsidR="009427E3" w:rsidRPr="00364FEF" w:rsidRDefault="009427E3" w:rsidP="009427E3">
      <w:pPr>
        <w:pStyle w:val="SingleTxtG"/>
        <w:rPr>
          <w:i/>
          <w:iCs/>
          <w:lang w:val="fr-FR"/>
        </w:rPr>
      </w:pPr>
      <w:r w:rsidRPr="00364FEF">
        <w:rPr>
          <w:i/>
          <w:iCs/>
          <w:lang w:val="fr-FR"/>
        </w:rPr>
        <w:t>(Document de référence : document informel INF.6)</w:t>
      </w:r>
    </w:p>
    <w:p w:rsidR="009427E3" w:rsidRPr="003B1372" w:rsidRDefault="009427E3" w:rsidP="009427E3">
      <w:pPr>
        <w:pStyle w:val="H1G"/>
        <w:rPr>
          <w:lang w:val="fr-FR"/>
        </w:rPr>
      </w:pPr>
      <w:r w:rsidRPr="003B1372">
        <w:rPr>
          <w:lang w:val="fr-FR"/>
        </w:rPr>
        <w:tab/>
      </w:r>
      <w:r w:rsidRPr="003B1372">
        <w:rPr>
          <w:lang w:val="fr-FR"/>
        </w:rPr>
        <w:tab/>
        <w:t>Chapitre 5.3</w:t>
      </w:r>
    </w:p>
    <w:p w:rsidR="009427E3" w:rsidRPr="003B1372" w:rsidRDefault="009427E3" w:rsidP="009427E3">
      <w:pPr>
        <w:pStyle w:val="SingleTxtG"/>
        <w:rPr>
          <w:lang w:val="fr-FR"/>
        </w:rPr>
      </w:pPr>
      <w:r w:rsidRPr="00364FEF">
        <w:rPr>
          <w:lang w:val="fr-FR"/>
        </w:rPr>
        <w:t>5.3.2.3.2</w:t>
      </w:r>
      <w:r w:rsidRPr="00364FEF">
        <w:rPr>
          <w:lang w:val="fr-FR"/>
        </w:rPr>
        <w:tab/>
        <w:t xml:space="preserve">Après « X83 », insérer </w:t>
      </w:r>
      <w:r w:rsidRPr="003B1372">
        <w:rPr>
          <w:lang w:val="fr-FR"/>
        </w:rPr>
        <w:t xml:space="preserve">le nouveau numéro d’identification du danger 836 </w:t>
      </w:r>
      <w:proofErr w:type="gramStart"/>
      <w:r w:rsidRPr="003B1372">
        <w:rPr>
          <w:lang w:val="fr-FR"/>
        </w:rPr>
        <w:t>suivant:</w:t>
      </w:r>
      <w:proofErr w:type="gramEnd"/>
    </w:p>
    <w:p w:rsidR="009427E3" w:rsidRPr="00364FEF" w:rsidRDefault="009427E3" w:rsidP="009427E3">
      <w:pPr>
        <w:pStyle w:val="SingleTxtG"/>
        <w:rPr>
          <w:lang w:val="fr-FR"/>
        </w:rPr>
      </w:pPr>
      <w:r w:rsidRPr="00364FEF">
        <w:rPr>
          <w:lang w:val="fr-FR"/>
        </w:rPr>
        <w:t>« </w:t>
      </w:r>
      <w:r w:rsidRPr="003B1372">
        <w:rPr>
          <w:lang w:val="fr-FR"/>
        </w:rPr>
        <w:t xml:space="preserve">836 </w:t>
      </w:r>
      <w:r w:rsidRPr="003B1372">
        <w:rPr>
          <w:lang w:val="fr-FR"/>
        </w:rPr>
        <w:tab/>
      </w:r>
      <w:r w:rsidRPr="003B1372">
        <w:rPr>
          <w:lang w:val="fr-FR"/>
        </w:rPr>
        <w:tab/>
        <w:t>Matière corrosive ou faiblement corrosive, inflammable (point d’éclair de 23</w:t>
      </w:r>
      <w:r w:rsidR="00055EA2">
        <w:rPr>
          <w:lang w:val="fr-FR"/>
        </w:rPr>
        <w:t> </w:t>
      </w:r>
      <w:r w:rsidRPr="003B1372">
        <w:rPr>
          <w:lang w:val="fr-FR"/>
        </w:rPr>
        <w:t>°C à 60</w:t>
      </w:r>
      <w:r w:rsidR="00055EA2">
        <w:rPr>
          <w:lang w:val="fr-FR"/>
        </w:rPr>
        <w:t> </w:t>
      </w:r>
      <w:r w:rsidRPr="003B1372">
        <w:rPr>
          <w:lang w:val="fr-FR"/>
        </w:rPr>
        <w:t>°C, valeurs limites comprises) et toxique ».</w:t>
      </w:r>
    </w:p>
    <w:p w:rsidR="009427E3" w:rsidRPr="00364FEF" w:rsidRDefault="009427E3" w:rsidP="009427E3">
      <w:pPr>
        <w:pStyle w:val="SingleTxtG"/>
        <w:rPr>
          <w:lang w:val="fr-FR"/>
        </w:rPr>
      </w:pPr>
      <w:r w:rsidRPr="003B1372">
        <w:rPr>
          <w:i/>
          <w:iCs/>
          <w:lang w:val="fr-FR"/>
        </w:rPr>
        <w:t>(</w:t>
      </w:r>
      <w:r w:rsidRPr="00364FEF">
        <w:rPr>
          <w:i/>
          <w:lang w:val="fr-FR"/>
        </w:rPr>
        <w:t xml:space="preserve">Document </w:t>
      </w:r>
      <w:r w:rsidRPr="003B1372">
        <w:rPr>
          <w:i/>
          <w:iCs/>
          <w:lang w:val="fr-FR"/>
        </w:rPr>
        <w:t>de référence : ECE/TRANS/WP.15/AC.1/2018/18)</w:t>
      </w:r>
    </w:p>
    <w:p w:rsidR="009427E3" w:rsidRPr="003B1372" w:rsidRDefault="009427E3" w:rsidP="009427E3">
      <w:pPr>
        <w:pStyle w:val="H1G"/>
        <w:rPr>
          <w:lang w:val="fr-FR"/>
        </w:rPr>
      </w:pPr>
      <w:r w:rsidRPr="003B1372">
        <w:rPr>
          <w:lang w:val="fr-FR"/>
        </w:rPr>
        <w:lastRenderedPageBreak/>
        <w:tab/>
      </w:r>
      <w:r w:rsidRPr="003B1372">
        <w:rPr>
          <w:lang w:val="fr-FR"/>
        </w:rPr>
        <w:tab/>
        <w:t>Chapitre 6.2</w:t>
      </w:r>
    </w:p>
    <w:p w:rsidR="009427E3" w:rsidRPr="00364FEF" w:rsidRDefault="009427E3" w:rsidP="009427E3">
      <w:pPr>
        <w:pStyle w:val="SingleTxtG"/>
        <w:rPr>
          <w:bCs/>
          <w:iCs/>
          <w:lang w:val="fr-FR"/>
        </w:rPr>
      </w:pPr>
      <w:r w:rsidRPr="00364FEF">
        <w:rPr>
          <w:bCs/>
          <w:iCs/>
          <w:lang w:val="fr-FR"/>
        </w:rPr>
        <w:t xml:space="preserve">6.2.3.5.1 </w:t>
      </w:r>
      <w:r w:rsidRPr="00364FEF">
        <w:rPr>
          <w:bCs/>
          <w:iCs/>
          <w:lang w:val="fr-FR"/>
        </w:rPr>
        <w:tab/>
        <w:t>Remplacer le Nota 3 par le texte suivant :</w:t>
      </w:r>
    </w:p>
    <w:p w:rsidR="009427E3" w:rsidRPr="003B1372" w:rsidRDefault="009427E3" w:rsidP="009427E3">
      <w:pPr>
        <w:pStyle w:val="SingleTxtG"/>
        <w:rPr>
          <w:lang w:val="fr-FR"/>
        </w:rPr>
      </w:pPr>
      <w:r w:rsidRPr="00364FEF">
        <w:rPr>
          <w:lang w:val="fr-FR"/>
        </w:rPr>
        <w:t>« </w:t>
      </w:r>
      <w:r w:rsidRPr="00364FEF">
        <w:rPr>
          <w:b/>
          <w:bCs/>
          <w:i/>
          <w:iCs/>
          <w:lang w:val="fr-FR"/>
        </w:rPr>
        <w:tab/>
        <w:t>3 :</w:t>
      </w:r>
      <w:r w:rsidRPr="00364FEF">
        <w:rPr>
          <w:i/>
          <w:iCs/>
          <w:lang w:val="fr-FR"/>
        </w:rPr>
        <w:tab/>
        <w:t xml:space="preserve"> Le contrôle du 6.2.1.6.1 b) et l’épreuve de pression hydraulique du 6.2.1.6.1 d) peuvent être remplacés par un examen ultrasonique réalisé conformément à la norme EN ISO </w:t>
      </w:r>
      <w:proofErr w:type="gramStart"/>
      <w:r w:rsidRPr="00364FEF">
        <w:rPr>
          <w:i/>
          <w:iCs/>
          <w:lang w:val="fr-FR"/>
        </w:rPr>
        <w:t>18119:[</w:t>
      </w:r>
      <w:proofErr w:type="gramEnd"/>
      <w:r w:rsidRPr="00364FEF">
        <w:rPr>
          <w:i/>
          <w:iCs/>
          <w:lang w:val="fr-FR"/>
        </w:rPr>
        <w:t>2018] pour les bouteilles et les tubes, sans soudure, en acier ou en alliages d’aluminium. Nonobstant l’article B.1 de cette norme, toutes les bouteilles et tubes dont l’épaisseur de paroi est inférieure à l’épaisseur minimale de calcul doivent être rejetés. ».</w:t>
      </w:r>
      <w:r w:rsidRPr="003B1372">
        <w:rPr>
          <w:lang w:val="fr-FR"/>
        </w:rPr>
        <w:t xml:space="preserve"> </w:t>
      </w:r>
    </w:p>
    <w:p w:rsidR="009427E3" w:rsidRPr="00364FEF" w:rsidRDefault="009427E3" w:rsidP="009427E3">
      <w:pPr>
        <w:pStyle w:val="SingleTxtG"/>
        <w:rPr>
          <w:i/>
          <w:iCs/>
          <w:lang w:val="fr-FR"/>
        </w:rPr>
      </w:pPr>
      <w:r w:rsidRPr="00364FEF">
        <w:rPr>
          <w:lang w:val="fr-FR"/>
        </w:rPr>
        <w:tab/>
      </w:r>
      <w:r w:rsidRPr="00364FEF">
        <w:rPr>
          <w:i/>
          <w:iCs/>
          <w:lang w:val="fr-FR"/>
        </w:rPr>
        <w:t>(</w:t>
      </w:r>
      <w:r w:rsidRPr="00364FEF">
        <w:rPr>
          <w:i/>
          <w:lang w:val="fr-FR"/>
        </w:rPr>
        <w:t xml:space="preserve">Document </w:t>
      </w:r>
      <w:r w:rsidRPr="003B1372">
        <w:rPr>
          <w:i/>
          <w:iCs/>
          <w:lang w:val="fr-FR"/>
        </w:rPr>
        <w:t xml:space="preserve">de référence : document informel </w:t>
      </w:r>
      <w:r w:rsidRPr="00364FEF">
        <w:rPr>
          <w:i/>
          <w:iCs/>
          <w:lang w:val="fr-FR"/>
        </w:rPr>
        <w:t>INF.29)</w:t>
      </w:r>
    </w:p>
    <w:p w:rsidR="009427E3" w:rsidRPr="00364FEF" w:rsidRDefault="009427E3" w:rsidP="009427E3">
      <w:pPr>
        <w:pStyle w:val="SingleTxtG"/>
        <w:rPr>
          <w:lang w:val="fr-FR"/>
        </w:rPr>
      </w:pPr>
      <w:r w:rsidRPr="00364FEF">
        <w:rPr>
          <w:lang w:val="fr-FR"/>
        </w:rPr>
        <w:t>6.2.4.1</w:t>
      </w:r>
      <w:r w:rsidRPr="00364FEF">
        <w:rPr>
          <w:lang w:val="fr-FR"/>
        </w:rPr>
        <w:tab/>
      </w:r>
      <w:r w:rsidRPr="00364FEF">
        <w:rPr>
          <w:lang w:val="fr-FR"/>
        </w:rPr>
        <w:tab/>
        <w:t>Modifier le tableau comme suit :</w:t>
      </w:r>
    </w:p>
    <w:p w:rsidR="009427E3" w:rsidRDefault="009427E3" w:rsidP="009427E3">
      <w:pPr>
        <w:pStyle w:val="SingleTxtG"/>
        <w:rPr>
          <w:rFonts w:eastAsia="Times New Roman"/>
          <w:b/>
          <w:bCs/>
          <w:i/>
          <w:iCs/>
          <w:lang w:val="fr-FR" w:eastAsia="zh-CN"/>
        </w:rPr>
      </w:pPr>
      <w:r w:rsidRPr="00364FEF">
        <w:rPr>
          <w:lang w:val="fr-FR"/>
        </w:rPr>
        <w:t>a)</w:t>
      </w:r>
      <w:r w:rsidRPr="00364FEF">
        <w:rPr>
          <w:lang w:val="fr-FR"/>
        </w:rPr>
        <w:tab/>
        <w:t>Sous « </w:t>
      </w:r>
      <w:r w:rsidRPr="00364FEF">
        <w:rPr>
          <w:rFonts w:eastAsia="Times New Roman"/>
          <w:b/>
          <w:bCs/>
          <w:i/>
          <w:iCs/>
          <w:lang w:val="fr-FR" w:eastAsia="zh-CN"/>
        </w:rPr>
        <w:t>Pour la conception et la fabrication</w:t>
      </w:r>
      <w:r w:rsidR="00055EA2">
        <w:rPr>
          <w:rFonts w:eastAsia="Times New Roman"/>
          <w:b/>
          <w:bCs/>
          <w:i/>
          <w:iCs/>
          <w:lang w:val="fr-FR" w:eastAsia="zh-CN"/>
        </w:rPr>
        <w:t> </w:t>
      </w:r>
      <w:proofErr w:type="gramStart"/>
      <w:r w:rsidR="00055EA2">
        <w:rPr>
          <w:rFonts w:eastAsia="Times New Roman"/>
          <w:b/>
          <w:bCs/>
          <w:i/>
          <w:iCs/>
          <w:lang w:val="fr-FR" w:eastAsia="zh-CN"/>
        </w:rPr>
        <w:t>»</w:t>
      </w:r>
      <w:r w:rsidRPr="00055EA2">
        <w:rPr>
          <w:rFonts w:eastAsia="Times New Roman"/>
          <w:i/>
          <w:iCs/>
          <w:lang w:val="fr-FR" w:eastAsia="zh-CN"/>
        </w:rPr>
        <w:t>:</w:t>
      </w:r>
      <w:proofErr w:type="gramEnd"/>
    </w:p>
    <w:p w:rsidR="009427E3" w:rsidRPr="00364FEF" w:rsidRDefault="009427E3" w:rsidP="009427E3">
      <w:pPr>
        <w:pStyle w:val="Bullet1G"/>
        <w:numPr>
          <w:ilvl w:val="0"/>
          <w:numId w:val="1"/>
        </w:numPr>
        <w:rPr>
          <w:lang w:val="fr-FR"/>
        </w:rPr>
      </w:pPr>
      <w:r>
        <w:rPr>
          <w:lang w:val="fr-FR"/>
        </w:rPr>
        <w:t xml:space="preserve">Insérer </w:t>
      </w:r>
      <w:r w:rsidRPr="00364FEF">
        <w:rPr>
          <w:lang w:val="fr-FR"/>
        </w:rPr>
        <w:t>le nota suivant </w:t>
      </w:r>
      <w:r>
        <w:rPr>
          <w:lang w:val="fr-FR"/>
        </w:rPr>
        <w:t xml:space="preserve">à la colonne (2), </w:t>
      </w:r>
      <w:r w:rsidRPr="00364FEF">
        <w:rPr>
          <w:lang w:val="fr-FR"/>
        </w:rPr>
        <w:t xml:space="preserve">après les références aux directives </w:t>
      </w:r>
      <w:r w:rsidRPr="003B1372">
        <w:rPr>
          <w:lang w:val="fr-FR"/>
        </w:rPr>
        <w:t>84/525/CEE, 84/526/CEE et 84/527/</w:t>
      </w:r>
      <w:proofErr w:type="gramStart"/>
      <w:r w:rsidRPr="003B1372">
        <w:rPr>
          <w:lang w:val="fr-FR"/>
        </w:rPr>
        <w:t>CEE</w:t>
      </w:r>
      <w:r w:rsidRPr="00364FEF">
        <w:rPr>
          <w:lang w:val="fr-FR"/>
        </w:rPr>
        <w:t>:</w:t>
      </w:r>
      <w:proofErr w:type="gramEnd"/>
      <w:r w:rsidRPr="00364FEF">
        <w:rPr>
          <w:lang w:val="fr-FR"/>
        </w:rPr>
        <w:t xml:space="preserve"> </w:t>
      </w:r>
    </w:p>
    <w:p w:rsidR="009427E3" w:rsidRPr="003B1372" w:rsidRDefault="009427E3" w:rsidP="009427E3">
      <w:pPr>
        <w:pStyle w:val="SingleTxtG"/>
        <w:ind w:left="1701"/>
        <w:rPr>
          <w:i/>
          <w:iCs/>
          <w:lang w:val="fr-FR"/>
        </w:rPr>
      </w:pPr>
      <w:r w:rsidRPr="003B1372">
        <w:rPr>
          <w:i/>
          <w:iCs/>
          <w:lang w:val="fr-FR"/>
        </w:rPr>
        <w:t xml:space="preserve">« </w:t>
      </w:r>
      <w:r w:rsidRPr="003B1372">
        <w:rPr>
          <w:b/>
          <w:bCs/>
          <w:i/>
          <w:iCs/>
          <w:lang w:val="fr-FR"/>
        </w:rPr>
        <w:t>NOTA :</w:t>
      </w:r>
      <w:r w:rsidRPr="003B1372">
        <w:rPr>
          <w:i/>
          <w:iCs/>
          <w:lang w:val="fr-FR"/>
        </w:rPr>
        <w:t xml:space="preserve"> Malgré l'abrogation des directives 84/525/CEE, 84/526/CEE et 84/527/CEE, telles que publiées au Journal officiel des Communautés européennes No L300 de 19 novembre 1984, les annexes de ces directives demeurent applicables en tant que normes pour la conception, la fabrication et les contrôle et épreuve initiaux pour les bouteilles </w:t>
      </w:r>
      <w:r w:rsidR="003B6B65">
        <w:rPr>
          <w:i/>
          <w:iCs/>
          <w:lang w:val="fr-FR"/>
        </w:rPr>
        <w:t>à</w:t>
      </w:r>
      <w:r w:rsidR="003B6B65" w:rsidRPr="003B1372">
        <w:rPr>
          <w:i/>
          <w:iCs/>
          <w:lang w:val="fr-FR"/>
        </w:rPr>
        <w:t xml:space="preserve"> </w:t>
      </w:r>
      <w:r w:rsidRPr="003B1372">
        <w:rPr>
          <w:i/>
          <w:iCs/>
          <w:lang w:val="fr-FR"/>
        </w:rPr>
        <w:t>gaz. Ces annexes peuvent être consultées à l’adresse </w:t>
      </w:r>
      <w:proofErr w:type="gramStart"/>
      <w:r w:rsidRPr="003B1372">
        <w:rPr>
          <w:i/>
          <w:iCs/>
          <w:lang w:val="fr-FR"/>
        </w:rPr>
        <w:t>suivante:</w:t>
      </w:r>
      <w:proofErr w:type="gramEnd"/>
      <w:r w:rsidRPr="003B1372">
        <w:rPr>
          <w:i/>
          <w:iCs/>
          <w:lang w:val="fr-FR"/>
        </w:rPr>
        <w:t xml:space="preserve"> </w:t>
      </w:r>
      <w:hyperlink r:id="rId9" w:history="1">
        <w:r w:rsidRPr="003B1372">
          <w:rPr>
            <w:rStyle w:val="Hyperlink"/>
            <w:i/>
            <w:iCs/>
            <w:lang w:val="fr-FR"/>
          </w:rPr>
          <w:t>https://eur-lex.europa.eu/oj/direct-access.html</w:t>
        </w:r>
      </w:hyperlink>
      <w:r w:rsidRPr="003B1372">
        <w:rPr>
          <w:i/>
          <w:iCs/>
          <w:lang w:val="fr-FR"/>
        </w:rPr>
        <w:t> ».</w:t>
      </w:r>
    </w:p>
    <w:p w:rsidR="009427E3" w:rsidRPr="00364FEF" w:rsidRDefault="009427E3" w:rsidP="009427E3">
      <w:pPr>
        <w:pStyle w:val="SingleTxtG"/>
        <w:ind w:firstLine="567"/>
        <w:rPr>
          <w:i/>
          <w:iCs/>
          <w:lang w:val="fr-FR"/>
        </w:rPr>
      </w:pPr>
      <w:r w:rsidRPr="00364FEF">
        <w:rPr>
          <w:i/>
          <w:iCs/>
          <w:lang w:val="fr-FR"/>
        </w:rPr>
        <w:t>(Document de référence : document informel INF.28)</w:t>
      </w:r>
    </w:p>
    <w:p w:rsidR="009427E3" w:rsidRPr="003B1372" w:rsidRDefault="009427E3" w:rsidP="009427E3">
      <w:pPr>
        <w:pStyle w:val="Bullet1G"/>
        <w:numPr>
          <w:ilvl w:val="0"/>
          <w:numId w:val="1"/>
        </w:numPr>
        <w:rPr>
          <w:lang w:val="fr-FR"/>
        </w:rPr>
      </w:pPr>
      <w:r w:rsidRPr="00364FEF">
        <w:rPr>
          <w:lang w:val="fr-FR"/>
        </w:rPr>
        <w:t xml:space="preserve">Pour « EN </w:t>
      </w:r>
      <w:proofErr w:type="gramStart"/>
      <w:r w:rsidRPr="00364FEF">
        <w:rPr>
          <w:lang w:val="fr-FR"/>
        </w:rPr>
        <w:t>12807:</w:t>
      </w:r>
      <w:proofErr w:type="gramEnd"/>
      <w:r w:rsidRPr="00364FEF">
        <w:rPr>
          <w:lang w:val="fr-FR"/>
        </w:rPr>
        <w:t>2008 », dans la colonne (4), remplacer le texte existant par « </w:t>
      </w:r>
      <w:r w:rsidR="00055EA2">
        <w:rPr>
          <w:rFonts w:eastAsia="MS Mincho"/>
          <w:lang w:val="fr-FR"/>
        </w:rPr>
        <w:t>Entre le 1</w:t>
      </w:r>
      <w:r w:rsidRPr="00364FEF">
        <w:rPr>
          <w:rFonts w:eastAsia="MS Mincho"/>
          <w:lang w:val="fr-FR"/>
        </w:rPr>
        <w:t>er janvier 2019 et le 31 décembre 2022 ».</w:t>
      </w:r>
      <w:r w:rsidRPr="003B1372">
        <w:rPr>
          <w:lang w:val="fr-FR"/>
        </w:rPr>
        <w:t xml:space="preserve"> </w:t>
      </w:r>
    </w:p>
    <w:p w:rsidR="009427E3" w:rsidRPr="00364FEF" w:rsidRDefault="009427E3" w:rsidP="009427E3">
      <w:pPr>
        <w:pStyle w:val="SingleTxtG"/>
        <w:rPr>
          <w:rFonts w:eastAsia="MS Mincho"/>
          <w:lang w:val="fr-FR"/>
        </w:rPr>
      </w:pPr>
      <w:r w:rsidRPr="00364FEF">
        <w:rPr>
          <w:lang w:val="fr-FR"/>
        </w:rPr>
        <w:tab/>
      </w:r>
      <w:r w:rsidRPr="00364FEF">
        <w:rPr>
          <w:lang w:val="fr-FR"/>
        </w:rPr>
        <w:tab/>
      </w:r>
      <w:r w:rsidRPr="00364FEF">
        <w:rPr>
          <w:i/>
          <w:iCs/>
          <w:lang w:val="fr-FR"/>
        </w:rPr>
        <w:t>(</w:t>
      </w:r>
      <w:r w:rsidRPr="00364FEF">
        <w:rPr>
          <w:i/>
          <w:lang w:val="fr-FR"/>
        </w:rPr>
        <w:t xml:space="preserve">Document </w:t>
      </w:r>
      <w:r w:rsidRPr="003B1372">
        <w:rPr>
          <w:i/>
          <w:iCs/>
          <w:lang w:val="fr-FR"/>
        </w:rPr>
        <w:t xml:space="preserve">de référence : document informel </w:t>
      </w:r>
      <w:r w:rsidRPr="00364FEF">
        <w:rPr>
          <w:i/>
          <w:iCs/>
          <w:lang w:val="fr-FR"/>
        </w:rPr>
        <w:t>INF.29)</w:t>
      </w:r>
    </w:p>
    <w:p w:rsidR="009427E3" w:rsidRPr="00364FEF" w:rsidRDefault="009427E3" w:rsidP="009427E3">
      <w:pPr>
        <w:pStyle w:val="Bullet1G"/>
        <w:numPr>
          <w:ilvl w:val="0"/>
          <w:numId w:val="1"/>
        </w:numPr>
        <w:rPr>
          <w:b/>
          <w:iCs/>
          <w:sz w:val="18"/>
          <w:szCs w:val="18"/>
          <w:lang w:val="fr-FR"/>
        </w:rPr>
      </w:pPr>
      <w:r w:rsidRPr="003B1372">
        <w:rPr>
          <w:lang w:val="fr-FR"/>
        </w:rPr>
        <w:t xml:space="preserve">Après la rubrique existante pour la norme </w:t>
      </w:r>
      <w:r w:rsidRPr="00364FEF">
        <w:rPr>
          <w:lang w:val="fr-FR"/>
        </w:rPr>
        <w:t xml:space="preserve">« EN </w:t>
      </w:r>
      <w:proofErr w:type="gramStart"/>
      <w:r w:rsidRPr="00364FEF">
        <w:rPr>
          <w:lang w:val="fr-FR"/>
        </w:rPr>
        <w:t>12807:</w:t>
      </w:r>
      <w:proofErr w:type="gramEnd"/>
      <w:r w:rsidRPr="00364FEF">
        <w:rPr>
          <w:lang w:val="fr-FR"/>
        </w:rPr>
        <w:t>2008 », ajouter la nouvelle rubrique suivante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2"/>
        <w:gridCol w:w="3123"/>
        <w:gridCol w:w="1656"/>
        <w:gridCol w:w="1417"/>
        <w:gridCol w:w="997"/>
      </w:tblGrid>
      <w:tr w:rsidR="009427E3" w:rsidRPr="003B1372" w:rsidTr="00B60363">
        <w:trPr>
          <w:jc w:val="center"/>
        </w:trPr>
        <w:tc>
          <w:tcPr>
            <w:tcW w:w="1312" w:type="dxa"/>
          </w:tcPr>
          <w:p w:rsidR="009427E3" w:rsidRPr="00364FEF" w:rsidRDefault="009427E3" w:rsidP="00B60363">
            <w:pPr>
              <w:widowControl w:val="0"/>
              <w:spacing w:before="40" w:after="40"/>
              <w:jc w:val="center"/>
              <w:rPr>
                <w:rFonts w:asciiTheme="majorBidi" w:hAnsiTheme="majorBidi" w:cstheme="majorBidi"/>
                <w:bCs/>
                <w:sz w:val="18"/>
                <w:szCs w:val="18"/>
                <w:lang w:val="fr-FR"/>
              </w:rPr>
            </w:pPr>
            <w:r w:rsidRPr="00364FEF">
              <w:rPr>
                <w:rFonts w:asciiTheme="majorBidi" w:hAnsiTheme="majorBidi" w:cstheme="majorBidi"/>
                <w:bCs/>
                <w:iCs/>
                <w:sz w:val="18"/>
                <w:szCs w:val="18"/>
                <w:lang w:val="fr-FR"/>
              </w:rPr>
              <w:t xml:space="preserve">EN </w:t>
            </w:r>
            <w:proofErr w:type="gramStart"/>
            <w:r w:rsidRPr="00364FEF">
              <w:rPr>
                <w:rFonts w:asciiTheme="majorBidi" w:hAnsiTheme="majorBidi" w:cstheme="majorBidi"/>
                <w:bCs/>
                <w:iCs/>
                <w:sz w:val="18"/>
                <w:szCs w:val="18"/>
                <w:lang w:val="fr-FR"/>
              </w:rPr>
              <w:t>12807:[</w:t>
            </w:r>
            <w:proofErr w:type="gramEnd"/>
            <w:r w:rsidRPr="00364FEF">
              <w:rPr>
                <w:rFonts w:asciiTheme="majorBidi" w:hAnsiTheme="majorBidi" w:cstheme="majorBidi"/>
                <w:bCs/>
                <w:iCs/>
                <w:sz w:val="18"/>
                <w:szCs w:val="18"/>
                <w:lang w:val="fr-FR"/>
              </w:rPr>
              <w:t>2019]</w:t>
            </w:r>
          </w:p>
        </w:tc>
        <w:tc>
          <w:tcPr>
            <w:tcW w:w="3123" w:type="dxa"/>
            <w:vAlign w:val="center"/>
          </w:tcPr>
          <w:p w:rsidR="009427E3" w:rsidRPr="00364FEF" w:rsidRDefault="00055EA2" w:rsidP="00B60363">
            <w:pPr>
              <w:widowControl w:val="0"/>
              <w:spacing w:before="40" w:after="40"/>
              <w:rPr>
                <w:rFonts w:asciiTheme="majorBidi" w:hAnsiTheme="majorBidi" w:cstheme="majorBidi"/>
                <w:bCs/>
                <w:sz w:val="18"/>
                <w:szCs w:val="18"/>
                <w:highlight w:val="green"/>
                <w:lang w:val="fr-FR"/>
              </w:rPr>
            </w:pPr>
            <w:r>
              <w:rPr>
                <w:rFonts w:asciiTheme="majorBidi" w:eastAsia="MS Mincho" w:hAnsiTheme="majorBidi" w:cstheme="majorBidi"/>
                <w:bCs/>
                <w:sz w:val="18"/>
                <w:szCs w:val="18"/>
                <w:lang w:val="fr-FR" w:eastAsia="fr-FR"/>
              </w:rPr>
              <w:t>É</w:t>
            </w:r>
            <w:r w:rsidRPr="00055EA2">
              <w:rPr>
                <w:rFonts w:asciiTheme="majorBidi" w:eastAsia="MS Mincho" w:hAnsiTheme="majorBidi" w:cstheme="majorBidi"/>
                <w:bCs/>
                <w:sz w:val="18"/>
                <w:szCs w:val="18"/>
                <w:lang w:val="fr-FR" w:eastAsia="fr-FR"/>
              </w:rPr>
              <w:t>quipement et accessoires pour GPL - Bouteilles transportables et rechargeables en acier brasé pour gaz de pétrole liquéfié (GPL) - Conception et fabrication</w:t>
            </w:r>
          </w:p>
        </w:tc>
        <w:tc>
          <w:tcPr>
            <w:tcW w:w="1656" w:type="dxa"/>
          </w:tcPr>
          <w:p w:rsidR="009427E3" w:rsidRPr="00364FEF" w:rsidRDefault="009427E3" w:rsidP="00B60363">
            <w:pPr>
              <w:widowControl w:val="0"/>
              <w:spacing w:before="40" w:after="40"/>
              <w:rPr>
                <w:rFonts w:asciiTheme="majorBidi" w:hAnsiTheme="majorBidi" w:cstheme="majorBidi"/>
                <w:bCs/>
                <w:sz w:val="18"/>
                <w:szCs w:val="18"/>
                <w:highlight w:val="green"/>
                <w:lang w:val="fr-FR"/>
              </w:rPr>
            </w:pPr>
            <w:r w:rsidRPr="00364FEF">
              <w:rPr>
                <w:rFonts w:asciiTheme="majorBidi" w:hAnsiTheme="majorBidi" w:cstheme="majorBidi"/>
                <w:bCs/>
                <w:sz w:val="18"/>
                <w:szCs w:val="18"/>
                <w:lang w:val="fr-FR"/>
              </w:rPr>
              <w:t>6.2.3.1 et 6.2.3.4</w:t>
            </w:r>
          </w:p>
        </w:tc>
        <w:tc>
          <w:tcPr>
            <w:tcW w:w="1417" w:type="dxa"/>
            <w:shd w:val="clear" w:color="auto" w:fill="auto"/>
          </w:tcPr>
          <w:p w:rsidR="009427E3" w:rsidRPr="00364FEF" w:rsidRDefault="009427E3" w:rsidP="00B60363">
            <w:pPr>
              <w:widowControl w:val="0"/>
              <w:spacing w:before="40" w:after="40"/>
              <w:jc w:val="center"/>
              <w:rPr>
                <w:rFonts w:asciiTheme="majorBidi" w:hAnsiTheme="majorBidi" w:cstheme="majorBidi"/>
                <w:bCs/>
                <w:sz w:val="18"/>
                <w:szCs w:val="18"/>
                <w:lang w:val="fr-FR"/>
              </w:rPr>
            </w:pPr>
            <w:r w:rsidRPr="00364FEF">
              <w:rPr>
                <w:rFonts w:asciiTheme="majorBidi" w:hAnsiTheme="majorBidi" w:cstheme="majorBidi"/>
                <w:bCs/>
                <w:sz w:val="18"/>
                <w:szCs w:val="18"/>
                <w:lang w:val="fr-FR"/>
              </w:rPr>
              <w:t>Jusqu’à nouvel ordre</w:t>
            </w:r>
          </w:p>
        </w:tc>
        <w:tc>
          <w:tcPr>
            <w:tcW w:w="997" w:type="dxa"/>
            <w:shd w:val="clear" w:color="auto" w:fill="auto"/>
          </w:tcPr>
          <w:p w:rsidR="009427E3" w:rsidRPr="00364FEF" w:rsidRDefault="009427E3" w:rsidP="00B60363">
            <w:pPr>
              <w:widowControl w:val="0"/>
              <w:spacing w:before="40" w:after="40"/>
              <w:jc w:val="center"/>
              <w:rPr>
                <w:rFonts w:asciiTheme="majorBidi" w:hAnsiTheme="majorBidi" w:cstheme="majorBidi"/>
                <w:bCs/>
                <w:sz w:val="18"/>
                <w:szCs w:val="18"/>
                <w:lang w:val="fr-FR"/>
              </w:rPr>
            </w:pPr>
          </w:p>
        </w:tc>
      </w:tr>
    </w:tbl>
    <w:p w:rsidR="009427E3" w:rsidRPr="00364FEF" w:rsidRDefault="00055EA2" w:rsidP="009427E3">
      <w:pPr>
        <w:pStyle w:val="SingleTxtG"/>
        <w:spacing w:before="120"/>
        <w:rPr>
          <w:i/>
          <w:iCs/>
          <w:lang w:val="fr-FR"/>
        </w:rPr>
      </w:pPr>
      <w:r>
        <w:rPr>
          <w:i/>
          <w:iCs/>
          <w:lang w:val="fr-FR"/>
        </w:rPr>
        <w:tab/>
      </w:r>
      <w:r w:rsidR="009427E3" w:rsidRPr="00364FEF">
        <w:rPr>
          <w:i/>
          <w:iCs/>
          <w:lang w:val="fr-FR"/>
        </w:rPr>
        <w:tab/>
        <w:t>(Document de référence : document informel INF.29)</w:t>
      </w:r>
    </w:p>
    <w:p w:rsidR="009427E3" w:rsidRPr="00364FEF" w:rsidRDefault="009427E3" w:rsidP="009427E3">
      <w:pPr>
        <w:pStyle w:val="SingleTxtG"/>
        <w:rPr>
          <w:lang w:val="fr-FR"/>
        </w:rPr>
      </w:pPr>
      <w:r w:rsidRPr="00364FEF">
        <w:rPr>
          <w:lang w:val="fr-FR"/>
        </w:rPr>
        <w:t>b)</w:t>
      </w:r>
      <w:r w:rsidRPr="00364FEF">
        <w:rPr>
          <w:lang w:val="fr-FR"/>
        </w:rPr>
        <w:tab/>
        <w:t>Sous « </w:t>
      </w:r>
      <w:r w:rsidRPr="00364FEF">
        <w:rPr>
          <w:rFonts w:eastAsia="Times New Roman"/>
          <w:b/>
          <w:bCs/>
          <w:i/>
          <w:iCs/>
          <w:lang w:val="fr-FR" w:eastAsia="zh-CN"/>
        </w:rPr>
        <w:t>Pour les fermetures</w:t>
      </w:r>
      <w:r w:rsidRPr="003B1372">
        <w:rPr>
          <w:rFonts w:eastAsia="Times New Roman"/>
          <w:b/>
          <w:bCs/>
          <w:i/>
          <w:iCs/>
          <w:lang w:val="fr-FR" w:eastAsia="zh-CN"/>
        </w:rPr>
        <w:t> »</w:t>
      </w:r>
      <w:r w:rsidRPr="00364FEF">
        <w:rPr>
          <w:rFonts w:eastAsia="Times New Roman"/>
          <w:b/>
          <w:bCs/>
          <w:i/>
          <w:iCs/>
          <w:lang w:val="fr-FR" w:eastAsia="zh-CN"/>
        </w:rPr>
        <w:t xml:space="preserve"> </w:t>
      </w:r>
      <w:r w:rsidRPr="00055EA2">
        <w:rPr>
          <w:rFonts w:eastAsia="Times New Roman"/>
          <w:i/>
          <w:iCs/>
          <w:lang w:val="fr-FR" w:eastAsia="zh-CN"/>
        </w:rPr>
        <w:t>:</w:t>
      </w:r>
    </w:p>
    <w:p w:rsidR="009427E3" w:rsidRPr="00364FEF" w:rsidRDefault="009427E3" w:rsidP="009427E3">
      <w:pPr>
        <w:pStyle w:val="Bullet1G"/>
        <w:numPr>
          <w:ilvl w:val="0"/>
          <w:numId w:val="1"/>
        </w:numPr>
        <w:rPr>
          <w:lang w:val="fr-FR"/>
        </w:rPr>
      </w:pPr>
      <w:r w:rsidRPr="00364FEF">
        <w:rPr>
          <w:lang w:val="fr-FR"/>
        </w:rPr>
        <w:t>Pour « EN ISO </w:t>
      </w:r>
      <w:proofErr w:type="gramStart"/>
      <w:r w:rsidRPr="00364FEF">
        <w:rPr>
          <w:lang w:val="fr-FR"/>
        </w:rPr>
        <w:t>17871:</w:t>
      </w:r>
      <w:proofErr w:type="gramEnd"/>
      <w:r w:rsidRPr="00364FEF">
        <w:rPr>
          <w:lang w:val="fr-FR"/>
        </w:rPr>
        <w:t xml:space="preserve">2015 », dans la colonne (4), remplacer le texte existant par « Entre le 1er janvier 2017 et le 31 décembre 2021 ». </w:t>
      </w:r>
    </w:p>
    <w:p w:rsidR="009427E3" w:rsidRPr="00364FEF" w:rsidRDefault="009427E3" w:rsidP="009427E3">
      <w:pPr>
        <w:pStyle w:val="SingleTxtG"/>
        <w:spacing w:before="120"/>
        <w:rPr>
          <w:i/>
          <w:iCs/>
          <w:lang w:val="fr-FR"/>
        </w:rPr>
      </w:pPr>
      <w:r w:rsidRPr="00364FEF">
        <w:rPr>
          <w:i/>
          <w:iCs/>
          <w:lang w:val="fr-FR"/>
        </w:rPr>
        <w:tab/>
      </w:r>
      <w:r w:rsidRPr="00364FEF">
        <w:rPr>
          <w:i/>
          <w:iCs/>
          <w:lang w:val="fr-FR"/>
        </w:rPr>
        <w:tab/>
        <w:t>(Document de référence : document informel INF.29)</w:t>
      </w:r>
    </w:p>
    <w:p w:rsidR="009427E3" w:rsidRPr="00364FEF" w:rsidRDefault="009427E3" w:rsidP="009427E3">
      <w:pPr>
        <w:pStyle w:val="Bullet1G"/>
        <w:numPr>
          <w:ilvl w:val="0"/>
          <w:numId w:val="1"/>
        </w:numPr>
        <w:rPr>
          <w:lang w:val="fr-FR"/>
        </w:rPr>
      </w:pPr>
      <w:r w:rsidRPr="003B1372">
        <w:rPr>
          <w:lang w:val="fr-FR"/>
        </w:rPr>
        <w:t xml:space="preserve">Après la rubrique existante pour la norme </w:t>
      </w:r>
      <w:r w:rsidRPr="00364FEF">
        <w:rPr>
          <w:lang w:val="fr-FR"/>
        </w:rPr>
        <w:t>« EN ISO </w:t>
      </w:r>
      <w:proofErr w:type="gramStart"/>
      <w:r w:rsidRPr="00364FEF">
        <w:rPr>
          <w:lang w:val="fr-FR"/>
        </w:rPr>
        <w:t>17871:</w:t>
      </w:r>
      <w:proofErr w:type="gramEnd"/>
      <w:r w:rsidRPr="00364FEF">
        <w:rPr>
          <w:lang w:val="fr-FR"/>
        </w:rPr>
        <w:t>2015 », ajouter la nouvelle rubrique suivante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473"/>
        <w:gridCol w:w="1063"/>
        <w:gridCol w:w="1420"/>
        <w:gridCol w:w="711"/>
      </w:tblGrid>
      <w:tr w:rsidR="009427E3" w:rsidRPr="003B1372" w:rsidTr="00B60363">
        <w:trPr>
          <w:jc w:val="center"/>
        </w:trPr>
        <w:tc>
          <w:tcPr>
            <w:tcW w:w="1838" w:type="dxa"/>
            <w:vAlign w:val="center"/>
          </w:tcPr>
          <w:p w:rsidR="009427E3" w:rsidRPr="00364FEF" w:rsidRDefault="009427E3" w:rsidP="00B60363">
            <w:pPr>
              <w:widowControl w:val="0"/>
              <w:spacing w:before="60" w:after="60"/>
              <w:rPr>
                <w:rFonts w:asciiTheme="majorBidi" w:hAnsiTheme="majorBidi" w:cstheme="majorBidi"/>
                <w:sz w:val="18"/>
                <w:szCs w:val="18"/>
                <w:lang w:val="fr-FR"/>
              </w:rPr>
            </w:pPr>
            <w:r w:rsidRPr="00364FEF">
              <w:rPr>
                <w:rFonts w:asciiTheme="majorBidi" w:hAnsiTheme="majorBidi" w:cstheme="majorBidi"/>
                <w:sz w:val="18"/>
                <w:szCs w:val="18"/>
                <w:lang w:val="fr-FR"/>
              </w:rPr>
              <w:t xml:space="preserve">EN ISO </w:t>
            </w:r>
            <w:proofErr w:type="gramStart"/>
            <w:r w:rsidRPr="00364FEF">
              <w:rPr>
                <w:rFonts w:asciiTheme="majorBidi" w:hAnsiTheme="majorBidi" w:cstheme="majorBidi"/>
                <w:sz w:val="18"/>
                <w:szCs w:val="18"/>
                <w:lang w:val="fr-FR"/>
              </w:rPr>
              <w:t>17871:</w:t>
            </w:r>
            <w:proofErr w:type="gramEnd"/>
            <w:r w:rsidRPr="00364FEF">
              <w:rPr>
                <w:rFonts w:asciiTheme="majorBidi" w:hAnsiTheme="majorBidi" w:cstheme="majorBidi"/>
                <w:sz w:val="18"/>
                <w:szCs w:val="18"/>
                <w:lang w:val="fr-FR"/>
              </w:rPr>
              <w:t>2015</w:t>
            </w:r>
            <w:r w:rsidRPr="00364FEF">
              <w:rPr>
                <w:rFonts w:asciiTheme="majorBidi" w:hAnsiTheme="majorBidi" w:cstheme="majorBidi"/>
                <w:sz w:val="18"/>
                <w:szCs w:val="18"/>
                <w:lang w:val="fr-FR"/>
              </w:rPr>
              <w:br/>
              <w:t>+A1:2018</w:t>
            </w:r>
          </w:p>
        </w:tc>
        <w:tc>
          <w:tcPr>
            <w:tcW w:w="3473" w:type="dxa"/>
            <w:vAlign w:val="center"/>
          </w:tcPr>
          <w:p w:rsidR="009427E3" w:rsidRPr="00364FEF" w:rsidRDefault="009427E3" w:rsidP="00B60363">
            <w:pPr>
              <w:widowControl w:val="0"/>
              <w:spacing w:before="60" w:after="60"/>
              <w:rPr>
                <w:rFonts w:asciiTheme="majorBidi" w:hAnsiTheme="majorBidi" w:cstheme="majorBidi"/>
                <w:sz w:val="18"/>
                <w:szCs w:val="18"/>
                <w:lang w:val="fr-FR"/>
              </w:rPr>
            </w:pPr>
            <w:r w:rsidRPr="00364FEF">
              <w:rPr>
                <w:rFonts w:asciiTheme="majorBidi" w:hAnsiTheme="majorBidi" w:cstheme="majorBidi"/>
                <w:sz w:val="18"/>
                <w:szCs w:val="18"/>
                <w:lang w:val="fr-FR"/>
              </w:rPr>
              <w:t>Bouteilles à gaz - Robinets de bouteilles à ouverture rapide - Spécifications et essais de type</w:t>
            </w:r>
          </w:p>
        </w:tc>
        <w:tc>
          <w:tcPr>
            <w:tcW w:w="1063" w:type="dxa"/>
            <w:vAlign w:val="center"/>
          </w:tcPr>
          <w:p w:rsidR="009427E3" w:rsidRPr="00364FEF" w:rsidRDefault="009427E3" w:rsidP="00B60363">
            <w:pPr>
              <w:widowControl w:val="0"/>
              <w:spacing w:before="60" w:after="60"/>
              <w:rPr>
                <w:rFonts w:asciiTheme="majorBidi" w:hAnsiTheme="majorBidi" w:cstheme="majorBidi"/>
                <w:sz w:val="18"/>
                <w:szCs w:val="18"/>
                <w:lang w:val="fr-FR"/>
              </w:rPr>
            </w:pPr>
            <w:r w:rsidRPr="00364FEF">
              <w:rPr>
                <w:rFonts w:asciiTheme="majorBidi" w:hAnsiTheme="majorBidi" w:cstheme="majorBidi"/>
                <w:sz w:val="18"/>
                <w:szCs w:val="18"/>
                <w:lang w:val="fr-FR"/>
              </w:rPr>
              <w:t>6.2.3.1, 6.2.3.3 et 6.2.3.4</w:t>
            </w:r>
          </w:p>
        </w:tc>
        <w:tc>
          <w:tcPr>
            <w:tcW w:w="1420" w:type="dxa"/>
            <w:vAlign w:val="center"/>
          </w:tcPr>
          <w:p w:rsidR="009427E3" w:rsidRPr="00364FEF" w:rsidRDefault="009427E3" w:rsidP="00B60363">
            <w:pPr>
              <w:widowControl w:val="0"/>
              <w:spacing w:before="60" w:after="60"/>
              <w:jc w:val="center"/>
              <w:rPr>
                <w:rFonts w:asciiTheme="majorBidi" w:hAnsiTheme="majorBidi" w:cstheme="majorBidi"/>
                <w:sz w:val="18"/>
                <w:szCs w:val="18"/>
                <w:lang w:val="fr-FR"/>
              </w:rPr>
            </w:pPr>
            <w:r w:rsidRPr="00364FEF">
              <w:rPr>
                <w:rFonts w:asciiTheme="majorBidi" w:hAnsiTheme="majorBidi" w:cstheme="majorBidi"/>
                <w:sz w:val="18"/>
                <w:szCs w:val="18"/>
                <w:lang w:val="fr-FR"/>
              </w:rPr>
              <w:t>Jusqu’à nouvel ordre</w:t>
            </w:r>
          </w:p>
        </w:tc>
        <w:tc>
          <w:tcPr>
            <w:tcW w:w="711" w:type="dxa"/>
            <w:vAlign w:val="center"/>
          </w:tcPr>
          <w:p w:rsidR="009427E3" w:rsidRPr="00364FEF" w:rsidRDefault="009427E3" w:rsidP="00B60363">
            <w:pPr>
              <w:widowControl w:val="0"/>
              <w:spacing w:before="60" w:after="60"/>
              <w:rPr>
                <w:rFonts w:asciiTheme="majorBidi" w:hAnsiTheme="majorBidi" w:cstheme="majorBidi"/>
                <w:sz w:val="18"/>
                <w:szCs w:val="18"/>
                <w:lang w:val="fr-FR"/>
              </w:rPr>
            </w:pPr>
          </w:p>
        </w:tc>
      </w:tr>
    </w:tbl>
    <w:p w:rsidR="009427E3" w:rsidRPr="00364FEF" w:rsidRDefault="009427E3" w:rsidP="009427E3">
      <w:pPr>
        <w:pStyle w:val="SingleTxtG"/>
        <w:spacing w:before="120"/>
        <w:rPr>
          <w:i/>
          <w:iCs/>
          <w:lang w:val="fr-FR"/>
        </w:rPr>
      </w:pPr>
      <w:r w:rsidRPr="00364FEF">
        <w:rPr>
          <w:i/>
          <w:iCs/>
          <w:lang w:val="fr-FR"/>
        </w:rPr>
        <w:tab/>
        <w:t>(Document de référence : document informel INF.29)</w:t>
      </w:r>
    </w:p>
    <w:p w:rsidR="009427E3" w:rsidRPr="003B1372" w:rsidRDefault="009427E3" w:rsidP="009E6341">
      <w:pPr>
        <w:pStyle w:val="SingleTxtG"/>
        <w:keepNext/>
        <w:keepLines/>
        <w:spacing w:before="240"/>
        <w:rPr>
          <w:lang w:val="fr-FR"/>
        </w:rPr>
      </w:pPr>
      <w:r w:rsidRPr="003B1372">
        <w:rPr>
          <w:lang w:val="fr-FR"/>
        </w:rPr>
        <w:lastRenderedPageBreak/>
        <w:t>6.2.4.2</w:t>
      </w:r>
      <w:r w:rsidRPr="003B1372">
        <w:rPr>
          <w:lang w:val="fr-FR"/>
        </w:rPr>
        <w:tab/>
      </w:r>
      <w:r w:rsidRPr="003B1372">
        <w:rPr>
          <w:lang w:val="fr-FR"/>
        </w:rPr>
        <w:tab/>
        <w:t>Modifier le tableau comme suit :</w:t>
      </w:r>
    </w:p>
    <w:p w:rsidR="009427E3" w:rsidRPr="00364FEF" w:rsidRDefault="009427E3" w:rsidP="009427E3">
      <w:pPr>
        <w:pStyle w:val="Bullet1G"/>
        <w:numPr>
          <w:ilvl w:val="0"/>
          <w:numId w:val="1"/>
        </w:numPr>
        <w:tabs>
          <w:tab w:val="clear" w:pos="1701"/>
        </w:tabs>
        <w:ind w:left="2552" w:hanging="284"/>
        <w:rPr>
          <w:lang w:val="fr-FR"/>
        </w:rPr>
      </w:pPr>
      <w:r w:rsidRPr="003B1372">
        <w:rPr>
          <w:lang w:val="fr-FR"/>
        </w:rPr>
        <w:t xml:space="preserve">Pour </w:t>
      </w:r>
      <w:r w:rsidRPr="00364FEF">
        <w:rPr>
          <w:lang w:val="fr-FR"/>
        </w:rPr>
        <w:t>« EN </w:t>
      </w:r>
      <w:proofErr w:type="gramStart"/>
      <w:r w:rsidRPr="00364FEF">
        <w:rPr>
          <w:lang w:val="fr-FR"/>
        </w:rPr>
        <w:t>1968:</w:t>
      </w:r>
      <w:proofErr w:type="gramEnd"/>
      <w:r w:rsidRPr="00364FEF">
        <w:rPr>
          <w:lang w:val="fr-FR"/>
        </w:rPr>
        <w:t xml:space="preserve">2002+A1:2005 (sauf annexe B) », dans la colonne (3), remplacer </w:t>
      </w:r>
      <w:r w:rsidRPr="003B1372">
        <w:rPr>
          <w:lang w:val="fr-FR"/>
        </w:rPr>
        <w:t>le texte existant</w:t>
      </w:r>
      <w:r w:rsidRPr="00364FEF">
        <w:rPr>
          <w:lang w:val="fr-FR"/>
        </w:rPr>
        <w:t xml:space="preserve"> par «  jusqu’au 31 décembre 2022 ».</w:t>
      </w:r>
    </w:p>
    <w:p w:rsidR="009427E3" w:rsidRPr="00364FEF" w:rsidRDefault="009427E3" w:rsidP="009427E3">
      <w:pPr>
        <w:pStyle w:val="SingleTxtG"/>
        <w:spacing w:before="120"/>
        <w:rPr>
          <w:i/>
          <w:iCs/>
          <w:lang w:val="fr-FR"/>
        </w:rPr>
      </w:pPr>
      <w:r w:rsidRPr="00364FEF">
        <w:rPr>
          <w:i/>
          <w:iCs/>
          <w:lang w:val="fr-FR"/>
        </w:rPr>
        <w:tab/>
      </w:r>
      <w:r w:rsidRPr="00364FEF">
        <w:rPr>
          <w:i/>
          <w:iCs/>
          <w:lang w:val="fr-FR"/>
        </w:rPr>
        <w:tab/>
      </w:r>
      <w:r w:rsidRPr="00364FEF">
        <w:rPr>
          <w:i/>
          <w:iCs/>
          <w:lang w:val="fr-FR"/>
        </w:rPr>
        <w:tab/>
        <w:t>(Document de référence : document informel INF.29)</w:t>
      </w:r>
    </w:p>
    <w:p w:rsidR="009427E3" w:rsidRPr="00364FEF" w:rsidRDefault="009427E3" w:rsidP="009427E3">
      <w:pPr>
        <w:pStyle w:val="Bullet1G"/>
        <w:numPr>
          <w:ilvl w:val="0"/>
          <w:numId w:val="1"/>
        </w:numPr>
        <w:tabs>
          <w:tab w:val="clear" w:pos="1701"/>
        </w:tabs>
        <w:ind w:left="2552" w:hanging="284"/>
        <w:rPr>
          <w:lang w:val="fr-FR"/>
        </w:rPr>
      </w:pPr>
      <w:r w:rsidRPr="003B1372">
        <w:rPr>
          <w:lang w:val="fr-FR"/>
        </w:rPr>
        <w:t xml:space="preserve">Pour </w:t>
      </w:r>
      <w:r w:rsidRPr="00364FEF">
        <w:rPr>
          <w:lang w:val="fr-FR"/>
        </w:rPr>
        <w:t>« EN </w:t>
      </w:r>
      <w:proofErr w:type="gramStart"/>
      <w:r w:rsidRPr="00364FEF">
        <w:rPr>
          <w:lang w:val="fr-FR"/>
        </w:rPr>
        <w:t>1802:</w:t>
      </w:r>
      <w:proofErr w:type="gramEnd"/>
      <w:r w:rsidRPr="00364FEF">
        <w:rPr>
          <w:lang w:val="fr-FR"/>
        </w:rPr>
        <w:t xml:space="preserve">2002 (sauf annexe B) », dans la colonne (3), remplacer </w:t>
      </w:r>
      <w:r w:rsidRPr="003B1372">
        <w:rPr>
          <w:lang w:val="fr-FR"/>
        </w:rPr>
        <w:t>le texte existant</w:t>
      </w:r>
      <w:r w:rsidRPr="00364FEF">
        <w:rPr>
          <w:lang w:val="fr-FR"/>
        </w:rPr>
        <w:t xml:space="preserve"> par « jusqu’au 31 décembre 2022 ».</w:t>
      </w:r>
    </w:p>
    <w:p w:rsidR="009427E3" w:rsidRDefault="009427E3" w:rsidP="009427E3">
      <w:pPr>
        <w:pStyle w:val="SingleTxtG"/>
        <w:spacing w:before="120"/>
        <w:rPr>
          <w:i/>
          <w:iCs/>
          <w:lang w:val="fr-FR"/>
        </w:rPr>
      </w:pPr>
      <w:r w:rsidRPr="00364FEF">
        <w:rPr>
          <w:i/>
          <w:iCs/>
          <w:lang w:val="fr-FR"/>
        </w:rPr>
        <w:tab/>
      </w:r>
      <w:r w:rsidRPr="00364FEF">
        <w:rPr>
          <w:i/>
          <w:iCs/>
          <w:lang w:val="fr-FR"/>
        </w:rPr>
        <w:tab/>
      </w:r>
      <w:r w:rsidRPr="00364FEF">
        <w:rPr>
          <w:i/>
          <w:iCs/>
          <w:lang w:val="fr-FR"/>
        </w:rPr>
        <w:tab/>
        <w:t>(Document de référence : document informel INF.29)</w:t>
      </w:r>
    </w:p>
    <w:p w:rsidR="009427E3" w:rsidRPr="00364FEF" w:rsidRDefault="009427E3" w:rsidP="009427E3">
      <w:pPr>
        <w:pStyle w:val="Bullet1G"/>
        <w:keepNext/>
        <w:keepLines/>
        <w:numPr>
          <w:ilvl w:val="0"/>
          <w:numId w:val="1"/>
        </w:numPr>
        <w:tabs>
          <w:tab w:val="clear" w:pos="1701"/>
        </w:tabs>
        <w:ind w:left="2552" w:hanging="284"/>
        <w:rPr>
          <w:lang w:val="fr-FR"/>
        </w:rPr>
      </w:pPr>
      <w:r w:rsidRPr="00364FEF">
        <w:rPr>
          <w:lang w:val="fr-FR"/>
        </w:rPr>
        <w:t xml:space="preserve">Après la rubrique </w:t>
      </w:r>
      <w:r>
        <w:rPr>
          <w:lang w:val="fr-FR"/>
        </w:rPr>
        <w:t xml:space="preserve">existante </w:t>
      </w:r>
      <w:r w:rsidRPr="00364FEF">
        <w:rPr>
          <w:lang w:val="fr-FR"/>
        </w:rPr>
        <w:t xml:space="preserve">pour la norme « EN </w:t>
      </w:r>
      <w:proofErr w:type="gramStart"/>
      <w:r>
        <w:rPr>
          <w:lang w:val="fr-FR"/>
        </w:rPr>
        <w:t>1802:</w:t>
      </w:r>
      <w:proofErr w:type="gramEnd"/>
      <w:r>
        <w:rPr>
          <w:lang w:val="fr-FR"/>
        </w:rPr>
        <w:t xml:space="preserve">2002 </w:t>
      </w:r>
      <w:r w:rsidRPr="00364FEF">
        <w:rPr>
          <w:lang w:val="fr-FR"/>
        </w:rPr>
        <w:t>(sauf annexe </w:t>
      </w:r>
      <w:r>
        <w:rPr>
          <w:lang w:val="fr-FR"/>
        </w:rPr>
        <w:t>B</w:t>
      </w:r>
      <w:r w:rsidRPr="00364FEF">
        <w:rPr>
          <w:lang w:val="fr-FR"/>
        </w:rPr>
        <w:t>) », ajouter la nouvelle rubrique suivante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4962"/>
        <w:gridCol w:w="1847"/>
      </w:tblGrid>
      <w:tr w:rsidR="009427E3" w:rsidRPr="003B1372" w:rsidTr="00B60363">
        <w:trPr>
          <w:trHeight w:val="1015"/>
          <w:jc w:val="center"/>
        </w:trPr>
        <w:tc>
          <w:tcPr>
            <w:tcW w:w="1696" w:type="dxa"/>
            <w:vAlign w:val="center"/>
          </w:tcPr>
          <w:p w:rsidR="009427E3" w:rsidRPr="00364FEF" w:rsidRDefault="009427E3" w:rsidP="00B60363">
            <w:pPr>
              <w:widowControl w:val="0"/>
              <w:spacing w:before="40" w:after="40"/>
              <w:jc w:val="center"/>
              <w:rPr>
                <w:rFonts w:asciiTheme="majorBidi" w:hAnsiTheme="majorBidi" w:cstheme="majorBidi"/>
                <w:bCs/>
                <w:iCs/>
                <w:sz w:val="18"/>
                <w:szCs w:val="18"/>
                <w:highlight w:val="yellow"/>
                <w:lang w:val="fr-FR"/>
              </w:rPr>
            </w:pPr>
            <w:r w:rsidRPr="00364FEF">
              <w:rPr>
                <w:rFonts w:asciiTheme="majorBidi" w:hAnsiTheme="majorBidi" w:cstheme="majorBidi"/>
                <w:bCs/>
                <w:noProof/>
                <w:sz w:val="18"/>
                <w:szCs w:val="18"/>
                <w:lang w:val="fr-FR"/>
              </w:rPr>
              <w:t>EN ISO 18119:[2018]</w:t>
            </w:r>
          </w:p>
        </w:tc>
        <w:tc>
          <w:tcPr>
            <w:tcW w:w="4962" w:type="dxa"/>
            <w:vAlign w:val="center"/>
          </w:tcPr>
          <w:p w:rsidR="009427E3" w:rsidRPr="00364FEF" w:rsidRDefault="009427E3" w:rsidP="00B60363">
            <w:pPr>
              <w:widowControl w:val="0"/>
              <w:spacing w:before="40" w:after="40"/>
              <w:rPr>
                <w:rFonts w:asciiTheme="majorBidi" w:hAnsiTheme="majorBidi" w:cstheme="majorBidi"/>
                <w:sz w:val="18"/>
                <w:szCs w:val="18"/>
                <w:lang w:val="fr-FR"/>
              </w:rPr>
            </w:pPr>
            <w:r w:rsidRPr="00364FEF">
              <w:rPr>
                <w:rFonts w:asciiTheme="majorBidi" w:hAnsiTheme="majorBidi" w:cstheme="majorBidi"/>
                <w:sz w:val="18"/>
                <w:szCs w:val="18"/>
                <w:lang w:val="fr-FR"/>
              </w:rPr>
              <w:t>Bouteilles à gaz - Bouteilles à gaz en acier et en alliages d'aluminium, sans soudure - Contrôles et essais périodiques</w:t>
            </w:r>
          </w:p>
          <w:p w:rsidR="009427E3" w:rsidRPr="00364FEF" w:rsidRDefault="009427E3" w:rsidP="00B60363">
            <w:pPr>
              <w:pStyle w:val="SingleTxtG"/>
              <w:ind w:left="0" w:right="34"/>
              <w:rPr>
                <w:rFonts w:asciiTheme="majorBidi" w:hAnsiTheme="majorBidi" w:cstheme="majorBidi"/>
                <w:bCs/>
                <w:iCs/>
                <w:sz w:val="18"/>
                <w:szCs w:val="18"/>
                <w:highlight w:val="yellow"/>
                <w:lang w:val="fr-FR"/>
              </w:rPr>
            </w:pPr>
            <w:r w:rsidRPr="00364FEF">
              <w:rPr>
                <w:rFonts w:asciiTheme="majorBidi" w:hAnsiTheme="majorBidi" w:cstheme="majorBidi"/>
                <w:b/>
                <w:bCs/>
                <w:i/>
                <w:iCs/>
                <w:sz w:val="18"/>
                <w:szCs w:val="18"/>
                <w:lang w:val="fr-FR"/>
              </w:rPr>
              <w:t>NOTA :</w:t>
            </w:r>
            <w:r w:rsidRPr="00364FEF">
              <w:rPr>
                <w:rFonts w:asciiTheme="majorBidi" w:hAnsiTheme="majorBidi" w:cstheme="majorBidi"/>
                <w:sz w:val="18"/>
                <w:szCs w:val="18"/>
                <w:lang w:val="fr-FR"/>
              </w:rPr>
              <w:t xml:space="preserve"> </w:t>
            </w:r>
            <w:r w:rsidRPr="00364FEF">
              <w:rPr>
                <w:i/>
                <w:iCs/>
                <w:sz w:val="18"/>
                <w:szCs w:val="18"/>
                <w:lang w:val="fr-FR"/>
              </w:rPr>
              <w:t>Nonobstant l’article B.1 de cette norme, toutes les bouteilles et tubes dont l’épaisseur de paroi est inférieure à l’épaisseur minimale de calcul doivent être rejetés.</w:t>
            </w:r>
          </w:p>
        </w:tc>
        <w:tc>
          <w:tcPr>
            <w:tcW w:w="1847" w:type="dxa"/>
            <w:vAlign w:val="center"/>
          </w:tcPr>
          <w:p w:rsidR="009427E3" w:rsidRPr="00364FEF" w:rsidRDefault="009427E3" w:rsidP="00B60363">
            <w:pPr>
              <w:widowControl w:val="0"/>
              <w:spacing w:before="40" w:after="40"/>
              <w:jc w:val="center"/>
              <w:rPr>
                <w:rFonts w:asciiTheme="majorBidi" w:hAnsiTheme="majorBidi" w:cstheme="majorBidi"/>
                <w:sz w:val="18"/>
                <w:szCs w:val="18"/>
                <w:lang w:val="fr-FR"/>
              </w:rPr>
            </w:pPr>
            <w:r w:rsidRPr="00364FEF">
              <w:rPr>
                <w:rFonts w:asciiTheme="majorBidi" w:hAnsiTheme="majorBidi" w:cstheme="majorBidi"/>
                <w:sz w:val="18"/>
                <w:szCs w:val="18"/>
                <w:lang w:val="fr-FR"/>
              </w:rPr>
              <w:t>Obligatoirement à partir du 1er janvier 2023</w:t>
            </w:r>
          </w:p>
        </w:tc>
      </w:tr>
    </w:tbl>
    <w:p w:rsidR="009427E3" w:rsidRPr="00364FEF" w:rsidRDefault="009427E3" w:rsidP="009427E3">
      <w:pPr>
        <w:pStyle w:val="SingleTxtG"/>
        <w:spacing w:before="120"/>
        <w:rPr>
          <w:i/>
          <w:iCs/>
          <w:lang w:val="fr-FR"/>
        </w:rPr>
      </w:pPr>
      <w:r w:rsidRPr="00364FEF">
        <w:rPr>
          <w:i/>
          <w:iCs/>
          <w:lang w:val="fr-FR"/>
        </w:rPr>
        <w:tab/>
      </w:r>
      <w:r w:rsidRPr="00364FEF">
        <w:rPr>
          <w:i/>
          <w:iCs/>
          <w:lang w:val="fr-FR"/>
        </w:rPr>
        <w:tab/>
      </w:r>
      <w:r w:rsidRPr="00364FEF">
        <w:rPr>
          <w:i/>
          <w:iCs/>
          <w:lang w:val="fr-FR"/>
        </w:rPr>
        <w:tab/>
        <w:t>(Document de référence : document informel INF.29)</w:t>
      </w:r>
    </w:p>
    <w:p w:rsidR="009427E3" w:rsidRPr="003B1372" w:rsidRDefault="009427E3" w:rsidP="009427E3">
      <w:pPr>
        <w:pStyle w:val="Bullet1G"/>
        <w:numPr>
          <w:ilvl w:val="0"/>
          <w:numId w:val="1"/>
        </w:numPr>
        <w:tabs>
          <w:tab w:val="clear" w:pos="1701"/>
        </w:tabs>
        <w:ind w:left="2552" w:hanging="284"/>
        <w:rPr>
          <w:lang w:val="fr-FR"/>
        </w:rPr>
      </w:pPr>
      <w:r w:rsidRPr="003B1372">
        <w:rPr>
          <w:lang w:val="fr-FR"/>
        </w:rPr>
        <w:t xml:space="preserve">Pour « EN </w:t>
      </w:r>
      <w:proofErr w:type="gramStart"/>
      <w:r w:rsidRPr="003B1372">
        <w:rPr>
          <w:lang w:val="fr-FR"/>
        </w:rPr>
        <w:t>1440:</w:t>
      </w:r>
      <w:proofErr w:type="gramEnd"/>
      <w:r w:rsidRPr="003B1372">
        <w:rPr>
          <w:lang w:val="fr-FR"/>
        </w:rPr>
        <w:t>2016 (sauf annexe C)</w:t>
      </w:r>
      <w:r w:rsidRPr="00364FEF">
        <w:rPr>
          <w:lang w:val="fr-FR"/>
        </w:rPr>
        <w:t> »</w:t>
      </w:r>
      <w:r w:rsidRPr="003B1372">
        <w:rPr>
          <w:lang w:val="fr-FR"/>
        </w:rPr>
        <w:t xml:space="preserve">, dans la colonne (3), remplacer </w:t>
      </w:r>
      <w:r w:rsidRPr="00364FEF">
        <w:rPr>
          <w:lang w:val="fr-FR"/>
        </w:rPr>
        <w:t xml:space="preserve">le texte </w:t>
      </w:r>
      <w:r w:rsidRPr="003B1372">
        <w:rPr>
          <w:lang w:val="fr-FR"/>
        </w:rPr>
        <w:t xml:space="preserve">existant par « Jusqu’au 31 décembre 2021 ». </w:t>
      </w:r>
    </w:p>
    <w:p w:rsidR="009427E3" w:rsidRPr="00364FEF" w:rsidRDefault="009427E3" w:rsidP="009427E3">
      <w:pPr>
        <w:pStyle w:val="SingleTxtG"/>
        <w:spacing w:before="120"/>
        <w:rPr>
          <w:i/>
          <w:iCs/>
          <w:lang w:val="fr-FR"/>
        </w:rPr>
      </w:pPr>
      <w:r w:rsidRPr="00364FEF">
        <w:rPr>
          <w:i/>
          <w:iCs/>
          <w:lang w:val="fr-FR"/>
        </w:rPr>
        <w:tab/>
      </w:r>
      <w:r w:rsidRPr="00364FEF">
        <w:rPr>
          <w:i/>
          <w:iCs/>
          <w:lang w:val="fr-FR"/>
        </w:rPr>
        <w:tab/>
      </w:r>
      <w:r w:rsidRPr="00364FEF">
        <w:rPr>
          <w:i/>
          <w:iCs/>
          <w:lang w:val="fr-FR"/>
        </w:rPr>
        <w:tab/>
        <w:t>(Document de référence : document informel INF.29)</w:t>
      </w:r>
    </w:p>
    <w:p w:rsidR="009427E3" w:rsidRPr="00364FEF" w:rsidRDefault="009427E3" w:rsidP="009427E3">
      <w:pPr>
        <w:pStyle w:val="Bullet1G"/>
        <w:keepNext/>
        <w:keepLines/>
        <w:numPr>
          <w:ilvl w:val="0"/>
          <w:numId w:val="1"/>
        </w:numPr>
        <w:tabs>
          <w:tab w:val="clear" w:pos="1701"/>
        </w:tabs>
        <w:ind w:left="2552" w:hanging="284"/>
        <w:rPr>
          <w:lang w:val="fr-FR"/>
        </w:rPr>
      </w:pPr>
      <w:r w:rsidRPr="00364FEF">
        <w:rPr>
          <w:lang w:val="fr-FR"/>
        </w:rPr>
        <w:t xml:space="preserve">Après la rubrique pour la norme « EN </w:t>
      </w:r>
      <w:proofErr w:type="gramStart"/>
      <w:r w:rsidRPr="00364FEF">
        <w:rPr>
          <w:lang w:val="fr-FR"/>
        </w:rPr>
        <w:t>1440:</w:t>
      </w:r>
      <w:proofErr w:type="gramEnd"/>
      <w:r w:rsidRPr="00364FEF">
        <w:rPr>
          <w:lang w:val="fr-FR"/>
        </w:rPr>
        <w:t>2016 (sauf annexe C) », ajouter la nouvelle rubrique suivante :</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4822"/>
        <w:gridCol w:w="1557"/>
      </w:tblGrid>
      <w:tr w:rsidR="009427E3" w:rsidRPr="003B1372" w:rsidTr="00B60363">
        <w:trPr>
          <w:jc w:val="center"/>
        </w:trPr>
        <w:tc>
          <w:tcPr>
            <w:tcW w:w="2263" w:type="dxa"/>
            <w:vAlign w:val="center"/>
          </w:tcPr>
          <w:p w:rsidR="009427E3" w:rsidRPr="00364FEF" w:rsidRDefault="009427E3" w:rsidP="00B60363">
            <w:pPr>
              <w:keepNext/>
              <w:keepLines/>
              <w:spacing w:before="60" w:after="60"/>
              <w:rPr>
                <w:rFonts w:cs="Arial"/>
                <w:sz w:val="18"/>
                <w:szCs w:val="18"/>
                <w:lang w:val="fr-FR"/>
              </w:rPr>
            </w:pPr>
            <w:r w:rsidRPr="00364FEF">
              <w:rPr>
                <w:rFonts w:cs="Arial"/>
                <w:sz w:val="18"/>
                <w:szCs w:val="18"/>
                <w:lang w:val="fr-FR"/>
              </w:rPr>
              <w:t xml:space="preserve">EN </w:t>
            </w:r>
            <w:proofErr w:type="gramStart"/>
            <w:r w:rsidRPr="00364FEF">
              <w:rPr>
                <w:rFonts w:cs="Arial"/>
                <w:sz w:val="18"/>
                <w:szCs w:val="18"/>
                <w:lang w:val="fr-FR"/>
              </w:rPr>
              <w:t>1440:</w:t>
            </w:r>
            <w:proofErr w:type="gramEnd"/>
            <w:r w:rsidRPr="00364FEF">
              <w:rPr>
                <w:rFonts w:cs="Arial"/>
                <w:sz w:val="18"/>
                <w:szCs w:val="18"/>
                <w:lang w:val="fr-FR"/>
              </w:rPr>
              <w:t>2016</w:t>
            </w:r>
            <w:r w:rsidR="00E223DF">
              <w:rPr>
                <w:rFonts w:cs="Arial"/>
                <w:sz w:val="18"/>
                <w:szCs w:val="18"/>
                <w:lang w:val="fr-FR"/>
              </w:rPr>
              <w:t> </w:t>
            </w:r>
            <w:r w:rsidRPr="00364FEF">
              <w:rPr>
                <w:rFonts w:cs="Arial"/>
                <w:sz w:val="18"/>
                <w:szCs w:val="18"/>
                <w:lang w:val="fr-FR"/>
              </w:rPr>
              <w:t>+</w:t>
            </w:r>
            <w:r w:rsidR="00E223DF">
              <w:rPr>
                <w:rFonts w:cs="Arial"/>
                <w:sz w:val="18"/>
                <w:szCs w:val="18"/>
                <w:lang w:val="fr-FR"/>
              </w:rPr>
              <w:t> </w:t>
            </w:r>
            <w:r w:rsidRPr="00364FEF">
              <w:rPr>
                <w:rFonts w:cs="Arial"/>
                <w:sz w:val="18"/>
                <w:szCs w:val="18"/>
                <w:lang w:val="fr-FR"/>
              </w:rPr>
              <w:t>A1:2018 (sauf Annexe C)</w:t>
            </w:r>
          </w:p>
        </w:tc>
        <w:tc>
          <w:tcPr>
            <w:tcW w:w="4822" w:type="dxa"/>
            <w:vAlign w:val="center"/>
          </w:tcPr>
          <w:p w:rsidR="009427E3" w:rsidRPr="00364FEF" w:rsidRDefault="009427E3" w:rsidP="00B60363">
            <w:pPr>
              <w:keepNext/>
              <w:keepLines/>
              <w:spacing w:before="60" w:after="60"/>
              <w:rPr>
                <w:rFonts w:cs="Arial"/>
                <w:sz w:val="18"/>
                <w:szCs w:val="18"/>
                <w:lang w:val="fr-FR"/>
              </w:rPr>
            </w:pPr>
            <w:r w:rsidRPr="00364FEF">
              <w:rPr>
                <w:sz w:val="18"/>
                <w:szCs w:val="18"/>
                <w:lang w:val="fr-FR"/>
              </w:rPr>
              <w:t>Équipements pour GPL et leurs accessoires</w:t>
            </w:r>
            <w:r w:rsidR="00E223DF">
              <w:rPr>
                <w:sz w:val="18"/>
                <w:szCs w:val="18"/>
                <w:lang w:val="fr-FR"/>
              </w:rPr>
              <w:t xml:space="preserve"> - </w:t>
            </w:r>
            <w:r w:rsidRPr="00364FEF">
              <w:rPr>
                <w:sz w:val="18"/>
                <w:szCs w:val="18"/>
                <w:lang w:val="fr-FR"/>
              </w:rPr>
              <w:t xml:space="preserve">Bouteilles </w:t>
            </w:r>
            <w:r w:rsidR="00E223DF">
              <w:rPr>
                <w:sz w:val="18"/>
                <w:szCs w:val="18"/>
                <w:lang w:val="fr-FR"/>
              </w:rPr>
              <w:t>de</w:t>
            </w:r>
            <w:r w:rsidRPr="00364FEF">
              <w:rPr>
                <w:sz w:val="18"/>
                <w:szCs w:val="18"/>
                <w:lang w:val="fr-FR"/>
              </w:rPr>
              <w:t xml:space="preserve"> gaz de pétrole liquéfié (GPL) en acier soudé et brasé transportables et rechargeables</w:t>
            </w:r>
            <w:r w:rsidR="00E223DF">
              <w:rPr>
                <w:sz w:val="18"/>
                <w:szCs w:val="18"/>
                <w:lang w:val="fr-FR"/>
              </w:rPr>
              <w:t xml:space="preserve"> - </w:t>
            </w:r>
            <w:r w:rsidRPr="00364FEF">
              <w:rPr>
                <w:sz w:val="18"/>
                <w:szCs w:val="18"/>
                <w:lang w:val="fr-FR"/>
              </w:rPr>
              <w:t>Contrôle périodique</w:t>
            </w:r>
          </w:p>
        </w:tc>
        <w:tc>
          <w:tcPr>
            <w:tcW w:w="1557" w:type="dxa"/>
            <w:vAlign w:val="center"/>
          </w:tcPr>
          <w:p w:rsidR="009427E3" w:rsidRPr="00364FEF" w:rsidRDefault="009427E3" w:rsidP="00B60363">
            <w:pPr>
              <w:keepNext/>
              <w:keepLines/>
              <w:spacing w:before="60" w:after="60"/>
              <w:jc w:val="center"/>
              <w:rPr>
                <w:rFonts w:cs="Arial"/>
                <w:sz w:val="18"/>
                <w:szCs w:val="18"/>
                <w:lang w:val="fr-FR"/>
              </w:rPr>
            </w:pPr>
            <w:r w:rsidRPr="00364FEF">
              <w:rPr>
                <w:rFonts w:cs="Arial"/>
                <w:sz w:val="18"/>
                <w:szCs w:val="18"/>
                <w:lang w:val="fr-FR"/>
              </w:rPr>
              <w:t>Obligatoirement à partir du 1er janvier 2022</w:t>
            </w:r>
          </w:p>
        </w:tc>
      </w:tr>
    </w:tbl>
    <w:p w:rsidR="009427E3" w:rsidRPr="00364FEF" w:rsidRDefault="009427E3" w:rsidP="009427E3">
      <w:pPr>
        <w:pStyle w:val="SingleTxtG"/>
        <w:spacing w:before="120"/>
        <w:rPr>
          <w:i/>
          <w:iCs/>
          <w:lang w:val="fr-FR"/>
        </w:rPr>
      </w:pPr>
      <w:r w:rsidRPr="00364FEF">
        <w:rPr>
          <w:i/>
          <w:iCs/>
          <w:lang w:val="fr-FR"/>
        </w:rPr>
        <w:tab/>
      </w:r>
      <w:r w:rsidRPr="00364FEF">
        <w:rPr>
          <w:i/>
          <w:iCs/>
          <w:lang w:val="fr-FR"/>
        </w:rPr>
        <w:tab/>
      </w:r>
      <w:r w:rsidRPr="00364FEF">
        <w:rPr>
          <w:i/>
          <w:iCs/>
          <w:lang w:val="fr-FR"/>
        </w:rPr>
        <w:tab/>
        <w:t>(Document de référence : document informel INF.29)</w:t>
      </w:r>
    </w:p>
    <w:p w:rsidR="009427E3" w:rsidRPr="00364FEF" w:rsidRDefault="009427E3" w:rsidP="009427E3">
      <w:pPr>
        <w:pStyle w:val="Bullet1G"/>
        <w:numPr>
          <w:ilvl w:val="0"/>
          <w:numId w:val="1"/>
        </w:numPr>
        <w:tabs>
          <w:tab w:val="clear" w:pos="1701"/>
        </w:tabs>
        <w:ind w:left="2552" w:hanging="284"/>
        <w:rPr>
          <w:lang w:val="fr-FR"/>
        </w:rPr>
      </w:pPr>
      <w:r w:rsidRPr="00364FEF">
        <w:rPr>
          <w:lang w:val="fr-FR"/>
        </w:rPr>
        <w:t>Pour « EN </w:t>
      </w:r>
      <w:proofErr w:type="gramStart"/>
      <w:r w:rsidRPr="00364FEF">
        <w:rPr>
          <w:lang w:val="fr-FR"/>
        </w:rPr>
        <w:t>16728:</w:t>
      </w:r>
      <w:proofErr w:type="gramEnd"/>
      <w:r w:rsidRPr="00364FEF">
        <w:rPr>
          <w:lang w:val="fr-FR"/>
        </w:rPr>
        <w:t xml:space="preserve">2016 (sauf article 3.5, Annexe F et Annexe G) », dans la colonne (3), remplacer le texte existant par « Jusqu’au 31 décembre 2021 ». </w:t>
      </w:r>
    </w:p>
    <w:p w:rsidR="009427E3" w:rsidRPr="00364FEF" w:rsidRDefault="009427E3" w:rsidP="009427E3">
      <w:pPr>
        <w:pStyle w:val="SingleTxtG"/>
        <w:spacing w:before="120"/>
        <w:rPr>
          <w:i/>
          <w:iCs/>
          <w:lang w:val="fr-FR"/>
        </w:rPr>
      </w:pPr>
      <w:r w:rsidRPr="00364FEF">
        <w:rPr>
          <w:i/>
          <w:iCs/>
          <w:lang w:val="fr-FR"/>
        </w:rPr>
        <w:tab/>
      </w:r>
      <w:r w:rsidRPr="00364FEF">
        <w:rPr>
          <w:i/>
          <w:iCs/>
          <w:lang w:val="fr-FR"/>
        </w:rPr>
        <w:tab/>
      </w:r>
      <w:r w:rsidRPr="00364FEF">
        <w:rPr>
          <w:i/>
          <w:iCs/>
          <w:lang w:val="fr-FR"/>
        </w:rPr>
        <w:tab/>
        <w:t>(Document de référence : document informel INF.29)</w:t>
      </w:r>
    </w:p>
    <w:p w:rsidR="009427E3" w:rsidRPr="00364FEF" w:rsidRDefault="009427E3" w:rsidP="009427E3">
      <w:pPr>
        <w:pStyle w:val="Bullet1G"/>
        <w:numPr>
          <w:ilvl w:val="0"/>
          <w:numId w:val="1"/>
        </w:numPr>
        <w:tabs>
          <w:tab w:val="clear" w:pos="1701"/>
        </w:tabs>
        <w:ind w:left="2552" w:hanging="284"/>
        <w:rPr>
          <w:lang w:val="fr-FR"/>
        </w:rPr>
      </w:pPr>
      <w:r w:rsidRPr="00364FEF">
        <w:rPr>
          <w:lang w:val="fr-FR"/>
        </w:rPr>
        <w:t>Après la rubrique existante pour la norme « EN </w:t>
      </w:r>
      <w:proofErr w:type="gramStart"/>
      <w:r w:rsidRPr="00364FEF">
        <w:rPr>
          <w:lang w:val="fr-FR"/>
        </w:rPr>
        <w:t>16728:</w:t>
      </w:r>
      <w:proofErr w:type="gramEnd"/>
      <w:r w:rsidRPr="00364FEF">
        <w:rPr>
          <w:lang w:val="fr-FR"/>
        </w:rPr>
        <w:t xml:space="preserve">2016 </w:t>
      </w:r>
      <w:r>
        <w:rPr>
          <w:lang w:val="fr-FR"/>
        </w:rPr>
        <w:t>(</w:t>
      </w:r>
      <w:r w:rsidRPr="00364FEF">
        <w:rPr>
          <w:lang w:val="fr-FR"/>
        </w:rPr>
        <w:t xml:space="preserve">sauf article 3.5, Annexe F et Annexe G) », ajouter la nouvelle rubrique suivante :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5"/>
        <w:gridCol w:w="4614"/>
        <w:gridCol w:w="1706"/>
      </w:tblGrid>
      <w:tr w:rsidR="009427E3" w:rsidRPr="003B1372" w:rsidTr="00B60363">
        <w:trPr>
          <w:jc w:val="center"/>
        </w:trPr>
        <w:tc>
          <w:tcPr>
            <w:tcW w:w="2185" w:type="dxa"/>
            <w:vAlign w:val="center"/>
          </w:tcPr>
          <w:p w:rsidR="009427E3" w:rsidRPr="00364FEF" w:rsidRDefault="009427E3" w:rsidP="00B60363">
            <w:pPr>
              <w:widowControl w:val="0"/>
              <w:spacing w:before="60" w:after="60"/>
              <w:rPr>
                <w:rFonts w:cs="Arial"/>
                <w:sz w:val="18"/>
                <w:szCs w:val="18"/>
                <w:lang w:val="fr-FR"/>
              </w:rPr>
            </w:pPr>
            <w:r w:rsidRPr="00364FEF">
              <w:rPr>
                <w:rFonts w:cs="Arial"/>
                <w:sz w:val="18"/>
                <w:szCs w:val="18"/>
                <w:lang w:val="fr-FR"/>
              </w:rPr>
              <w:t xml:space="preserve">EN </w:t>
            </w:r>
            <w:proofErr w:type="gramStart"/>
            <w:r w:rsidRPr="00364FEF">
              <w:rPr>
                <w:rFonts w:cs="Arial"/>
                <w:sz w:val="18"/>
                <w:szCs w:val="18"/>
                <w:lang w:val="fr-FR"/>
              </w:rPr>
              <w:t>16728:</w:t>
            </w:r>
            <w:proofErr w:type="gramEnd"/>
            <w:r w:rsidRPr="00364FEF">
              <w:rPr>
                <w:rFonts w:cs="Arial"/>
                <w:sz w:val="18"/>
                <w:szCs w:val="18"/>
                <w:lang w:val="fr-FR"/>
              </w:rPr>
              <w:t>2016 + A1:2018</w:t>
            </w:r>
          </w:p>
        </w:tc>
        <w:tc>
          <w:tcPr>
            <w:tcW w:w="4614" w:type="dxa"/>
            <w:vAlign w:val="center"/>
          </w:tcPr>
          <w:p w:rsidR="009427E3" w:rsidRPr="00364FEF" w:rsidRDefault="009427E3" w:rsidP="00B60363">
            <w:pPr>
              <w:widowControl w:val="0"/>
              <w:spacing w:before="60" w:after="60"/>
              <w:rPr>
                <w:rFonts w:cs="Arial"/>
                <w:sz w:val="18"/>
                <w:szCs w:val="18"/>
                <w:lang w:val="fr-FR"/>
              </w:rPr>
            </w:pPr>
            <w:r w:rsidRPr="00364FEF">
              <w:rPr>
                <w:sz w:val="18"/>
                <w:szCs w:val="18"/>
                <w:lang w:val="fr-FR"/>
              </w:rPr>
              <w:t>Équipements pour GPL et leurs accessoires</w:t>
            </w:r>
            <w:r w:rsidR="00E223DF">
              <w:rPr>
                <w:sz w:val="18"/>
                <w:szCs w:val="18"/>
                <w:lang w:val="fr-FR"/>
              </w:rPr>
              <w:t xml:space="preserve"> -</w:t>
            </w:r>
            <w:r w:rsidRPr="00364FEF">
              <w:rPr>
                <w:sz w:val="18"/>
                <w:szCs w:val="18"/>
                <w:lang w:val="fr-FR"/>
              </w:rPr>
              <w:t xml:space="preserve"> Bouteilles transportables et rechargeables pour GPL autres que celles en acier soudé et brasé</w:t>
            </w:r>
            <w:r w:rsidR="00E223DF">
              <w:rPr>
                <w:sz w:val="18"/>
                <w:szCs w:val="18"/>
                <w:lang w:val="fr-FR"/>
              </w:rPr>
              <w:t xml:space="preserve"> -</w:t>
            </w:r>
            <w:r w:rsidRPr="00364FEF">
              <w:rPr>
                <w:sz w:val="18"/>
                <w:szCs w:val="18"/>
                <w:lang w:val="fr-FR"/>
              </w:rPr>
              <w:t xml:space="preserve"> Contrôle périodique.</w:t>
            </w:r>
          </w:p>
        </w:tc>
        <w:tc>
          <w:tcPr>
            <w:tcW w:w="1706" w:type="dxa"/>
            <w:vAlign w:val="center"/>
          </w:tcPr>
          <w:p w:rsidR="009427E3" w:rsidRPr="00364FEF" w:rsidRDefault="009427E3" w:rsidP="00B60363">
            <w:pPr>
              <w:widowControl w:val="0"/>
              <w:spacing w:before="60" w:after="60"/>
              <w:jc w:val="center"/>
              <w:rPr>
                <w:rFonts w:cs="Arial"/>
                <w:sz w:val="18"/>
                <w:szCs w:val="18"/>
                <w:lang w:val="fr-FR"/>
              </w:rPr>
            </w:pPr>
            <w:r w:rsidRPr="00364FEF">
              <w:rPr>
                <w:rFonts w:cs="Arial"/>
                <w:sz w:val="18"/>
                <w:szCs w:val="18"/>
                <w:lang w:val="fr-FR"/>
              </w:rPr>
              <w:t>Obligatoirement à partir du 1</w:t>
            </w:r>
            <w:r w:rsidRPr="00E223DF">
              <w:rPr>
                <w:rFonts w:cs="Arial"/>
                <w:sz w:val="18"/>
                <w:szCs w:val="18"/>
                <w:lang w:val="fr-FR"/>
              </w:rPr>
              <w:t>er</w:t>
            </w:r>
            <w:r w:rsidRPr="00364FEF">
              <w:rPr>
                <w:rFonts w:cs="Arial"/>
                <w:sz w:val="18"/>
                <w:szCs w:val="18"/>
                <w:lang w:val="fr-FR"/>
              </w:rPr>
              <w:t xml:space="preserve"> janvier 2022</w:t>
            </w:r>
          </w:p>
        </w:tc>
      </w:tr>
    </w:tbl>
    <w:p w:rsidR="009427E3" w:rsidRPr="00364FEF" w:rsidRDefault="009427E3" w:rsidP="009427E3">
      <w:pPr>
        <w:pStyle w:val="SingleTxtG"/>
        <w:spacing w:before="120"/>
        <w:rPr>
          <w:i/>
          <w:iCs/>
          <w:lang w:val="fr-FR"/>
        </w:rPr>
      </w:pPr>
      <w:r w:rsidRPr="00364FEF">
        <w:rPr>
          <w:i/>
          <w:iCs/>
          <w:lang w:val="fr-FR"/>
        </w:rPr>
        <w:tab/>
        <w:t>(Document de référence : document informel INF.29)</w:t>
      </w:r>
    </w:p>
    <w:p w:rsidR="009427E3" w:rsidRPr="00364FEF" w:rsidRDefault="009427E3" w:rsidP="009427E3">
      <w:pPr>
        <w:pStyle w:val="SingleTxtG"/>
        <w:rPr>
          <w:lang w:val="fr-FR"/>
        </w:rPr>
      </w:pPr>
      <w:r w:rsidRPr="00364FEF">
        <w:rPr>
          <w:lang w:val="fr-FR"/>
        </w:rPr>
        <w:t>6.2.6.1.5</w:t>
      </w:r>
      <w:r w:rsidRPr="00364FEF">
        <w:rPr>
          <w:lang w:val="fr-FR"/>
        </w:rPr>
        <w:tab/>
        <w:t>Modifier la première phrase pour lire comme suit :</w:t>
      </w:r>
    </w:p>
    <w:p w:rsidR="009427E3" w:rsidRPr="00364FEF" w:rsidRDefault="009427E3" w:rsidP="009427E3">
      <w:pPr>
        <w:pStyle w:val="SingleTxtG"/>
        <w:ind w:left="2268"/>
        <w:rPr>
          <w:lang w:val="fr-FR"/>
        </w:rPr>
      </w:pPr>
      <w:r w:rsidRPr="00364FEF">
        <w:rPr>
          <w:lang w:val="fr-FR"/>
        </w:rPr>
        <w:t>« La pression intérieure des générateurs d’aérosols à 50</w:t>
      </w:r>
      <w:r w:rsidR="00E223DF">
        <w:rPr>
          <w:lang w:val="fr-FR"/>
        </w:rPr>
        <w:t> </w:t>
      </w:r>
      <w:r w:rsidRPr="00364FEF">
        <w:rPr>
          <w:lang w:val="fr-FR"/>
        </w:rPr>
        <w:t xml:space="preserve">°C ne doit dépasser ni les deux tiers de la pression d’épreuve, ni 1,2 MPa (12 bar) en cas d’utilisation de gaz liquéfié inflammable, 1,32 MPa (13,2 bar) en cas d’utilisation </w:t>
      </w:r>
      <w:r w:rsidR="00E223DF">
        <w:rPr>
          <w:lang w:val="fr-FR"/>
        </w:rPr>
        <w:t>de</w:t>
      </w:r>
      <w:r w:rsidRPr="00364FEF">
        <w:rPr>
          <w:lang w:val="fr-FR"/>
        </w:rPr>
        <w:t xml:space="preserve"> gaz liquéfié non inflammable et 1,5 MPa (15 bar) en cas d’utilisation de gaz comprimé ou dissous non inflammable. ».</w:t>
      </w:r>
    </w:p>
    <w:p w:rsidR="009427E3" w:rsidRPr="003B1372" w:rsidRDefault="009427E3" w:rsidP="009427E3">
      <w:pPr>
        <w:pStyle w:val="SingleTxtG"/>
        <w:ind w:left="2268"/>
        <w:rPr>
          <w:i/>
          <w:iCs/>
          <w:lang w:val="fr-FR"/>
        </w:rPr>
      </w:pPr>
      <w:r w:rsidRPr="003B1372">
        <w:rPr>
          <w:i/>
          <w:iCs/>
          <w:lang w:val="fr-FR"/>
        </w:rPr>
        <w:t>(</w:t>
      </w:r>
      <w:r w:rsidRPr="00364FEF">
        <w:rPr>
          <w:i/>
          <w:lang w:val="fr-FR"/>
        </w:rPr>
        <w:t xml:space="preserve">Document </w:t>
      </w:r>
      <w:r w:rsidRPr="003B1372">
        <w:rPr>
          <w:i/>
          <w:iCs/>
          <w:lang w:val="fr-FR"/>
        </w:rPr>
        <w:t>de référence : ECE/TRANS/WP.15/AC.1/2018/17)</w:t>
      </w:r>
    </w:p>
    <w:p w:rsidR="009427E3" w:rsidRPr="003B1372" w:rsidRDefault="009427E3" w:rsidP="009427E3">
      <w:pPr>
        <w:pStyle w:val="H1G"/>
        <w:rPr>
          <w:lang w:val="fr-FR"/>
        </w:rPr>
      </w:pPr>
      <w:r w:rsidRPr="003B1372">
        <w:rPr>
          <w:lang w:val="fr-FR"/>
        </w:rPr>
        <w:lastRenderedPageBreak/>
        <w:tab/>
      </w:r>
      <w:r w:rsidRPr="003B1372">
        <w:rPr>
          <w:lang w:val="fr-FR"/>
        </w:rPr>
        <w:tab/>
        <w:t>Chapitre 6.8</w:t>
      </w:r>
    </w:p>
    <w:p w:rsidR="009427E3" w:rsidRDefault="009427E3" w:rsidP="009427E3">
      <w:pPr>
        <w:pStyle w:val="SingleTxtG"/>
        <w:spacing w:before="120"/>
        <w:rPr>
          <w:lang w:val="fr-FR"/>
        </w:rPr>
      </w:pPr>
      <w:r w:rsidRPr="00364FEF">
        <w:rPr>
          <w:lang w:val="fr-FR"/>
        </w:rPr>
        <w:t>6.8.2.6.1</w:t>
      </w:r>
      <w:r w:rsidRPr="00364FEF">
        <w:rPr>
          <w:lang w:val="fr-FR"/>
        </w:rPr>
        <w:tab/>
      </w:r>
      <w:r>
        <w:rPr>
          <w:lang w:val="fr-FR"/>
        </w:rPr>
        <w:t>Modifier le tableau comme suit :</w:t>
      </w:r>
    </w:p>
    <w:p w:rsidR="009427E3" w:rsidRPr="00364FEF" w:rsidRDefault="009427E3" w:rsidP="009427E3">
      <w:pPr>
        <w:pStyle w:val="SingleTxtG"/>
        <w:spacing w:before="120"/>
        <w:ind w:firstLine="567"/>
        <w:rPr>
          <w:lang w:val="fr-FR"/>
        </w:rPr>
      </w:pPr>
      <w:r>
        <w:rPr>
          <w:lang w:val="fr-FR"/>
        </w:rPr>
        <w:t xml:space="preserve">a) </w:t>
      </w:r>
      <w:r>
        <w:rPr>
          <w:lang w:val="fr-FR"/>
        </w:rPr>
        <w:tab/>
      </w:r>
      <w:r w:rsidRPr="00364FEF">
        <w:rPr>
          <w:lang w:val="fr-FR"/>
        </w:rPr>
        <w:t>Sous « </w:t>
      </w:r>
      <w:r w:rsidRPr="00364FEF">
        <w:rPr>
          <w:rFonts w:eastAsia="Times New Roman"/>
          <w:b/>
          <w:bCs/>
          <w:i/>
          <w:iCs/>
          <w:lang w:val="fr-FR" w:eastAsia="zh-CN"/>
        </w:rPr>
        <w:t xml:space="preserve">Pour les contrôles et épreuves périodiques </w:t>
      </w:r>
      <w:proofErr w:type="gramStart"/>
      <w:r w:rsidRPr="00364FEF">
        <w:rPr>
          <w:lang w:val="fr-FR"/>
        </w:rPr>
        <w:t>»:</w:t>
      </w:r>
      <w:proofErr w:type="gramEnd"/>
    </w:p>
    <w:p w:rsidR="009427E3" w:rsidRPr="00364FEF" w:rsidRDefault="009427E3" w:rsidP="009427E3">
      <w:pPr>
        <w:pStyle w:val="Bullet1G"/>
        <w:numPr>
          <w:ilvl w:val="0"/>
          <w:numId w:val="1"/>
        </w:numPr>
        <w:tabs>
          <w:tab w:val="clear" w:pos="1701"/>
        </w:tabs>
        <w:ind w:left="2552" w:hanging="284"/>
        <w:rPr>
          <w:lang w:val="fr-FR"/>
        </w:rPr>
      </w:pPr>
      <w:r w:rsidRPr="00364FEF">
        <w:rPr>
          <w:lang w:val="fr-FR"/>
        </w:rPr>
        <w:t>Pour « EN </w:t>
      </w:r>
      <w:proofErr w:type="gramStart"/>
      <w:r w:rsidRPr="00364FEF">
        <w:rPr>
          <w:lang w:val="fr-FR"/>
        </w:rPr>
        <w:t>14025:</w:t>
      </w:r>
      <w:proofErr w:type="gramEnd"/>
      <w:r w:rsidRPr="00364FEF">
        <w:rPr>
          <w:lang w:val="fr-FR"/>
        </w:rPr>
        <w:t xml:space="preserve">2013+A1:2016 (sauf Annexe B)», dans la colonne (4), remplacer </w:t>
      </w:r>
      <w:r>
        <w:rPr>
          <w:lang w:val="fr-FR"/>
        </w:rPr>
        <w:t>le texte existant</w:t>
      </w:r>
      <w:r w:rsidRPr="00364FEF">
        <w:rPr>
          <w:lang w:val="fr-FR"/>
        </w:rPr>
        <w:t xml:space="preserve"> par « Entre le 1</w:t>
      </w:r>
      <w:r w:rsidR="00E223DF" w:rsidRPr="00E223DF">
        <w:rPr>
          <w:lang w:val="fr-FR"/>
        </w:rPr>
        <w:t>er</w:t>
      </w:r>
      <w:r w:rsidR="00E223DF">
        <w:rPr>
          <w:lang w:val="fr-FR"/>
        </w:rPr>
        <w:t xml:space="preserve"> </w:t>
      </w:r>
      <w:r w:rsidRPr="00364FEF">
        <w:rPr>
          <w:lang w:val="fr-FR"/>
        </w:rPr>
        <w:t xml:space="preserve"> janvier 2017 et le 31 décembre 2021 ». </w:t>
      </w:r>
    </w:p>
    <w:p w:rsidR="009427E3" w:rsidRPr="00364FEF" w:rsidRDefault="009427E3" w:rsidP="009427E3">
      <w:pPr>
        <w:pStyle w:val="SingleTxtG"/>
        <w:tabs>
          <w:tab w:val="left" w:pos="2410"/>
        </w:tabs>
        <w:spacing w:before="120"/>
        <w:rPr>
          <w:i/>
          <w:iCs/>
          <w:lang w:val="fr-FR"/>
        </w:rPr>
      </w:pPr>
      <w:r w:rsidRPr="00364FEF">
        <w:rPr>
          <w:i/>
          <w:iCs/>
          <w:lang w:val="fr-FR"/>
        </w:rPr>
        <w:tab/>
        <w:t>(Document de référence : document informel INF.29)</w:t>
      </w:r>
    </w:p>
    <w:p w:rsidR="009427E3" w:rsidRPr="00364FEF" w:rsidRDefault="009427E3" w:rsidP="009427E3">
      <w:pPr>
        <w:pStyle w:val="Bullet1G"/>
        <w:numPr>
          <w:ilvl w:val="0"/>
          <w:numId w:val="1"/>
        </w:numPr>
        <w:tabs>
          <w:tab w:val="clear" w:pos="1701"/>
        </w:tabs>
        <w:ind w:left="2552" w:hanging="284"/>
        <w:rPr>
          <w:lang w:val="fr-FR"/>
        </w:rPr>
      </w:pPr>
      <w:r w:rsidRPr="00364FEF">
        <w:rPr>
          <w:lang w:val="fr-FR"/>
        </w:rPr>
        <w:t xml:space="preserve">Après la rubrique existante pour la norme </w:t>
      </w:r>
      <w:r w:rsidRPr="003B1372">
        <w:rPr>
          <w:lang w:val="fr-FR"/>
        </w:rPr>
        <w:t>« </w:t>
      </w:r>
      <w:r w:rsidRPr="00364FEF">
        <w:rPr>
          <w:lang w:val="fr-FR"/>
        </w:rPr>
        <w:t>EN </w:t>
      </w:r>
      <w:proofErr w:type="gramStart"/>
      <w:r w:rsidRPr="00364FEF">
        <w:rPr>
          <w:lang w:val="fr-FR"/>
        </w:rPr>
        <w:t>14025:</w:t>
      </w:r>
      <w:proofErr w:type="gramEnd"/>
      <w:r w:rsidRPr="00364FEF">
        <w:rPr>
          <w:lang w:val="fr-FR"/>
        </w:rPr>
        <w:t xml:space="preserve">2013+A1:2016 (sauf Annexe B) », insérer les nouvelles rubriques suivantes :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898"/>
        <w:gridCol w:w="888"/>
        <w:gridCol w:w="1595"/>
        <w:gridCol w:w="711"/>
      </w:tblGrid>
      <w:tr w:rsidR="009427E3" w:rsidRPr="003B1372" w:rsidTr="00B60363">
        <w:trPr>
          <w:jc w:val="center"/>
        </w:trPr>
        <w:tc>
          <w:tcPr>
            <w:tcW w:w="1413" w:type="dxa"/>
            <w:vAlign w:val="center"/>
          </w:tcPr>
          <w:p w:rsidR="009427E3" w:rsidRPr="00364FEF" w:rsidRDefault="009427E3" w:rsidP="00B60363">
            <w:pPr>
              <w:widowControl w:val="0"/>
              <w:spacing w:before="40" w:after="40"/>
              <w:rPr>
                <w:rFonts w:asciiTheme="majorBidi" w:hAnsiTheme="majorBidi" w:cstheme="majorBidi"/>
                <w:sz w:val="18"/>
                <w:szCs w:val="18"/>
                <w:lang w:val="fr-FR"/>
              </w:rPr>
            </w:pPr>
            <w:r w:rsidRPr="00364FEF">
              <w:rPr>
                <w:rFonts w:asciiTheme="majorBidi" w:hAnsiTheme="majorBidi" w:cstheme="majorBidi"/>
                <w:iCs/>
                <w:sz w:val="18"/>
                <w:szCs w:val="18"/>
                <w:lang w:val="fr-FR"/>
              </w:rPr>
              <w:t>EN </w:t>
            </w:r>
            <w:proofErr w:type="gramStart"/>
            <w:r w:rsidRPr="00364FEF">
              <w:rPr>
                <w:rFonts w:asciiTheme="majorBidi" w:hAnsiTheme="majorBidi" w:cstheme="majorBidi"/>
                <w:sz w:val="18"/>
                <w:szCs w:val="18"/>
                <w:lang w:val="fr-FR"/>
              </w:rPr>
              <w:t>14025:</w:t>
            </w:r>
            <w:proofErr w:type="gramEnd"/>
            <w:r w:rsidRPr="00364FEF">
              <w:rPr>
                <w:rFonts w:asciiTheme="majorBidi" w:hAnsiTheme="majorBidi" w:cstheme="majorBidi"/>
                <w:sz w:val="18"/>
                <w:szCs w:val="18"/>
                <w:lang w:val="fr-FR"/>
              </w:rPr>
              <w:t>2018</w:t>
            </w:r>
          </w:p>
        </w:tc>
        <w:tc>
          <w:tcPr>
            <w:tcW w:w="3898" w:type="dxa"/>
            <w:vAlign w:val="center"/>
          </w:tcPr>
          <w:p w:rsidR="009427E3" w:rsidRPr="00E223DF" w:rsidRDefault="009427E3" w:rsidP="00B60363">
            <w:pPr>
              <w:widowControl w:val="0"/>
              <w:spacing w:before="40" w:after="40"/>
              <w:rPr>
                <w:rFonts w:asciiTheme="majorBidi" w:hAnsiTheme="majorBidi" w:cstheme="majorBidi"/>
                <w:sz w:val="18"/>
                <w:szCs w:val="18"/>
                <w:lang w:val="fr-FR"/>
              </w:rPr>
            </w:pPr>
            <w:r w:rsidRPr="00E223DF">
              <w:rPr>
                <w:rFonts w:asciiTheme="majorBidi" w:hAnsiTheme="majorBidi" w:cstheme="majorBidi"/>
                <w:sz w:val="18"/>
                <w:szCs w:val="18"/>
                <w:lang w:val="fr-FR"/>
              </w:rPr>
              <w:t>Citernes pour le transport de matières dangereuses</w:t>
            </w:r>
            <w:r w:rsidR="00E223DF" w:rsidRPr="00E223DF">
              <w:rPr>
                <w:rFonts w:asciiTheme="majorBidi" w:hAnsiTheme="majorBidi" w:cstheme="majorBidi"/>
                <w:sz w:val="18"/>
                <w:szCs w:val="18"/>
                <w:lang w:val="fr-FR"/>
              </w:rPr>
              <w:t xml:space="preserve"> -</w:t>
            </w:r>
            <w:r w:rsidRPr="00E223DF">
              <w:rPr>
                <w:rFonts w:asciiTheme="majorBidi" w:hAnsiTheme="majorBidi" w:cstheme="majorBidi"/>
                <w:sz w:val="18"/>
                <w:szCs w:val="18"/>
                <w:lang w:val="fr-FR"/>
              </w:rPr>
              <w:t xml:space="preserve"> Citernes métalliques sous pression</w:t>
            </w:r>
            <w:r w:rsidR="00E223DF" w:rsidRPr="00E223DF">
              <w:rPr>
                <w:rFonts w:asciiTheme="majorBidi" w:hAnsiTheme="majorBidi" w:cstheme="majorBidi"/>
                <w:sz w:val="18"/>
                <w:szCs w:val="18"/>
                <w:lang w:val="fr-FR"/>
              </w:rPr>
              <w:t xml:space="preserve"> -</w:t>
            </w:r>
            <w:r w:rsidRPr="00E223DF">
              <w:rPr>
                <w:rFonts w:asciiTheme="majorBidi" w:hAnsiTheme="majorBidi" w:cstheme="majorBidi"/>
                <w:sz w:val="18"/>
                <w:szCs w:val="18"/>
                <w:lang w:val="fr-FR"/>
              </w:rPr>
              <w:t xml:space="preserve"> Conception et fabrication</w:t>
            </w:r>
          </w:p>
          <w:p w:rsidR="009427E3" w:rsidRPr="00E223DF" w:rsidRDefault="009427E3" w:rsidP="00B60363">
            <w:pPr>
              <w:rPr>
                <w:sz w:val="18"/>
                <w:szCs w:val="18"/>
                <w:lang w:val="fr-FR" w:eastAsia="zh-CN"/>
              </w:rPr>
            </w:pPr>
            <w:proofErr w:type="gramStart"/>
            <w:r w:rsidRPr="00E223DF">
              <w:rPr>
                <w:b/>
                <w:bCs/>
                <w:i/>
                <w:iCs/>
                <w:color w:val="222222"/>
                <w:sz w:val="18"/>
                <w:szCs w:val="18"/>
                <w:lang w:val="fr-FR"/>
              </w:rPr>
              <w:t>NOTA:</w:t>
            </w:r>
            <w:proofErr w:type="gramEnd"/>
            <w:r w:rsidRPr="00E223DF">
              <w:rPr>
                <w:i/>
                <w:iCs/>
                <w:color w:val="222222"/>
                <w:sz w:val="18"/>
                <w:szCs w:val="18"/>
                <w:lang w:val="fr-FR"/>
              </w:rPr>
              <w:t xml:space="preserve"> Les matériaux des réservoirs doivent au moins être attestés par un certificat </w:t>
            </w:r>
            <w:r w:rsidR="00C57B41" w:rsidRPr="00E223DF">
              <w:rPr>
                <w:i/>
                <w:iCs/>
                <w:color w:val="222222"/>
                <w:sz w:val="18"/>
                <w:szCs w:val="18"/>
                <w:lang w:val="fr-FR"/>
              </w:rPr>
              <w:t xml:space="preserve">de type </w:t>
            </w:r>
            <w:r w:rsidRPr="00E223DF">
              <w:rPr>
                <w:i/>
                <w:iCs/>
                <w:color w:val="222222"/>
                <w:sz w:val="18"/>
                <w:szCs w:val="18"/>
                <w:lang w:val="fr-FR"/>
              </w:rPr>
              <w:t>3.1 délivré conformément à la norme EN 10204.</w:t>
            </w:r>
            <w:r w:rsidRPr="00E223DF">
              <w:rPr>
                <w:rFonts w:asciiTheme="majorBidi" w:hAnsiTheme="majorBidi" w:cstheme="majorBidi"/>
                <w:i/>
                <w:iCs/>
                <w:sz w:val="18"/>
                <w:szCs w:val="18"/>
                <w:lang w:val="fr-FR"/>
              </w:rPr>
              <w:t xml:space="preserve"> </w:t>
            </w:r>
          </w:p>
        </w:tc>
        <w:tc>
          <w:tcPr>
            <w:tcW w:w="888" w:type="dxa"/>
            <w:vAlign w:val="center"/>
          </w:tcPr>
          <w:p w:rsidR="009427E3" w:rsidRPr="00364FEF" w:rsidRDefault="009427E3" w:rsidP="00B60363">
            <w:pPr>
              <w:widowControl w:val="0"/>
              <w:spacing w:before="40" w:after="40"/>
              <w:rPr>
                <w:rFonts w:asciiTheme="majorBidi" w:hAnsiTheme="majorBidi" w:cstheme="majorBidi"/>
                <w:sz w:val="18"/>
                <w:szCs w:val="18"/>
                <w:lang w:val="fr-FR"/>
              </w:rPr>
            </w:pPr>
            <w:r w:rsidRPr="00364FEF">
              <w:rPr>
                <w:rFonts w:asciiTheme="majorBidi" w:hAnsiTheme="majorBidi" w:cstheme="majorBidi"/>
                <w:sz w:val="18"/>
                <w:szCs w:val="18"/>
                <w:lang w:val="fr-FR"/>
              </w:rPr>
              <w:t>6.8.2.1 et 6.8.3.1</w:t>
            </w:r>
          </w:p>
        </w:tc>
        <w:tc>
          <w:tcPr>
            <w:tcW w:w="1595" w:type="dxa"/>
            <w:vAlign w:val="center"/>
          </w:tcPr>
          <w:p w:rsidR="009427E3" w:rsidRPr="00364FEF" w:rsidRDefault="009427E3" w:rsidP="00B60363">
            <w:pPr>
              <w:widowControl w:val="0"/>
              <w:spacing w:before="40" w:after="40"/>
              <w:jc w:val="center"/>
              <w:rPr>
                <w:rFonts w:asciiTheme="majorBidi" w:hAnsiTheme="majorBidi" w:cstheme="majorBidi"/>
                <w:sz w:val="18"/>
                <w:szCs w:val="18"/>
                <w:lang w:val="fr-FR"/>
              </w:rPr>
            </w:pPr>
            <w:r w:rsidRPr="00364FEF">
              <w:rPr>
                <w:rFonts w:asciiTheme="majorBidi" w:hAnsiTheme="majorBidi" w:cstheme="majorBidi"/>
                <w:sz w:val="18"/>
                <w:szCs w:val="18"/>
                <w:lang w:val="fr-FR"/>
              </w:rPr>
              <w:t>Jusqu’à nouvel ordre</w:t>
            </w:r>
          </w:p>
        </w:tc>
        <w:tc>
          <w:tcPr>
            <w:tcW w:w="711" w:type="dxa"/>
            <w:vAlign w:val="center"/>
          </w:tcPr>
          <w:p w:rsidR="009427E3" w:rsidRPr="00364FEF" w:rsidRDefault="009427E3" w:rsidP="00B60363">
            <w:pPr>
              <w:widowControl w:val="0"/>
              <w:spacing w:before="40" w:after="40"/>
              <w:rPr>
                <w:rFonts w:asciiTheme="majorBidi" w:hAnsiTheme="majorBidi" w:cstheme="majorBidi"/>
                <w:sz w:val="18"/>
                <w:szCs w:val="18"/>
                <w:lang w:val="fr-FR"/>
              </w:rPr>
            </w:pPr>
          </w:p>
        </w:tc>
      </w:tr>
      <w:tr w:rsidR="009427E3" w:rsidRPr="003B1372" w:rsidTr="00B60363">
        <w:trPr>
          <w:jc w:val="center"/>
        </w:trPr>
        <w:tc>
          <w:tcPr>
            <w:tcW w:w="1413" w:type="dxa"/>
            <w:vAlign w:val="center"/>
          </w:tcPr>
          <w:p w:rsidR="009427E3" w:rsidRPr="00364FEF" w:rsidRDefault="009427E3" w:rsidP="00B60363">
            <w:pPr>
              <w:keepNext/>
              <w:keepLines/>
              <w:spacing w:before="60" w:after="60"/>
              <w:rPr>
                <w:rFonts w:cs="Arial"/>
                <w:sz w:val="18"/>
                <w:szCs w:val="18"/>
                <w:lang w:val="fr-FR"/>
              </w:rPr>
            </w:pPr>
            <w:r w:rsidRPr="00364FEF">
              <w:rPr>
                <w:rFonts w:cs="Arial"/>
                <w:sz w:val="18"/>
                <w:szCs w:val="18"/>
                <w:lang w:val="fr-FR"/>
              </w:rPr>
              <w:t xml:space="preserve">EN </w:t>
            </w:r>
            <w:proofErr w:type="gramStart"/>
            <w:r w:rsidRPr="00364FEF">
              <w:rPr>
                <w:rFonts w:cs="Arial"/>
                <w:sz w:val="18"/>
                <w:szCs w:val="18"/>
                <w:lang w:val="fr-FR"/>
              </w:rPr>
              <w:t>12972:</w:t>
            </w:r>
            <w:proofErr w:type="gramEnd"/>
            <w:r w:rsidRPr="00364FEF">
              <w:rPr>
                <w:rFonts w:cs="Arial"/>
                <w:sz w:val="18"/>
                <w:szCs w:val="18"/>
                <w:lang w:val="fr-FR"/>
              </w:rPr>
              <w:t>2018</w:t>
            </w:r>
          </w:p>
        </w:tc>
        <w:tc>
          <w:tcPr>
            <w:tcW w:w="3898" w:type="dxa"/>
            <w:vAlign w:val="center"/>
          </w:tcPr>
          <w:p w:rsidR="009427E3" w:rsidRPr="00E223DF" w:rsidRDefault="009427E3" w:rsidP="00B60363">
            <w:pPr>
              <w:keepNext/>
              <w:keepLines/>
              <w:spacing w:before="60" w:after="60"/>
              <w:rPr>
                <w:rFonts w:cs="Arial"/>
                <w:sz w:val="18"/>
                <w:szCs w:val="18"/>
                <w:lang w:val="fr-FR"/>
              </w:rPr>
            </w:pPr>
            <w:r w:rsidRPr="00E223DF">
              <w:rPr>
                <w:sz w:val="18"/>
                <w:szCs w:val="18"/>
                <w:lang w:val="fr-FR"/>
              </w:rPr>
              <w:t>Citernes destinées au transport de matières dangereuses</w:t>
            </w:r>
            <w:r w:rsidR="00B60363">
              <w:rPr>
                <w:sz w:val="18"/>
                <w:szCs w:val="18"/>
                <w:lang w:val="fr-FR"/>
              </w:rPr>
              <w:t xml:space="preserve"> -</w:t>
            </w:r>
            <w:r w:rsidRPr="00E223DF">
              <w:rPr>
                <w:sz w:val="18"/>
                <w:szCs w:val="18"/>
                <w:lang w:val="fr-FR"/>
              </w:rPr>
              <w:t xml:space="preserve"> Épreuve, contrôle et marquage des citernes métalliques</w:t>
            </w:r>
          </w:p>
        </w:tc>
        <w:tc>
          <w:tcPr>
            <w:tcW w:w="888" w:type="dxa"/>
            <w:vAlign w:val="center"/>
          </w:tcPr>
          <w:p w:rsidR="009427E3" w:rsidRPr="00364FEF" w:rsidRDefault="009427E3" w:rsidP="00B60363">
            <w:pPr>
              <w:keepNext/>
              <w:keepLines/>
              <w:spacing w:before="40" w:after="40"/>
              <w:rPr>
                <w:rFonts w:asciiTheme="majorBidi" w:hAnsiTheme="majorBidi" w:cstheme="majorBidi"/>
                <w:sz w:val="18"/>
                <w:szCs w:val="18"/>
                <w:lang w:val="fr-FR"/>
              </w:rPr>
            </w:pPr>
            <w:r w:rsidRPr="00364FEF">
              <w:rPr>
                <w:rFonts w:cs="Arial"/>
                <w:sz w:val="18"/>
                <w:szCs w:val="18"/>
                <w:lang w:val="fr-FR"/>
              </w:rPr>
              <w:t>6.8.2.3</w:t>
            </w:r>
          </w:p>
        </w:tc>
        <w:tc>
          <w:tcPr>
            <w:tcW w:w="1595" w:type="dxa"/>
            <w:vAlign w:val="center"/>
          </w:tcPr>
          <w:p w:rsidR="009427E3" w:rsidRPr="00364FEF" w:rsidRDefault="009427E3" w:rsidP="00B60363">
            <w:pPr>
              <w:keepNext/>
              <w:keepLines/>
              <w:spacing w:before="40" w:after="40"/>
              <w:jc w:val="center"/>
              <w:rPr>
                <w:rFonts w:asciiTheme="majorBidi" w:hAnsiTheme="majorBidi" w:cstheme="majorBidi"/>
                <w:sz w:val="18"/>
                <w:szCs w:val="18"/>
                <w:lang w:val="fr-FR"/>
              </w:rPr>
            </w:pPr>
            <w:r w:rsidRPr="00364FEF">
              <w:rPr>
                <w:rFonts w:cs="Arial"/>
                <w:sz w:val="18"/>
                <w:szCs w:val="18"/>
                <w:lang w:val="fr-FR"/>
              </w:rPr>
              <w:t>Obligatoirement à partir du 1</w:t>
            </w:r>
            <w:r w:rsidRPr="00B60363">
              <w:rPr>
                <w:rFonts w:cs="Arial"/>
                <w:sz w:val="18"/>
                <w:szCs w:val="18"/>
                <w:lang w:val="fr-FR"/>
              </w:rPr>
              <w:t>er</w:t>
            </w:r>
            <w:r w:rsidRPr="00364FEF">
              <w:rPr>
                <w:rFonts w:cs="Arial"/>
                <w:sz w:val="18"/>
                <w:szCs w:val="18"/>
                <w:lang w:val="fr-FR"/>
              </w:rPr>
              <w:t xml:space="preserve"> janvier 2022</w:t>
            </w:r>
          </w:p>
        </w:tc>
        <w:tc>
          <w:tcPr>
            <w:tcW w:w="711" w:type="dxa"/>
            <w:vAlign w:val="center"/>
          </w:tcPr>
          <w:p w:rsidR="009427E3" w:rsidRPr="00364FEF" w:rsidRDefault="009427E3" w:rsidP="00B60363">
            <w:pPr>
              <w:keepNext/>
              <w:keepLines/>
              <w:spacing w:before="40" w:after="40"/>
              <w:rPr>
                <w:rFonts w:asciiTheme="majorBidi" w:hAnsiTheme="majorBidi" w:cstheme="majorBidi"/>
                <w:sz w:val="18"/>
                <w:szCs w:val="18"/>
                <w:lang w:val="fr-FR"/>
              </w:rPr>
            </w:pPr>
          </w:p>
        </w:tc>
      </w:tr>
    </w:tbl>
    <w:p w:rsidR="009427E3" w:rsidRPr="00364FEF" w:rsidRDefault="009427E3" w:rsidP="009427E3">
      <w:pPr>
        <w:pStyle w:val="SingleTxtG"/>
        <w:spacing w:before="120"/>
        <w:rPr>
          <w:i/>
          <w:iCs/>
          <w:lang w:val="fr-FR"/>
        </w:rPr>
      </w:pPr>
      <w:r w:rsidRPr="00364FEF">
        <w:rPr>
          <w:i/>
          <w:iCs/>
          <w:lang w:val="fr-FR"/>
        </w:rPr>
        <w:tab/>
      </w:r>
      <w:r w:rsidRPr="00364FEF">
        <w:rPr>
          <w:i/>
          <w:iCs/>
          <w:lang w:val="fr-FR"/>
        </w:rPr>
        <w:tab/>
      </w:r>
      <w:r w:rsidRPr="00364FEF">
        <w:rPr>
          <w:i/>
          <w:iCs/>
          <w:lang w:val="fr-FR"/>
        </w:rPr>
        <w:tab/>
        <w:t>(Document de référence : document informel INF.29</w:t>
      </w:r>
      <w:r w:rsidRPr="003B1372">
        <w:rPr>
          <w:i/>
          <w:iCs/>
          <w:lang w:val="fr-FR"/>
        </w:rPr>
        <w:t>, tel que modifié</w:t>
      </w:r>
      <w:r w:rsidRPr="00364FEF">
        <w:rPr>
          <w:i/>
          <w:iCs/>
          <w:lang w:val="fr-FR"/>
        </w:rPr>
        <w:t>)</w:t>
      </w:r>
    </w:p>
    <w:p w:rsidR="009427E3" w:rsidRPr="00364FEF" w:rsidRDefault="009427E3" w:rsidP="009427E3">
      <w:pPr>
        <w:pStyle w:val="SingleTxtG"/>
        <w:ind w:left="1701" w:firstLine="567"/>
        <w:rPr>
          <w:b/>
          <w:bCs/>
          <w:lang w:val="fr-FR"/>
        </w:rPr>
      </w:pPr>
      <w:r w:rsidRPr="00364FEF">
        <w:rPr>
          <w:b/>
          <w:bCs/>
          <w:lang w:val="fr-FR"/>
        </w:rPr>
        <w:t xml:space="preserve"> [ADR seulement]</w:t>
      </w:r>
    </w:p>
    <w:p w:rsidR="009427E3" w:rsidRPr="00364FEF" w:rsidRDefault="009427E3" w:rsidP="009427E3">
      <w:pPr>
        <w:pStyle w:val="Bullet1G"/>
        <w:numPr>
          <w:ilvl w:val="0"/>
          <w:numId w:val="1"/>
        </w:numPr>
        <w:tabs>
          <w:tab w:val="clear" w:pos="1701"/>
        </w:tabs>
        <w:ind w:left="2552" w:hanging="284"/>
        <w:rPr>
          <w:lang w:val="fr-FR"/>
        </w:rPr>
      </w:pPr>
      <w:r w:rsidRPr="00364FEF">
        <w:rPr>
          <w:lang w:val="fr-FR"/>
        </w:rPr>
        <w:t xml:space="preserve">Pour </w:t>
      </w:r>
      <w:r w:rsidRPr="003B1372">
        <w:rPr>
          <w:lang w:val="fr-FR"/>
        </w:rPr>
        <w:t>« </w:t>
      </w:r>
      <w:r w:rsidRPr="00364FEF">
        <w:rPr>
          <w:lang w:val="fr-FR"/>
        </w:rPr>
        <w:t xml:space="preserve">EN </w:t>
      </w:r>
      <w:proofErr w:type="gramStart"/>
      <w:r w:rsidRPr="00364FEF">
        <w:rPr>
          <w:lang w:val="fr-FR"/>
        </w:rPr>
        <w:t>12493:</w:t>
      </w:r>
      <w:proofErr w:type="gramEnd"/>
      <w:r w:rsidRPr="00364FEF">
        <w:rPr>
          <w:lang w:val="fr-FR"/>
        </w:rPr>
        <w:t>2013+A1:2014+AC</w:t>
      </w:r>
      <w:r w:rsidRPr="003B1372">
        <w:rPr>
          <w:lang w:val="fr-FR"/>
        </w:rPr>
        <w:t>:</w:t>
      </w:r>
      <w:r w:rsidRPr="00364FEF">
        <w:rPr>
          <w:lang w:val="fr-FR"/>
        </w:rPr>
        <w:t>2015 (sauf annexe C)</w:t>
      </w:r>
      <w:r w:rsidRPr="003B1372">
        <w:rPr>
          <w:lang w:val="fr-FR"/>
        </w:rPr>
        <w:t> »</w:t>
      </w:r>
      <w:r w:rsidRPr="00364FEF">
        <w:rPr>
          <w:lang w:val="fr-FR"/>
        </w:rPr>
        <w:t xml:space="preserve">, dans la colonne (4), remplacer </w:t>
      </w:r>
      <w:r w:rsidRPr="003B1372">
        <w:rPr>
          <w:lang w:val="fr-FR"/>
        </w:rPr>
        <w:t>le texte existant</w:t>
      </w:r>
      <w:r w:rsidRPr="00364FEF">
        <w:rPr>
          <w:lang w:val="fr-FR"/>
        </w:rPr>
        <w:t xml:space="preserve"> par « Entre le 1</w:t>
      </w:r>
      <w:r w:rsidR="00B60363">
        <w:rPr>
          <w:lang w:val="fr-FR"/>
        </w:rPr>
        <w:t>er</w:t>
      </w:r>
      <w:r w:rsidRPr="00364FEF">
        <w:rPr>
          <w:lang w:val="fr-FR"/>
        </w:rPr>
        <w:t xml:space="preserve"> janvier 2017 et le 31 décembre 2022 ».</w:t>
      </w:r>
    </w:p>
    <w:p w:rsidR="009427E3" w:rsidRPr="003B1372" w:rsidRDefault="009427E3" w:rsidP="009427E3">
      <w:pPr>
        <w:pStyle w:val="SingleTxtG"/>
        <w:tabs>
          <w:tab w:val="left" w:pos="2552"/>
        </w:tabs>
        <w:spacing w:before="120"/>
        <w:rPr>
          <w:i/>
          <w:iCs/>
          <w:lang w:val="fr-FR"/>
        </w:rPr>
      </w:pPr>
      <w:r>
        <w:rPr>
          <w:i/>
          <w:iCs/>
          <w:lang w:val="fr-FR"/>
        </w:rPr>
        <w:tab/>
      </w:r>
      <w:r w:rsidRPr="00364FEF">
        <w:rPr>
          <w:i/>
          <w:iCs/>
          <w:lang w:val="fr-FR"/>
        </w:rPr>
        <w:t>(Document de référence : document informel INF.29)</w:t>
      </w:r>
    </w:p>
    <w:p w:rsidR="009427E3" w:rsidRPr="00364FEF" w:rsidRDefault="009427E3" w:rsidP="009427E3">
      <w:pPr>
        <w:pStyle w:val="Bullet1G"/>
        <w:numPr>
          <w:ilvl w:val="0"/>
          <w:numId w:val="1"/>
        </w:numPr>
        <w:tabs>
          <w:tab w:val="clear" w:pos="1701"/>
        </w:tabs>
        <w:ind w:left="2552" w:hanging="284"/>
        <w:rPr>
          <w:lang w:val="fr-FR"/>
        </w:rPr>
      </w:pPr>
      <w:r w:rsidRPr="003B1372">
        <w:rPr>
          <w:lang w:val="fr-FR"/>
        </w:rPr>
        <w:t xml:space="preserve">Après la rubrique existante pour la norme « EN </w:t>
      </w:r>
      <w:proofErr w:type="gramStart"/>
      <w:r w:rsidRPr="003B1372">
        <w:rPr>
          <w:lang w:val="fr-FR"/>
        </w:rPr>
        <w:t>12493:</w:t>
      </w:r>
      <w:proofErr w:type="gramEnd"/>
      <w:r w:rsidRPr="003B1372">
        <w:rPr>
          <w:lang w:val="fr-FR"/>
        </w:rPr>
        <w:t xml:space="preserve">2013+A1:2014+AC:2015 (sauf annexe C) », insérer la </w:t>
      </w:r>
      <w:r>
        <w:rPr>
          <w:lang w:val="fr-FR"/>
        </w:rPr>
        <w:t xml:space="preserve">nouvelle </w:t>
      </w:r>
      <w:r w:rsidRPr="003B1372">
        <w:rPr>
          <w:lang w:val="fr-FR"/>
        </w:rPr>
        <w:t>rubrique suivante</w:t>
      </w:r>
      <w:r w:rsidRPr="00364FEF">
        <w:rPr>
          <w:lang w:val="fr-FR"/>
        </w:rPr>
        <w:t>:</w:t>
      </w:r>
    </w:p>
    <w:tbl>
      <w:tblPr>
        <w:tblW w:w="8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3228"/>
        <w:gridCol w:w="1417"/>
        <w:gridCol w:w="1166"/>
        <w:gridCol w:w="1276"/>
      </w:tblGrid>
      <w:tr w:rsidR="009427E3" w:rsidRPr="003B1372" w:rsidTr="00B60363">
        <w:trPr>
          <w:jc w:val="center"/>
        </w:trPr>
        <w:tc>
          <w:tcPr>
            <w:tcW w:w="1587" w:type="dxa"/>
          </w:tcPr>
          <w:p w:rsidR="009427E3" w:rsidRPr="00364FEF" w:rsidRDefault="009427E3" w:rsidP="00B60363">
            <w:pPr>
              <w:widowControl w:val="0"/>
              <w:spacing w:before="40" w:after="40"/>
              <w:rPr>
                <w:rFonts w:asciiTheme="majorBidi" w:hAnsiTheme="majorBidi" w:cstheme="majorBidi"/>
                <w:bCs/>
                <w:iCs/>
                <w:sz w:val="18"/>
                <w:szCs w:val="18"/>
                <w:lang w:val="fr-FR"/>
              </w:rPr>
            </w:pPr>
            <w:r w:rsidRPr="00364FEF">
              <w:rPr>
                <w:rFonts w:asciiTheme="majorBidi" w:hAnsiTheme="majorBidi" w:cstheme="majorBidi"/>
                <w:bCs/>
                <w:iCs/>
                <w:sz w:val="18"/>
                <w:szCs w:val="18"/>
                <w:lang w:val="fr-FR"/>
              </w:rPr>
              <w:t xml:space="preserve">EN </w:t>
            </w:r>
            <w:proofErr w:type="gramStart"/>
            <w:r w:rsidRPr="00364FEF">
              <w:rPr>
                <w:rFonts w:asciiTheme="majorBidi" w:hAnsiTheme="majorBidi" w:cstheme="majorBidi"/>
                <w:bCs/>
                <w:iCs/>
                <w:sz w:val="18"/>
                <w:szCs w:val="18"/>
                <w:lang w:val="fr-FR"/>
              </w:rPr>
              <w:t>12493:</w:t>
            </w:r>
            <w:proofErr w:type="gramEnd"/>
            <w:r w:rsidRPr="00364FEF">
              <w:rPr>
                <w:rFonts w:asciiTheme="majorBidi" w:hAnsiTheme="majorBidi" w:cstheme="majorBidi"/>
                <w:bCs/>
                <w:iCs/>
                <w:sz w:val="18"/>
                <w:szCs w:val="18"/>
                <w:lang w:val="fr-FR"/>
              </w:rPr>
              <w:t>2013+ A2:2018 (sauf Annexe C)</w:t>
            </w:r>
          </w:p>
        </w:tc>
        <w:tc>
          <w:tcPr>
            <w:tcW w:w="3228" w:type="dxa"/>
            <w:vAlign w:val="center"/>
          </w:tcPr>
          <w:p w:rsidR="009427E3" w:rsidRPr="00364FEF" w:rsidRDefault="00A6671F" w:rsidP="00B60363">
            <w:pPr>
              <w:suppressAutoHyphens w:val="0"/>
              <w:spacing w:line="240" w:lineRule="auto"/>
              <w:rPr>
                <w:rFonts w:asciiTheme="majorBidi" w:hAnsiTheme="majorBidi" w:cstheme="majorBidi"/>
                <w:bCs/>
                <w:iCs/>
                <w:sz w:val="18"/>
                <w:szCs w:val="18"/>
                <w:lang w:val="fr-FR"/>
              </w:rPr>
            </w:pPr>
            <w:r w:rsidRPr="00A6671F">
              <w:rPr>
                <w:rFonts w:asciiTheme="majorBidi" w:eastAsia="TimesNewRomanPSMT" w:hAnsiTheme="majorBidi" w:cstheme="majorBidi"/>
                <w:bCs/>
                <w:sz w:val="18"/>
                <w:szCs w:val="18"/>
                <w:lang w:val="fr-FR" w:eastAsia="en-GB"/>
              </w:rPr>
              <w:t xml:space="preserve">Équipements pour GPL et leurs accessoires - Réservoirs sous pression en acier soudés des </w:t>
            </w:r>
            <w:proofErr w:type="spellStart"/>
            <w:r w:rsidRPr="00A6671F">
              <w:rPr>
                <w:rFonts w:asciiTheme="majorBidi" w:eastAsia="TimesNewRomanPSMT" w:hAnsiTheme="majorBidi" w:cstheme="majorBidi"/>
                <w:bCs/>
                <w:sz w:val="18"/>
                <w:szCs w:val="18"/>
                <w:lang w:val="fr-FR" w:eastAsia="en-GB"/>
              </w:rPr>
              <w:t>camions-citernes</w:t>
            </w:r>
            <w:proofErr w:type="spellEnd"/>
            <w:r w:rsidRPr="00A6671F">
              <w:rPr>
                <w:rFonts w:asciiTheme="majorBidi" w:eastAsia="TimesNewRomanPSMT" w:hAnsiTheme="majorBidi" w:cstheme="majorBidi"/>
                <w:bCs/>
                <w:sz w:val="18"/>
                <w:szCs w:val="18"/>
                <w:lang w:val="fr-FR" w:eastAsia="en-GB"/>
              </w:rPr>
              <w:t xml:space="preserve"> pour GPL - Conception et construction</w:t>
            </w:r>
          </w:p>
        </w:tc>
        <w:tc>
          <w:tcPr>
            <w:tcW w:w="1417" w:type="dxa"/>
            <w:vAlign w:val="center"/>
          </w:tcPr>
          <w:p w:rsidR="009427E3" w:rsidRPr="00364FEF" w:rsidRDefault="009427E3" w:rsidP="00B60363">
            <w:pPr>
              <w:widowControl w:val="0"/>
              <w:spacing w:before="40" w:after="40"/>
              <w:rPr>
                <w:rFonts w:asciiTheme="majorBidi" w:hAnsiTheme="majorBidi" w:cstheme="majorBidi"/>
                <w:bCs/>
                <w:sz w:val="18"/>
                <w:szCs w:val="18"/>
                <w:lang w:val="fr-FR"/>
              </w:rPr>
            </w:pPr>
            <w:r w:rsidRPr="00364FEF">
              <w:rPr>
                <w:rFonts w:asciiTheme="majorBidi" w:hAnsiTheme="majorBidi" w:cstheme="majorBidi"/>
                <w:bCs/>
                <w:sz w:val="18"/>
                <w:szCs w:val="18"/>
                <w:lang w:val="fr-FR"/>
              </w:rPr>
              <w:t>6.8.2.1, 6.8.2.5</w:t>
            </w:r>
          </w:p>
          <w:p w:rsidR="009427E3" w:rsidRPr="00364FEF" w:rsidRDefault="009427E3" w:rsidP="00B60363">
            <w:pPr>
              <w:widowControl w:val="0"/>
              <w:spacing w:before="40" w:after="40"/>
              <w:rPr>
                <w:rFonts w:asciiTheme="majorBidi" w:hAnsiTheme="majorBidi" w:cstheme="majorBidi"/>
                <w:bCs/>
                <w:sz w:val="18"/>
                <w:szCs w:val="18"/>
                <w:lang w:val="fr-FR"/>
              </w:rPr>
            </w:pPr>
            <w:r w:rsidRPr="00364FEF">
              <w:rPr>
                <w:rFonts w:asciiTheme="majorBidi" w:hAnsiTheme="majorBidi" w:cstheme="majorBidi"/>
                <w:bCs/>
                <w:sz w:val="18"/>
                <w:szCs w:val="18"/>
                <w:lang w:val="fr-FR"/>
              </w:rPr>
              <w:t>6.8.3.1, 6.8.3.5</w:t>
            </w:r>
          </w:p>
          <w:p w:rsidR="009427E3" w:rsidRPr="00364FEF" w:rsidRDefault="009427E3" w:rsidP="00B60363">
            <w:pPr>
              <w:widowControl w:val="0"/>
              <w:spacing w:before="40" w:after="40"/>
              <w:rPr>
                <w:rFonts w:asciiTheme="majorBidi" w:hAnsiTheme="majorBidi" w:cstheme="majorBidi"/>
                <w:bCs/>
                <w:sz w:val="18"/>
                <w:szCs w:val="18"/>
                <w:lang w:val="fr-FR"/>
              </w:rPr>
            </w:pPr>
            <w:r w:rsidRPr="00364FEF">
              <w:rPr>
                <w:rFonts w:asciiTheme="majorBidi" w:hAnsiTheme="majorBidi" w:cstheme="majorBidi"/>
                <w:bCs/>
                <w:sz w:val="18"/>
                <w:szCs w:val="18"/>
                <w:lang w:val="fr-FR"/>
              </w:rPr>
              <w:t>6.8.5.1 à 6.8.5.3</w:t>
            </w:r>
          </w:p>
        </w:tc>
        <w:tc>
          <w:tcPr>
            <w:tcW w:w="1166" w:type="dxa"/>
            <w:vAlign w:val="center"/>
          </w:tcPr>
          <w:p w:rsidR="009427E3" w:rsidRPr="00364FEF" w:rsidRDefault="009427E3" w:rsidP="00B60363">
            <w:pPr>
              <w:widowControl w:val="0"/>
              <w:spacing w:before="40" w:after="40"/>
              <w:jc w:val="center"/>
              <w:rPr>
                <w:rFonts w:asciiTheme="majorBidi" w:hAnsiTheme="majorBidi" w:cstheme="majorBidi"/>
                <w:bCs/>
                <w:sz w:val="18"/>
                <w:szCs w:val="18"/>
                <w:lang w:val="fr-FR"/>
              </w:rPr>
            </w:pPr>
            <w:r w:rsidRPr="00364FEF">
              <w:rPr>
                <w:rFonts w:asciiTheme="majorBidi" w:hAnsiTheme="majorBidi" w:cstheme="majorBidi"/>
                <w:bCs/>
                <w:sz w:val="18"/>
                <w:szCs w:val="18"/>
                <w:lang w:val="fr-FR"/>
              </w:rPr>
              <w:t>Jusqu’à nouvel ordre</w:t>
            </w:r>
          </w:p>
        </w:tc>
        <w:tc>
          <w:tcPr>
            <w:tcW w:w="1276" w:type="dxa"/>
          </w:tcPr>
          <w:p w:rsidR="009427E3" w:rsidRPr="00364FEF" w:rsidRDefault="009427E3" w:rsidP="00B60363">
            <w:pPr>
              <w:widowControl w:val="0"/>
              <w:spacing w:before="40" w:after="40"/>
              <w:jc w:val="center"/>
              <w:rPr>
                <w:rFonts w:asciiTheme="majorBidi" w:hAnsiTheme="majorBidi" w:cstheme="majorBidi"/>
                <w:bCs/>
                <w:sz w:val="18"/>
                <w:szCs w:val="18"/>
                <w:lang w:val="fr-FR"/>
              </w:rPr>
            </w:pPr>
          </w:p>
        </w:tc>
      </w:tr>
    </w:tbl>
    <w:p w:rsidR="009427E3" w:rsidRPr="00364FEF" w:rsidRDefault="009427E3" w:rsidP="009427E3">
      <w:pPr>
        <w:pStyle w:val="SingleTxtG"/>
        <w:tabs>
          <w:tab w:val="left" w:pos="2552"/>
        </w:tabs>
        <w:spacing w:before="120"/>
        <w:rPr>
          <w:i/>
          <w:iCs/>
          <w:lang w:val="fr-FR"/>
        </w:rPr>
      </w:pPr>
      <w:r>
        <w:rPr>
          <w:i/>
          <w:iCs/>
          <w:lang w:val="fr-FR"/>
        </w:rPr>
        <w:tab/>
      </w:r>
      <w:r w:rsidRPr="00364FEF">
        <w:rPr>
          <w:i/>
          <w:iCs/>
          <w:lang w:val="fr-FR"/>
        </w:rPr>
        <w:t>(Document de référence : document informel INF.29</w:t>
      </w:r>
      <w:r w:rsidRPr="003B1372">
        <w:rPr>
          <w:i/>
          <w:iCs/>
          <w:lang w:val="fr-FR"/>
        </w:rPr>
        <w:t>, tel que modifié</w:t>
      </w:r>
      <w:r w:rsidRPr="00364FEF">
        <w:rPr>
          <w:i/>
          <w:iCs/>
          <w:lang w:val="fr-FR"/>
        </w:rPr>
        <w:t>)</w:t>
      </w:r>
    </w:p>
    <w:p w:rsidR="009427E3" w:rsidRPr="00364FEF" w:rsidRDefault="009427E3" w:rsidP="009427E3">
      <w:pPr>
        <w:pStyle w:val="SingleTxtG"/>
        <w:ind w:left="1701" w:firstLine="567"/>
        <w:rPr>
          <w:b/>
          <w:bCs/>
          <w:lang w:val="fr-FR"/>
        </w:rPr>
      </w:pPr>
      <w:r w:rsidRPr="00364FEF">
        <w:rPr>
          <w:b/>
          <w:bCs/>
          <w:lang w:val="fr-FR"/>
        </w:rPr>
        <w:t>[ADR seulement]</w:t>
      </w:r>
    </w:p>
    <w:p w:rsidR="009427E3" w:rsidRPr="00364FEF" w:rsidRDefault="009427E3" w:rsidP="009427E3">
      <w:pPr>
        <w:pStyle w:val="SingleTxtG"/>
        <w:spacing w:before="120"/>
        <w:ind w:left="2268" w:hanging="567"/>
        <w:rPr>
          <w:lang w:val="fr-FR"/>
        </w:rPr>
      </w:pPr>
      <w:r w:rsidRPr="00364FEF">
        <w:rPr>
          <w:lang w:val="fr-FR"/>
        </w:rPr>
        <w:t>(b)</w:t>
      </w:r>
      <w:r w:rsidRPr="00364FEF">
        <w:rPr>
          <w:lang w:val="fr-FR"/>
        </w:rPr>
        <w:tab/>
        <w:t xml:space="preserve">Sous </w:t>
      </w:r>
      <w:r w:rsidRPr="00364FEF">
        <w:rPr>
          <w:b/>
          <w:bCs/>
          <w:lang w:val="fr-FR"/>
        </w:rPr>
        <w:t>«</w:t>
      </w:r>
      <w:r w:rsidRPr="00364FEF">
        <w:rPr>
          <w:lang w:val="fr-FR"/>
        </w:rPr>
        <w:t> </w:t>
      </w:r>
      <w:r w:rsidRPr="00364FEF">
        <w:rPr>
          <w:rFonts w:eastAsia="Times New Roman"/>
          <w:b/>
          <w:bCs/>
          <w:i/>
          <w:iCs/>
          <w:lang w:val="fr-FR" w:eastAsia="zh-CN"/>
        </w:rPr>
        <w:t>Pour les équipements</w:t>
      </w:r>
      <w:r w:rsidRPr="003B1372">
        <w:rPr>
          <w:rFonts w:eastAsia="Times New Roman"/>
          <w:b/>
          <w:bCs/>
          <w:i/>
          <w:iCs/>
          <w:lang w:val="fr-FR" w:eastAsia="zh-CN"/>
        </w:rPr>
        <w:t> »</w:t>
      </w:r>
    </w:p>
    <w:p w:rsidR="009427E3" w:rsidRPr="00364FEF" w:rsidRDefault="009427E3" w:rsidP="009427E3">
      <w:pPr>
        <w:pStyle w:val="Bullet1G"/>
        <w:numPr>
          <w:ilvl w:val="0"/>
          <w:numId w:val="1"/>
        </w:numPr>
        <w:tabs>
          <w:tab w:val="clear" w:pos="1701"/>
        </w:tabs>
        <w:ind w:left="2552" w:hanging="284"/>
        <w:rPr>
          <w:lang w:val="fr-FR"/>
        </w:rPr>
      </w:pPr>
      <w:r w:rsidRPr="00364FEF">
        <w:rPr>
          <w:lang w:val="fr-FR"/>
        </w:rPr>
        <w:t xml:space="preserve">Pour la norme « EN </w:t>
      </w:r>
      <w:proofErr w:type="gramStart"/>
      <w:r w:rsidRPr="00364FEF">
        <w:rPr>
          <w:lang w:val="fr-FR"/>
        </w:rPr>
        <w:t>13317:</w:t>
      </w:r>
      <w:proofErr w:type="gramEnd"/>
      <w:r w:rsidRPr="00364FEF">
        <w:rPr>
          <w:lang w:val="fr-FR"/>
        </w:rPr>
        <w:t>2002</w:t>
      </w:r>
      <w:r w:rsidR="00A6671F">
        <w:rPr>
          <w:lang w:val="fr-FR"/>
        </w:rPr>
        <w:t> </w:t>
      </w:r>
      <w:r w:rsidRPr="00364FEF">
        <w:rPr>
          <w:lang w:val="fr-FR"/>
        </w:rPr>
        <w:t>+</w:t>
      </w:r>
      <w:r w:rsidR="00A6671F">
        <w:rPr>
          <w:lang w:val="fr-FR"/>
        </w:rPr>
        <w:t> </w:t>
      </w:r>
      <w:r w:rsidRPr="00364FEF">
        <w:rPr>
          <w:lang w:val="fr-FR"/>
        </w:rPr>
        <w:t xml:space="preserve">A1:2006 », dans la colonne (4), remplacer </w:t>
      </w:r>
      <w:r w:rsidRPr="00D92AAC">
        <w:rPr>
          <w:lang w:val="fr-FR"/>
        </w:rPr>
        <w:t>le texte existant</w:t>
      </w:r>
      <w:r w:rsidRPr="00364FEF">
        <w:rPr>
          <w:lang w:val="fr-FR"/>
        </w:rPr>
        <w:t xml:space="preserve"> par « entre le 1</w:t>
      </w:r>
      <w:r w:rsidR="00A6671F">
        <w:rPr>
          <w:lang w:val="fr-FR"/>
        </w:rPr>
        <w:t>er</w:t>
      </w:r>
      <w:r w:rsidRPr="00364FEF">
        <w:rPr>
          <w:lang w:val="fr-FR"/>
        </w:rPr>
        <w:t xml:space="preserve"> janvier 2009 et le 31 décembre 2021 ». </w:t>
      </w:r>
    </w:p>
    <w:p w:rsidR="009427E3" w:rsidRPr="00364FEF" w:rsidRDefault="009427E3" w:rsidP="009427E3">
      <w:pPr>
        <w:pStyle w:val="SingleTxtG"/>
        <w:tabs>
          <w:tab w:val="left" w:pos="2552"/>
        </w:tabs>
        <w:spacing w:before="120"/>
        <w:rPr>
          <w:i/>
          <w:iCs/>
          <w:lang w:val="fr-FR"/>
        </w:rPr>
      </w:pPr>
      <w:r>
        <w:rPr>
          <w:i/>
          <w:iCs/>
          <w:lang w:val="fr-FR"/>
        </w:rPr>
        <w:tab/>
      </w:r>
      <w:r w:rsidRPr="00364FEF">
        <w:rPr>
          <w:i/>
          <w:iCs/>
          <w:lang w:val="fr-FR"/>
        </w:rPr>
        <w:t>(Document de référence : document informel INF.29)</w:t>
      </w:r>
    </w:p>
    <w:p w:rsidR="009427E3" w:rsidRPr="00364FEF" w:rsidRDefault="009427E3" w:rsidP="009427E3">
      <w:pPr>
        <w:pStyle w:val="Bullet1G"/>
        <w:numPr>
          <w:ilvl w:val="0"/>
          <w:numId w:val="1"/>
        </w:numPr>
        <w:tabs>
          <w:tab w:val="clear" w:pos="1701"/>
        </w:tabs>
        <w:ind w:left="2552" w:hanging="284"/>
        <w:rPr>
          <w:lang w:val="fr-FR"/>
        </w:rPr>
      </w:pPr>
      <w:r w:rsidRPr="00364FEF">
        <w:rPr>
          <w:lang w:val="fr-FR"/>
        </w:rPr>
        <w:t xml:space="preserve">Après </w:t>
      </w:r>
      <w:r w:rsidRPr="003642B3">
        <w:rPr>
          <w:lang w:val="fr-FR"/>
        </w:rPr>
        <w:t xml:space="preserve">la rubrique existante pour la norme </w:t>
      </w:r>
      <w:r w:rsidR="00A6671F">
        <w:rPr>
          <w:lang w:val="fr-FR"/>
        </w:rPr>
        <w:t xml:space="preserve">« EN </w:t>
      </w:r>
      <w:proofErr w:type="gramStart"/>
      <w:r w:rsidR="00A6671F">
        <w:rPr>
          <w:lang w:val="fr-FR"/>
        </w:rPr>
        <w:t>13317:</w:t>
      </w:r>
      <w:proofErr w:type="gramEnd"/>
      <w:r w:rsidRPr="00364FEF">
        <w:rPr>
          <w:lang w:val="fr-FR"/>
        </w:rPr>
        <w:t>2002</w:t>
      </w:r>
      <w:r w:rsidR="00A6671F">
        <w:rPr>
          <w:lang w:val="fr-FR"/>
        </w:rPr>
        <w:t> </w:t>
      </w:r>
      <w:r w:rsidRPr="00364FEF">
        <w:rPr>
          <w:lang w:val="fr-FR"/>
        </w:rPr>
        <w:t>+</w:t>
      </w:r>
      <w:r w:rsidR="00A6671F">
        <w:rPr>
          <w:lang w:val="fr-FR"/>
        </w:rPr>
        <w:t> </w:t>
      </w:r>
      <w:r w:rsidRPr="00364FEF">
        <w:rPr>
          <w:lang w:val="fr-FR"/>
        </w:rPr>
        <w:t xml:space="preserve">A1:2006 », insérer la nouvelle rubrique suivante : </w:t>
      </w:r>
    </w:p>
    <w:tbl>
      <w:tblPr>
        <w:tblW w:w="8640" w:type="dxa"/>
        <w:jc w:val="center"/>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557"/>
        <w:gridCol w:w="3843"/>
        <w:gridCol w:w="900"/>
        <w:gridCol w:w="1620"/>
        <w:gridCol w:w="720"/>
      </w:tblGrid>
      <w:tr w:rsidR="009427E3" w:rsidRPr="003B1372" w:rsidTr="00B60363">
        <w:trPr>
          <w:trHeight w:val="717"/>
          <w:jc w:val="center"/>
        </w:trPr>
        <w:tc>
          <w:tcPr>
            <w:tcW w:w="1557" w:type="dxa"/>
            <w:tcBorders>
              <w:top w:val="single" w:sz="4" w:space="0" w:color="auto"/>
            </w:tcBorders>
            <w:vAlign w:val="center"/>
          </w:tcPr>
          <w:p w:rsidR="009427E3" w:rsidRPr="00364FEF" w:rsidRDefault="009427E3" w:rsidP="00B60363">
            <w:pPr>
              <w:widowControl w:val="0"/>
              <w:spacing w:before="60" w:after="60"/>
              <w:rPr>
                <w:rFonts w:cs="Arial"/>
                <w:sz w:val="18"/>
                <w:szCs w:val="18"/>
                <w:lang w:val="fr-FR"/>
              </w:rPr>
            </w:pPr>
            <w:r w:rsidRPr="00364FEF">
              <w:rPr>
                <w:rFonts w:cs="Arial"/>
                <w:sz w:val="18"/>
                <w:szCs w:val="18"/>
                <w:lang w:val="fr-FR"/>
              </w:rPr>
              <w:lastRenderedPageBreak/>
              <w:t xml:space="preserve">EN </w:t>
            </w:r>
            <w:proofErr w:type="gramStart"/>
            <w:r w:rsidRPr="00364FEF">
              <w:rPr>
                <w:rFonts w:cs="Arial"/>
                <w:sz w:val="18"/>
                <w:szCs w:val="18"/>
                <w:lang w:val="fr-FR"/>
              </w:rPr>
              <w:t>13317:</w:t>
            </w:r>
            <w:proofErr w:type="gramEnd"/>
            <w:r w:rsidRPr="00364FEF">
              <w:rPr>
                <w:rFonts w:cs="Arial"/>
                <w:sz w:val="18"/>
                <w:szCs w:val="18"/>
                <w:lang w:val="fr-FR"/>
              </w:rPr>
              <w:t>2018</w:t>
            </w:r>
          </w:p>
        </w:tc>
        <w:tc>
          <w:tcPr>
            <w:tcW w:w="3843" w:type="dxa"/>
            <w:tcBorders>
              <w:top w:val="single" w:sz="4" w:space="0" w:color="auto"/>
            </w:tcBorders>
            <w:vAlign w:val="center"/>
          </w:tcPr>
          <w:p w:rsidR="009427E3" w:rsidRPr="00364FEF" w:rsidRDefault="009427E3" w:rsidP="00B60363">
            <w:pPr>
              <w:widowControl w:val="0"/>
              <w:spacing w:before="60" w:after="60"/>
              <w:rPr>
                <w:rFonts w:cs="Arial"/>
                <w:sz w:val="18"/>
                <w:szCs w:val="18"/>
                <w:lang w:val="fr-FR"/>
              </w:rPr>
            </w:pPr>
            <w:r w:rsidRPr="00364FEF">
              <w:rPr>
                <w:sz w:val="18"/>
                <w:szCs w:val="18"/>
                <w:lang w:val="fr-FR"/>
              </w:rPr>
              <w:t xml:space="preserve">Citernes </w:t>
            </w:r>
            <w:r w:rsidR="00A6671F">
              <w:rPr>
                <w:sz w:val="18"/>
                <w:szCs w:val="18"/>
                <w:lang w:val="fr-FR"/>
              </w:rPr>
              <w:t>pour le</w:t>
            </w:r>
            <w:r w:rsidRPr="00364FEF">
              <w:rPr>
                <w:sz w:val="18"/>
                <w:szCs w:val="18"/>
                <w:lang w:val="fr-FR"/>
              </w:rPr>
              <w:t xml:space="preserve"> tr</w:t>
            </w:r>
            <w:r w:rsidR="00A6671F">
              <w:rPr>
                <w:sz w:val="18"/>
                <w:szCs w:val="18"/>
                <w:lang w:val="fr-FR"/>
              </w:rPr>
              <w:t xml:space="preserve">ansport de matières dangereuses - </w:t>
            </w:r>
            <w:r w:rsidRPr="00364FEF">
              <w:rPr>
                <w:sz w:val="18"/>
                <w:szCs w:val="18"/>
                <w:lang w:val="fr-FR"/>
              </w:rPr>
              <w:t>Équipements de service pour citernes</w:t>
            </w:r>
            <w:r w:rsidR="00A6671F">
              <w:rPr>
                <w:sz w:val="18"/>
                <w:szCs w:val="18"/>
                <w:lang w:val="fr-FR"/>
              </w:rPr>
              <w:t xml:space="preserve"> -</w:t>
            </w:r>
            <w:r w:rsidRPr="00364FEF">
              <w:rPr>
                <w:sz w:val="18"/>
                <w:szCs w:val="18"/>
                <w:lang w:val="fr-FR"/>
              </w:rPr>
              <w:t xml:space="preserve"> Couvercle de trou d'homme</w:t>
            </w:r>
          </w:p>
        </w:tc>
        <w:tc>
          <w:tcPr>
            <w:tcW w:w="900" w:type="dxa"/>
            <w:tcBorders>
              <w:top w:val="single" w:sz="4" w:space="0" w:color="auto"/>
              <w:right w:val="single" w:sz="4" w:space="0" w:color="auto"/>
            </w:tcBorders>
            <w:vAlign w:val="center"/>
          </w:tcPr>
          <w:p w:rsidR="009427E3" w:rsidRPr="00364FEF" w:rsidRDefault="009427E3" w:rsidP="00B60363">
            <w:pPr>
              <w:widowControl w:val="0"/>
              <w:spacing w:before="60" w:after="60"/>
              <w:rPr>
                <w:rFonts w:cs="Arial"/>
                <w:sz w:val="18"/>
                <w:szCs w:val="18"/>
                <w:lang w:val="fr-FR"/>
              </w:rPr>
            </w:pPr>
            <w:r w:rsidRPr="00364FEF">
              <w:rPr>
                <w:rFonts w:cs="Arial"/>
                <w:sz w:val="18"/>
                <w:szCs w:val="18"/>
                <w:lang w:val="fr-FR"/>
              </w:rPr>
              <w:t>6.8.2.2 et 6.8.2.4.1</w:t>
            </w:r>
          </w:p>
        </w:tc>
        <w:tc>
          <w:tcPr>
            <w:tcW w:w="1620" w:type="dxa"/>
            <w:tcBorders>
              <w:top w:val="single" w:sz="4" w:space="0" w:color="auto"/>
              <w:left w:val="single" w:sz="4" w:space="0" w:color="auto"/>
              <w:bottom w:val="single" w:sz="4" w:space="0" w:color="auto"/>
              <w:right w:val="single" w:sz="4" w:space="0" w:color="auto"/>
            </w:tcBorders>
            <w:vAlign w:val="center"/>
          </w:tcPr>
          <w:p w:rsidR="009427E3" w:rsidRPr="00364FEF" w:rsidRDefault="009427E3" w:rsidP="00B60363">
            <w:pPr>
              <w:widowControl w:val="0"/>
              <w:spacing w:before="60" w:after="60"/>
              <w:rPr>
                <w:rFonts w:cs="Arial"/>
                <w:sz w:val="18"/>
                <w:szCs w:val="18"/>
                <w:lang w:val="fr-FR"/>
              </w:rPr>
            </w:pPr>
            <w:r w:rsidRPr="00364FEF">
              <w:rPr>
                <w:rFonts w:cs="Arial"/>
                <w:sz w:val="18"/>
                <w:szCs w:val="18"/>
                <w:lang w:val="fr-FR"/>
              </w:rPr>
              <w:t>Jusqu’à nouvel ordre</w:t>
            </w:r>
          </w:p>
        </w:tc>
        <w:tc>
          <w:tcPr>
            <w:tcW w:w="720" w:type="dxa"/>
            <w:tcBorders>
              <w:top w:val="single" w:sz="4" w:space="0" w:color="auto"/>
              <w:left w:val="single" w:sz="4" w:space="0" w:color="auto"/>
            </w:tcBorders>
            <w:vAlign w:val="center"/>
          </w:tcPr>
          <w:p w:rsidR="009427E3" w:rsidRPr="00364FEF" w:rsidRDefault="009427E3" w:rsidP="00B60363">
            <w:pPr>
              <w:widowControl w:val="0"/>
              <w:spacing w:before="60" w:after="60"/>
              <w:rPr>
                <w:rFonts w:cs="Arial"/>
                <w:sz w:val="18"/>
                <w:szCs w:val="18"/>
                <w:lang w:val="fr-FR"/>
              </w:rPr>
            </w:pPr>
          </w:p>
        </w:tc>
      </w:tr>
    </w:tbl>
    <w:p w:rsidR="009427E3" w:rsidRPr="00364FEF" w:rsidRDefault="009427E3" w:rsidP="009427E3">
      <w:pPr>
        <w:pStyle w:val="SingleTxtG"/>
        <w:tabs>
          <w:tab w:val="left" w:pos="2552"/>
        </w:tabs>
        <w:spacing w:before="120"/>
        <w:rPr>
          <w:i/>
          <w:iCs/>
          <w:lang w:val="fr-FR"/>
        </w:rPr>
      </w:pPr>
      <w:r w:rsidRPr="00364FEF">
        <w:rPr>
          <w:i/>
          <w:iCs/>
          <w:lang w:val="fr-FR"/>
        </w:rPr>
        <w:tab/>
        <w:t>(Document de référence : document informel INF.29)</w:t>
      </w:r>
    </w:p>
    <w:p w:rsidR="009427E3" w:rsidRPr="00364FEF" w:rsidRDefault="009427E3" w:rsidP="009427E3">
      <w:pPr>
        <w:pStyle w:val="SingleTxtG"/>
        <w:ind w:left="2268" w:hanging="1134"/>
        <w:rPr>
          <w:lang w:val="fr-FR"/>
        </w:rPr>
      </w:pPr>
      <w:r w:rsidRPr="00364FEF">
        <w:rPr>
          <w:lang w:val="fr-FR"/>
        </w:rPr>
        <w:t>6.8.2.6.2</w:t>
      </w:r>
      <w:r w:rsidRPr="00364FEF">
        <w:rPr>
          <w:lang w:val="fr-FR"/>
        </w:rPr>
        <w:tab/>
      </w:r>
      <w:r>
        <w:rPr>
          <w:lang w:val="fr-FR"/>
        </w:rPr>
        <w:tab/>
      </w:r>
      <w:r w:rsidRPr="00364FEF">
        <w:rPr>
          <w:lang w:val="fr-FR"/>
        </w:rPr>
        <w:t xml:space="preserve">Pour « EN </w:t>
      </w:r>
      <w:proofErr w:type="gramStart"/>
      <w:r w:rsidRPr="00364FEF">
        <w:rPr>
          <w:lang w:val="fr-FR"/>
        </w:rPr>
        <w:t>12972:</w:t>
      </w:r>
      <w:proofErr w:type="gramEnd"/>
      <w:r w:rsidRPr="00364FEF">
        <w:rPr>
          <w:lang w:val="fr-FR"/>
        </w:rPr>
        <w:t xml:space="preserve">2007 », dans la colonne (4), remplacer le texte existant par « Jusqu’au 30 juin 2021 ». </w:t>
      </w:r>
    </w:p>
    <w:p w:rsidR="009427E3" w:rsidRPr="00364FEF" w:rsidRDefault="009427E3" w:rsidP="009427E3">
      <w:pPr>
        <w:pStyle w:val="SingleTxtG"/>
        <w:spacing w:before="120"/>
        <w:rPr>
          <w:i/>
          <w:iCs/>
          <w:lang w:val="fr-FR"/>
        </w:rPr>
      </w:pPr>
      <w:r w:rsidRPr="00364FEF">
        <w:rPr>
          <w:i/>
          <w:iCs/>
          <w:lang w:val="fr-FR"/>
        </w:rPr>
        <w:tab/>
      </w:r>
      <w:r w:rsidRPr="00364FEF">
        <w:rPr>
          <w:i/>
          <w:iCs/>
          <w:lang w:val="fr-FR"/>
        </w:rPr>
        <w:tab/>
      </w:r>
      <w:r w:rsidRPr="00364FEF">
        <w:rPr>
          <w:i/>
          <w:iCs/>
          <w:lang w:val="fr-FR"/>
        </w:rPr>
        <w:tab/>
        <w:t>(Document de référence : document informel INF.29)</w:t>
      </w:r>
    </w:p>
    <w:p w:rsidR="009427E3" w:rsidRPr="00364FEF" w:rsidRDefault="009427E3" w:rsidP="009427E3">
      <w:pPr>
        <w:pStyle w:val="SingleTxtG"/>
        <w:ind w:left="2268"/>
        <w:rPr>
          <w:lang w:val="fr-FR"/>
        </w:rPr>
      </w:pPr>
      <w:r w:rsidRPr="00364FEF">
        <w:rPr>
          <w:lang w:val="fr-FR"/>
        </w:rPr>
        <w:t>Ajouter la nouvelle rubrique suivante après celle applicable à la norme « EN </w:t>
      </w:r>
      <w:proofErr w:type="gramStart"/>
      <w:r w:rsidRPr="00364FEF">
        <w:rPr>
          <w:lang w:val="fr-FR"/>
        </w:rPr>
        <w:t>12972:</w:t>
      </w:r>
      <w:proofErr w:type="gramEnd"/>
      <w:r w:rsidRPr="00364FEF">
        <w:rPr>
          <w:lang w:val="fr-FR"/>
        </w:rPr>
        <w:t>2007</w:t>
      </w:r>
      <w:r w:rsidRPr="003B1372">
        <w:rPr>
          <w:lang w:val="fr-FR"/>
        </w:rPr>
        <w:t> »</w:t>
      </w:r>
      <w:r w:rsidRPr="00364FEF">
        <w:rPr>
          <w:lang w:val="fr-FR"/>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2"/>
        <w:gridCol w:w="3539"/>
        <w:gridCol w:w="888"/>
        <w:gridCol w:w="1595"/>
        <w:gridCol w:w="711"/>
      </w:tblGrid>
      <w:tr w:rsidR="009427E3" w:rsidRPr="003B1372" w:rsidTr="00B60363">
        <w:trPr>
          <w:jc w:val="center"/>
        </w:trPr>
        <w:tc>
          <w:tcPr>
            <w:tcW w:w="1772" w:type="dxa"/>
            <w:vAlign w:val="center"/>
          </w:tcPr>
          <w:p w:rsidR="009427E3" w:rsidRPr="00364FEF" w:rsidRDefault="009427E3" w:rsidP="00B60363">
            <w:pPr>
              <w:widowControl w:val="0"/>
              <w:spacing w:before="60" w:after="60"/>
              <w:rPr>
                <w:rFonts w:cs="Arial"/>
                <w:lang w:val="fr-FR"/>
              </w:rPr>
            </w:pPr>
            <w:r w:rsidRPr="00364FEF">
              <w:rPr>
                <w:rFonts w:cs="Arial"/>
                <w:lang w:val="fr-FR"/>
              </w:rPr>
              <w:t xml:space="preserve">EN </w:t>
            </w:r>
            <w:proofErr w:type="gramStart"/>
            <w:r w:rsidRPr="00364FEF">
              <w:rPr>
                <w:rFonts w:cs="Arial"/>
                <w:lang w:val="fr-FR"/>
              </w:rPr>
              <w:t>12972:</w:t>
            </w:r>
            <w:proofErr w:type="gramEnd"/>
            <w:r w:rsidRPr="00364FEF">
              <w:rPr>
                <w:rFonts w:cs="Arial"/>
                <w:lang w:val="fr-FR"/>
              </w:rPr>
              <w:t>2018</w:t>
            </w:r>
          </w:p>
        </w:tc>
        <w:tc>
          <w:tcPr>
            <w:tcW w:w="3539" w:type="dxa"/>
            <w:vAlign w:val="center"/>
          </w:tcPr>
          <w:p w:rsidR="009427E3" w:rsidRPr="00364FEF" w:rsidRDefault="009427E3" w:rsidP="00B60363">
            <w:pPr>
              <w:widowControl w:val="0"/>
              <w:spacing w:before="60" w:after="60"/>
              <w:rPr>
                <w:rFonts w:cs="Arial"/>
                <w:lang w:val="fr-FR"/>
              </w:rPr>
            </w:pPr>
            <w:r w:rsidRPr="003B1372">
              <w:rPr>
                <w:lang w:val="fr-FR"/>
              </w:rPr>
              <w:t>Citernes destinées au t</w:t>
            </w:r>
            <w:r w:rsidR="00A6671F">
              <w:rPr>
                <w:lang w:val="fr-FR"/>
              </w:rPr>
              <w:t>ransport de matières dangereuses -</w:t>
            </w:r>
            <w:r w:rsidRPr="003B1372">
              <w:rPr>
                <w:lang w:val="fr-FR"/>
              </w:rPr>
              <w:t xml:space="preserve"> Épreuve, contrôle et marquage des citernes métalliques</w:t>
            </w:r>
          </w:p>
        </w:tc>
        <w:tc>
          <w:tcPr>
            <w:tcW w:w="888" w:type="dxa"/>
            <w:vAlign w:val="center"/>
          </w:tcPr>
          <w:p w:rsidR="009427E3" w:rsidRPr="00364FEF" w:rsidRDefault="009427E3" w:rsidP="00B60363">
            <w:pPr>
              <w:widowControl w:val="0"/>
              <w:spacing w:before="40" w:after="40"/>
              <w:rPr>
                <w:rFonts w:cs="Arial"/>
                <w:lang w:val="fr-FR"/>
              </w:rPr>
            </w:pPr>
            <w:r w:rsidRPr="00364FEF">
              <w:rPr>
                <w:rFonts w:cs="Arial"/>
                <w:lang w:val="fr-FR"/>
              </w:rPr>
              <w:t>6.8.2.4</w:t>
            </w:r>
          </w:p>
          <w:p w:rsidR="009427E3" w:rsidRPr="00364FEF" w:rsidRDefault="009427E3" w:rsidP="00B60363">
            <w:pPr>
              <w:widowControl w:val="0"/>
              <w:spacing w:before="40" w:after="40"/>
              <w:rPr>
                <w:rFonts w:asciiTheme="majorBidi" w:hAnsiTheme="majorBidi" w:cstheme="majorBidi"/>
                <w:lang w:val="fr-FR"/>
              </w:rPr>
            </w:pPr>
            <w:r w:rsidRPr="00364FEF">
              <w:rPr>
                <w:rFonts w:cs="Arial"/>
                <w:lang w:val="fr-FR"/>
              </w:rPr>
              <w:t>6.8.3.4</w:t>
            </w:r>
          </w:p>
        </w:tc>
        <w:tc>
          <w:tcPr>
            <w:tcW w:w="1595" w:type="dxa"/>
            <w:vAlign w:val="center"/>
          </w:tcPr>
          <w:p w:rsidR="009427E3" w:rsidRPr="00364FEF" w:rsidRDefault="009427E3" w:rsidP="00B60363">
            <w:pPr>
              <w:widowControl w:val="0"/>
              <w:spacing w:before="40" w:after="40"/>
              <w:jc w:val="center"/>
              <w:rPr>
                <w:rFonts w:asciiTheme="majorBidi" w:hAnsiTheme="majorBidi" w:cstheme="majorBidi"/>
                <w:lang w:val="fr-FR"/>
              </w:rPr>
            </w:pPr>
            <w:r w:rsidRPr="00364FEF">
              <w:rPr>
                <w:rFonts w:cs="Arial"/>
                <w:lang w:val="fr-FR"/>
              </w:rPr>
              <w:t>Obligatoirement à partir du 1</w:t>
            </w:r>
            <w:r w:rsidRPr="00A6671F">
              <w:rPr>
                <w:rFonts w:cs="Arial"/>
                <w:lang w:val="fr-FR"/>
              </w:rPr>
              <w:t xml:space="preserve">er </w:t>
            </w:r>
            <w:r w:rsidRPr="00364FEF">
              <w:rPr>
                <w:rFonts w:cs="Arial"/>
                <w:lang w:val="fr-FR"/>
              </w:rPr>
              <w:t>juillet 2021</w:t>
            </w:r>
          </w:p>
        </w:tc>
        <w:tc>
          <w:tcPr>
            <w:tcW w:w="711" w:type="dxa"/>
            <w:vAlign w:val="center"/>
          </w:tcPr>
          <w:p w:rsidR="009427E3" w:rsidRPr="00364FEF" w:rsidRDefault="009427E3" w:rsidP="00B60363">
            <w:pPr>
              <w:widowControl w:val="0"/>
              <w:spacing w:before="40" w:after="40"/>
              <w:rPr>
                <w:rFonts w:asciiTheme="majorBidi" w:hAnsiTheme="majorBidi" w:cstheme="majorBidi"/>
                <w:lang w:val="fr-FR"/>
              </w:rPr>
            </w:pPr>
          </w:p>
        </w:tc>
      </w:tr>
    </w:tbl>
    <w:p w:rsidR="009427E3" w:rsidRPr="00364FEF" w:rsidRDefault="009427E3" w:rsidP="009427E3">
      <w:pPr>
        <w:pStyle w:val="SingleTxtG"/>
        <w:spacing w:before="120"/>
        <w:rPr>
          <w:i/>
          <w:iCs/>
          <w:lang w:val="fr-FR"/>
        </w:rPr>
      </w:pPr>
      <w:r>
        <w:rPr>
          <w:i/>
          <w:iCs/>
          <w:lang w:val="fr-FR"/>
        </w:rPr>
        <w:tab/>
      </w:r>
      <w:r>
        <w:rPr>
          <w:i/>
          <w:iCs/>
          <w:lang w:val="fr-FR"/>
        </w:rPr>
        <w:tab/>
      </w:r>
      <w:r w:rsidRPr="00364FEF">
        <w:rPr>
          <w:i/>
          <w:iCs/>
          <w:lang w:val="fr-FR"/>
        </w:rPr>
        <w:tab/>
        <w:t>(Document de référence : document informel INF.29)</w:t>
      </w:r>
    </w:p>
    <w:p w:rsidR="009427E3" w:rsidRPr="00364FEF" w:rsidRDefault="009427E3" w:rsidP="009427E3">
      <w:pPr>
        <w:pStyle w:val="SingleTxtG"/>
        <w:rPr>
          <w:lang w:val="fr-FR"/>
        </w:rPr>
      </w:pPr>
      <w:r w:rsidRPr="00364FEF">
        <w:rPr>
          <w:lang w:val="fr-FR"/>
        </w:rPr>
        <w:t>6.8.3.4.12</w:t>
      </w:r>
      <w:r w:rsidRPr="00364FEF">
        <w:rPr>
          <w:lang w:val="fr-FR"/>
        </w:rPr>
        <w:tab/>
        <w:t>Remplacer « 6.8.3.4.6 » par « 6.8.2.4.2 et 6.8.2.4.3 ».</w:t>
      </w:r>
    </w:p>
    <w:p w:rsidR="009427E3" w:rsidRPr="00364FEF" w:rsidRDefault="009427E3" w:rsidP="009427E3">
      <w:pPr>
        <w:pStyle w:val="SingleTxtG"/>
        <w:spacing w:before="120"/>
        <w:rPr>
          <w:i/>
          <w:iCs/>
          <w:lang w:val="fr-FR"/>
        </w:rPr>
      </w:pPr>
      <w:r w:rsidRPr="00364FEF">
        <w:rPr>
          <w:i/>
          <w:iCs/>
          <w:lang w:val="fr-FR"/>
        </w:rPr>
        <w:tab/>
        <w:t>(Document de référence : document informel INF.30)</w:t>
      </w:r>
    </w:p>
    <w:p w:rsidR="009427E3" w:rsidRPr="001F58B8" w:rsidRDefault="009427E3" w:rsidP="009427E3">
      <w:pPr>
        <w:pStyle w:val="SingleTxtG"/>
        <w:spacing w:before="240"/>
        <w:rPr>
          <w:b/>
          <w:bCs/>
          <w:lang w:val="fr-FR"/>
        </w:rPr>
      </w:pPr>
      <w:r w:rsidRPr="001F58B8">
        <w:rPr>
          <w:b/>
          <w:bCs/>
          <w:lang w:val="fr-FR"/>
        </w:rPr>
        <w:t>[ADR seulement]</w:t>
      </w:r>
    </w:p>
    <w:p w:rsidR="009427E3" w:rsidRPr="00364FEF" w:rsidRDefault="009427E3" w:rsidP="009427E3">
      <w:pPr>
        <w:pStyle w:val="SingleTxtG"/>
        <w:spacing w:before="240"/>
        <w:ind w:left="2268" w:hanging="1134"/>
        <w:rPr>
          <w:rStyle w:val="SingleTxtGChar"/>
          <w:lang w:val="fr-FR"/>
        </w:rPr>
      </w:pPr>
      <w:r w:rsidRPr="00364FEF">
        <w:rPr>
          <w:lang w:val="fr-FR"/>
        </w:rPr>
        <w:t>6.8.4 d)</w:t>
      </w:r>
      <w:r w:rsidRPr="00364FEF">
        <w:rPr>
          <w:lang w:val="fr-FR"/>
        </w:rPr>
        <w:tab/>
        <w:t>Pour TT11, dans le paragraphe après le tableau, remplacer « EN </w:t>
      </w:r>
      <w:proofErr w:type="gramStart"/>
      <w:r w:rsidRPr="00364FEF">
        <w:rPr>
          <w:lang w:val="fr-FR"/>
        </w:rPr>
        <w:t>14025:</w:t>
      </w:r>
      <w:proofErr w:type="gramEnd"/>
      <w:r w:rsidRPr="00364FEF">
        <w:rPr>
          <w:lang w:val="fr-FR"/>
        </w:rPr>
        <w:t>2013 +A1:2016 »</w:t>
      </w:r>
      <w:r w:rsidRPr="00364FEF">
        <w:rPr>
          <w:rStyle w:val="SingleTxtGChar"/>
          <w:lang w:val="fr-FR"/>
        </w:rPr>
        <w:t xml:space="preserve"> par </w:t>
      </w:r>
      <w:r w:rsidRPr="00364FEF">
        <w:rPr>
          <w:lang w:val="fr-FR"/>
        </w:rPr>
        <w:t xml:space="preserve"> « EN</w:t>
      </w:r>
      <w:r>
        <w:rPr>
          <w:lang w:val="fr-FR"/>
        </w:rPr>
        <w:t> 14025:2018 » et remplacer « EN </w:t>
      </w:r>
      <w:r w:rsidRPr="00364FEF">
        <w:rPr>
          <w:lang w:val="fr-FR"/>
        </w:rPr>
        <w:t>12493:2013+A1:2014+AC:2015 » par « EN 12493:2013+A2:2018 »</w:t>
      </w:r>
      <w:r w:rsidRPr="00364FEF">
        <w:rPr>
          <w:rStyle w:val="SingleTxtGChar"/>
          <w:lang w:val="fr-FR"/>
        </w:rPr>
        <w:t>.</w:t>
      </w:r>
    </w:p>
    <w:p w:rsidR="009427E3" w:rsidRPr="00364FEF" w:rsidRDefault="009427E3" w:rsidP="009427E3">
      <w:pPr>
        <w:pStyle w:val="SingleTxtG"/>
        <w:tabs>
          <w:tab w:val="left" w:pos="2268"/>
        </w:tabs>
        <w:spacing w:before="120"/>
        <w:rPr>
          <w:i/>
          <w:iCs/>
          <w:lang w:val="fr-FR"/>
        </w:rPr>
      </w:pPr>
      <w:r w:rsidRPr="00364FEF">
        <w:rPr>
          <w:i/>
          <w:iCs/>
          <w:lang w:val="fr-FR"/>
        </w:rPr>
        <w:t>(Document de référence : document informel INF.29</w:t>
      </w:r>
      <w:r w:rsidRPr="003B1372">
        <w:rPr>
          <w:i/>
          <w:iCs/>
          <w:lang w:val="fr-FR"/>
        </w:rPr>
        <w:t>, tel que modifié</w:t>
      </w:r>
      <w:r w:rsidRPr="00364FEF">
        <w:rPr>
          <w:i/>
          <w:iCs/>
          <w:lang w:val="fr-FR"/>
        </w:rPr>
        <w:t>)</w:t>
      </w:r>
    </w:p>
    <w:p w:rsidR="009427E3" w:rsidRPr="003B1372" w:rsidRDefault="009427E3" w:rsidP="009427E3">
      <w:pPr>
        <w:pStyle w:val="H1G"/>
        <w:rPr>
          <w:lang w:val="fr-FR"/>
        </w:rPr>
      </w:pPr>
      <w:r w:rsidRPr="003B1372">
        <w:rPr>
          <w:lang w:val="fr-FR"/>
        </w:rPr>
        <w:tab/>
      </w:r>
      <w:r w:rsidRPr="003B1372">
        <w:rPr>
          <w:lang w:val="fr-FR"/>
        </w:rPr>
        <w:tab/>
        <w:t>Chapitre 6.9</w:t>
      </w:r>
    </w:p>
    <w:p w:rsidR="009427E3" w:rsidRPr="00364FEF" w:rsidRDefault="009427E3" w:rsidP="009427E3">
      <w:pPr>
        <w:pStyle w:val="SingleTxtG"/>
        <w:ind w:left="567" w:firstLine="567"/>
        <w:rPr>
          <w:b/>
          <w:bCs/>
          <w:lang w:val="fr-FR"/>
        </w:rPr>
      </w:pPr>
      <w:r w:rsidRPr="00364FEF">
        <w:rPr>
          <w:b/>
          <w:bCs/>
          <w:lang w:val="fr-FR"/>
        </w:rPr>
        <w:t>[ADR]</w:t>
      </w:r>
    </w:p>
    <w:p w:rsidR="009427E3" w:rsidRPr="00364FEF" w:rsidRDefault="009427E3" w:rsidP="009427E3">
      <w:pPr>
        <w:pStyle w:val="SingleTxtG"/>
        <w:rPr>
          <w:lang w:val="fr-FR"/>
        </w:rPr>
      </w:pPr>
      <w:r w:rsidRPr="00364FEF">
        <w:rPr>
          <w:lang w:val="fr-FR"/>
        </w:rPr>
        <w:t>6.9.6.1</w:t>
      </w:r>
      <w:r w:rsidRPr="00364FEF">
        <w:rPr>
          <w:lang w:val="fr-FR"/>
        </w:rPr>
        <w:tab/>
      </w:r>
      <w:r w:rsidRPr="00364FEF">
        <w:rPr>
          <w:lang w:val="fr-FR"/>
        </w:rPr>
        <w:tab/>
      </w:r>
      <w:r>
        <w:rPr>
          <w:lang w:val="fr-FR"/>
        </w:rPr>
        <w:t xml:space="preserve">À la fin du deuxième tiret, remplacer </w:t>
      </w:r>
      <w:proofErr w:type="gramStart"/>
      <w:r>
        <w:rPr>
          <w:lang w:val="fr-FR"/>
        </w:rPr>
        <w:t>« .</w:t>
      </w:r>
      <w:proofErr w:type="gramEnd"/>
      <w:r>
        <w:rPr>
          <w:lang w:val="fr-FR"/>
        </w:rPr>
        <w:t> » par « ; » et a</w:t>
      </w:r>
      <w:r w:rsidRPr="00364FEF">
        <w:rPr>
          <w:lang w:val="fr-FR"/>
        </w:rPr>
        <w:t>jouter un troisième tiret pour lire comme suit :</w:t>
      </w:r>
    </w:p>
    <w:p w:rsidR="009427E3" w:rsidRPr="00364FEF" w:rsidRDefault="009427E3" w:rsidP="009427E3">
      <w:pPr>
        <w:pStyle w:val="SingleTxtG"/>
        <w:ind w:left="2552" w:hanging="284"/>
        <w:rPr>
          <w:lang w:val="fr-FR"/>
        </w:rPr>
      </w:pPr>
      <w:r w:rsidRPr="00364FEF">
        <w:rPr>
          <w:lang w:val="fr-FR"/>
        </w:rPr>
        <w:t>« </w:t>
      </w:r>
      <w:r w:rsidRPr="00364FEF">
        <w:rPr>
          <w:lang w:val="fr-FR"/>
        </w:rPr>
        <w:noBreakHyphen/>
      </w:r>
      <w:r w:rsidRPr="00364FEF">
        <w:rPr>
          <w:lang w:val="fr-FR"/>
        </w:rPr>
        <w:tab/>
        <w:t>lorsqu’un code-citerne est requis conformément au 6.8.2.5.2, la deuxième partie du code-citerne doit indiquer la valeur la plus élevée de la pression de calcul pour la ou les matières dont le transport est autorisé conformément au certificat d’agrément de type. ».</w:t>
      </w:r>
    </w:p>
    <w:p w:rsidR="009427E3" w:rsidRPr="00364FEF" w:rsidRDefault="009427E3" w:rsidP="009427E3">
      <w:pPr>
        <w:pStyle w:val="SingleTxtG"/>
        <w:tabs>
          <w:tab w:val="left" w:pos="2552"/>
        </w:tabs>
        <w:spacing w:before="120"/>
        <w:rPr>
          <w:i/>
          <w:iCs/>
          <w:lang w:val="fr-FR"/>
        </w:rPr>
      </w:pPr>
      <w:r w:rsidRPr="00364FEF">
        <w:rPr>
          <w:i/>
          <w:iCs/>
          <w:lang w:val="fr-FR"/>
        </w:rPr>
        <w:t>(Document de référence : document informel INF.30</w:t>
      </w:r>
      <w:r w:rsidRPr="003B1372">
        <w:rPr>
          <w:i/>
          <w:iCs/>
          <w:lang w:val="fr-FR"/>
        </w:rPr>
        <w:t>, tel que modifié</w:t>
      </w:r>
      <w:r w:rsidRPr="00364FEF">
        <w:rPr>
          <w:i/>
          <w:iCs/>
          <w:lang w:val="fr-FR"/>
        </w:rPr>
        <w:t>)</w:t>
      </w:r>
    </w:p>
    <w:p w:rsidR="009427E3" w:rsidRPr="00364FEF" w:rsidRDefault="009427E3" w:rsidP="009427E3">
      <w:pPr>
        <w:pStyle w:val="SingleTxtG"/>
        <w:rPr>
          <w:b/>
          <w:bCs/>
          <w:lang w:val="fr-FR"/>
        </w:rPr>
      </w:pPr>
      <w:r w:rsidRPr="00364FEF">
        <w:rPr>
          <w:b/>
          <w:bCs/>
          <w:lang w:val="fr-FR"/>
        </w:rPr>
        <w:t>[RID]</w:t>
      </w:r>
    </w:p>
    <w:p w:rsidR="009427E3" w:rsidRPr="00364FEF" w:rsidRDefault="009427E3" w:rsidP="009427E3">
      <w:pPr>
        <w:pStyle w:val="SingleTxtG"/>
        <w:rPr>
          <w:lang w:val="fr-FR"/>
        </w:rPr>
      </w:pPr>
      <w:r w:rsidRPr="00364FEF">
        <w:rPr>
          <w:lang w:val="fr-FR"/>
        </w:rPr>
        <w:t>6.9.6.1</w:t>
      </w:r>
      <w:r w:rsidRPr="00364FEF">
        <w:rPr>
          <w:lang w:val="fr-FR"/>
        </w:rPr>
        <w:tab/>
      </w:r>
      <w:r w:rsidRPr="00364FEF">
        <w:rPr>
          <w:lang w:val="fr-FR"/>
        </w:rPr>
        <w:tab/>
      </w:r>
      <w:r>
        <w:rPr>
          <w:lang w:val="fr-FR"/>
        </w:rPr>
        <w:t xml:space="preserve">À la fin du deuxième tiret, remplacer </w:t>
      </w:r>
      <w:proofErr w:type="gramStart"/>
      <w:r>
        <w:rPr>
          <w:lang w:val="fr-FR"/>
        </w:rPr>
        <w:t>« .</w:t>
      </w:r>
      <w:proofErr w:type="gramEnd"/>
      <w:r>
        <w:rPr>
          <w:lang w:val="fr-FR"/>
        </w:rPr>
        <w:t xml:space="preserve"> » par « ; » et </w:t>
      </w:r>
      <w:r w:rsidRPr="00364FEF">
        <w:rPr>
          <w:lang w:val="fr-FR"/>
        </w:rPr>
        <w:t>jouter un troisième tiret pour lire comme suit :</w:t>
      </w:r>
    </w:p>
    <w:p w:rsidR="009427E3" w:rsidRPr="00364FEF" w:rsidRDefault="009427E3" w:rsidP="009427E3">
      <w:pPr>
        <w:pStyle w:val="SingleTxtG"/>
        <w:ind w:left="2552" w:hanging="284"/>
        <w:rPr>
          <w:lang w:val="fr-FR"/>
        </w:rPr>
      </w:pPr>
      <w:r w:rsidRPr="00364FEF">
        <w:rPr>
          <w:lang w:val="fr-FR"/>
        </w:rPr>
        <w:t>« </w:t>
      </w:r>
      <w:r w:rsidRPr="00364FEF">
        <w:rPr>
          <w:lang w:val="fr-FR"/>
        </w:rPr>
        <w:noBreakHyphen/>
      </w:r>
      <w:r w:rsidRPr="00364FEF">
        <w:rPr>
          <w:lang w:val="fr-FR"/>
        </w:rPr>
        <w:tab/>
        <w:t>la deuxième partie du code-citerne doit indiquer la valeur la plus élevée de la pression de calcul pour la ou les matières dont le transport est autorisé conformément au certificat d’agrément de type</w:t>
      </w:r>
      <w:r>
        <w:rPr>
          <w:lang w:val="fr-FR"/>
        </w:rPr>
        <w:t>.</w:t>
      </w:r>
      <w:r w:rsidRPr="00364FEF">
        <w:rPr>
          <w:lang w:val="fr-FR"/>
        </w:rPr>
        <w:t> ».</w:t>
      </w:r>
    </w:p>
    <w:p w:rsidR="009427E3" w:rsidRPr="00364FEF" w:rsidRDefault="009427E3" w:rsidP="009427E3">
      <w:pPr>
        <w:pStyle w:val="SingleTxtG"/>
        <w:tabs>
          <w:tab w:val="left" w:pos="2552"/>
        </w:tabs>
        <w:spacing w:before="120"/>
        <w:rPr>
          <w:i/>
          <w:iCs/>
          <w:lang w:val="fr-FR"/>
        </w:rPr>
      </w:pPr>
      <w:r w:rsidRPr="00364FEF">
        <w:rPr>
          <w:i/>
          <w:iCs/>
          <w:lang w:val="fr-FR"/>
        </w:rPr>
        <w:t>(Document de référence : document informel INF.30</w:t>
      </w:r>
      <w:r w:rsidRPr="003B1372">
        <w:rPr>
          <w:i/>
          <w:iCs/>
          <w:lang w:val="fr-FR"/>
        </w:rPr>
        <w:t>, tel que modifié</w:t>
      </w:r>
      <w:r w:rsidRPr="00364FEF">
        <w:rPr>
          <w:i/>
          <w:iCs/>
          <w:lang w:val="fr-FR"/>
        </w:rPr>
        <w:t>)</w:t>
      </w:r>
    </w:p>
    <w:p w:rsidR="009427E3" w:rsidRPr="00364FEF" w:rsidRDefault="009427E3" w:rsidP="009427E3">
      <w:pPr>
        <w:suppressAutoHyphens w:val="0"/>
        <w:kinsoku/>
        <w:overflowPunct/>
        <w:autoSpaceDE/>
        <w:autoSpaceDN/>
        <w:adjustRightInd/>
        <w:snapToGrid/>
        <w:spacing w:after="200" w:line="276" w:lineRule="auto"/>
        <w:rPr>
          <w:i/>
          <w:iCs/>
          <w:lang w:val="fr-FR"/>
        </w:rPr>
      </w:pPr>
      <w:r w:rsidRPr="00364FEF">
        <w:rPr>
          <w:i/>
          <w:iCs/>
          <w:lang w:val="fr-FR"/>
        </w:rPr>
        <w:br w:type="page"/>
      </w:r>
    </w:p>
    <w:p w:rsidR="009427E3" w:rsidRPr="00364FEF" w:rsidRDefault="009427E3" w:rsidP="009427E3">
      <w:pPr>
        <w:pStyle w:val="HChG"/>
        <w:rPr>
          <w:lang w:val="fr-FR"/>
        </w:rPr>
      </w:pPr>
      <w:r w:rsidRPr="00364FEF">
        <w:rPr>
          <w:lang w:val="fr-FR"/>
        </w:rPr>
        <w:lastRenderedPageBreak/>
        <w:tab/>
      </w:r>
      <w:r w:rsidRPr="00364FEF">
        <w:rPr>
          <w:lang w:val="fr-FR"/>
        </w:rPr>
        <w:tab/>
        <w:t>Annexe III</w:t>
      </w:r>
    </w:p>
    <w:p w:rsidR="009427E3" w:rsidRPr="00364FEF" w:rsidRDefault="009427E3" w:rsidP="009427E3">
      <w:pPr>
        <w:pStyle w:val="HChG"/>
        <w:rPr>
          <w:lang w:val="fr-FR"/>
        </w:rPr>
      </w:pPr>
      <w:r w:rsidRPr="00364FEF">
        <w:rPr>
          <w:lang w:val="fr-FR"/>
        </w:rPr>
        <w:tab/>
      </w:r>
      <w:r w:rsidRPr="00364FEF">
        <w:rPr>
          <w:lang w:val="fr-FR"/>
        </w:rPr>
        <w:tab/>
      </w:r>
      <w:bookmarkStart w:id="6" w:name="_Hlk527553349"/>
      <w:r w:rsidR="00A22286">
        <w:rPr>
          <w:lang w:val="fr-FR"/>
        </w:rPr>
        <w:t>Ligne</w:t>
      </w:r>
      <w:r w:rsidR="00A22286" w:rsidRPr="003B1372">
        <w:rPr>
          <w:lang w:val="fr-FR"/>
        </w:rPr>
        <w:t xml:space="preserve"> </w:t>
      </w:r>
      <w:r w:rsidR="00A22286">
        <w:rPr>
          <w:lang w:val="fr-FR"/>
        </w:rPr>
        <w:t xml:space="preserve">directrice </w:t>
      </w:r>
      <w:bookmarkEnd w:id="6"/>
      <w:r w:rsidRPr="003B1372">
        <w:rPr>
          <w:lang w:val="fr-FR"/>
        </w:rPr>
        <w:t xml:space="preserve">pour l’application de la norme EN 12972 (Citernes destinées au transport des matières dangereuses − Épreuve, contrôle et marquage des citernes métalliques) </w:t>
      </w:r>
      <w:bookmarkStart w:id="7" w:name="_Hlk527553360"/>
      <w:r w:rsidRPr="003B1372">
        <w:rPr>
          <w:lang w:val="fr-FR"/>
        </w:rPr>
        <w:t xml:space="preserve">afin </w:t>
      </w:r>
      <w:r w:rsidR="00D36E04">
        <w:rPr>
          <w:lang w:val="fr-FR"/>
        </w:rPr>
        <w:t xml:space="preserve">de respecter les prescriptions </w:t>
      </w:r>
      <w:bookmarkEnd w:id="7"/>
      <w:r w:rsidR="00D36E04">
        <w:rPr>
          <w:lang w:val="fr-FR"/>
        </w:rPr>
        <w:t xml:space="preserve">du </w:t>
      </w:r>
      <w:r w:rsidRPr="003B1372">
        <w:rPr>
          <w:lang w:val="fr-FR"/>
        </w:rPr>
        <w:t>RID/ADR</w:t>
      </w:r>
    </w:p>
    <w:p w:rsidR="009427E3" w:rsidRPr="00364FEF" w:rsidRDefault="009427E3" w:rsidP="009427E3">
      <w:pPr>
        <w:pStyle w:val="SingleTxtG"/>
        <w:ind w:firstLine="567"/>
        <w:rPr>
          <w:lang w:val="fr-FR"/>
        </w:rPr>
      </w:pPr>
      <w:r w:rsidRPr="003B1372">
        <w:rPr>
          <w:lang w:val="fr-FR"/>
        </w:rPr>
        <w:t>Pour respecter les prescriptions du RID/ADR, la norme EN </w:t>
      </w:r>
      <w:proofErr w:type="gramStart"/>
      <w:r w:rsidRPr="003B1372">
        <w:rPr>
          <w:lang w:val="fr-FR"/>
        </w:rPr>
        <w:t>12972:</w:t>
      </w:r>
      <w:proofErr w:type="gramEnd"/>
      <w:r w:rsidRPr="003B1372">
        <w:rPr>
          <w:lang w:val="fr-FR"/>
        </w:rPr>
        <w:t xml:space="preserve">2007 citée en référence au 6.8.2.6.2 du RID/ADR doit être appliquée en tenant compte des exigences du </w:t>
      </w:r>
      <w:proofErr w:type="spellStart"/>
      <w:r w:rsidRPr="003B1372">
        <w:rPr>
          <w:lang w:val="fr-FR"/>
        </w:rPr>
        <w:t>du</w:t>
      </w:r>
      <w:proofErr w:type="spellEnd"/>
      <w:r w:rsidRPr="003B1372">
        <w:rPr>
          <w:lang w:val="fr-FR"/>
        </w:rPr>
        <w:t xml:space="preserve"> RID/ADR</w:t>
      </w:r>
      <w:r w:rsidR="00D36E04">
        <w:rPr>
          <w:lang w:val="fr-FR"/>
        </w:rPr>
        <w:t xml:space="preserve"> conformément au 1.1.5</w:t>
      </w:r>
      <w:r w:rsidRPr="003B1372">
        <w:rPr>
          <w:lang w:val="fr-FR"/>
        </w:rPr>
        <w:t>.</w:t>
      </w:r>
    </w:p>
    <w:p w:rsidR="009427E3" w:rsidRPr="00364FEF" w:rsidRDefault="009427E3" w:rsidP="009427E3">
      <w:pPr>
        <w:pStyle w:val="SingleTxtG"/>
        <w:ind w:firstLine="567"/>
        <w:rPr>
          <w:lang w:val="fr-FR"/>
        </w:rPr>
      </w:pPr>
      <w:r w:rsidRPr="003B1372">
        <w:rPr>
          <w:lang w:val="fr-FR"/>
        </w:rPr>
        <w:t xml:space="preserve">La norme EN </w:t>
      </w:r>
      <w:proofErr w:type="gramStart"/>
      <w:r w:rsidRPr="003B1372">
        <w:rPr>
          <w:lang w:val="fr-FR"/>
        </w:rPr>
        <w:t>12972:</w:t>
      </w:r>
      <w:proofErr w:type="gramEnd"/>
      <w:r w:rsidRPr="003B1372">
        <w:rPr>
          <w:lang w:val="fr-FR"/>
        </w:rPr>
        <w:t>2018 ayant été publiée, il a été décidé que cette norme serait citée en référence dans l’édition 2021 du RID/ADR.</w:t>
      </w:r>
    </w:p>
    <w:p w:rsidR="009427E3" w:rsidRPr="00364FEF" w:rsidRDefault="009427E3" w:rsidP="009427E3">
      <w:pPr>
        <w:pStyle w:val="SingleTxtG"/>
        <w:ind w:firstLine="567"/>
        <w:rPr>
          <w:lang w:val="fr-FR"/>
        </w:rPr>
      </w:pPr>
      <w:r w:rsidRPr="003B1372">
        <w:rPr>
          <w:lang w:val="fr-FR"/>
        </w:rPr>
        <w:t>Pour faciliter le respect et l’application cohérente de l’édition 2019 du RID/ADR, les autorités compétentes sont encouragées à approuver l’utilisation de la norme EN </w:t>
      </w:r>
      <w:proofErr w:type="gramStart"/>
      <w:r w:rsidRPr="003B1372">
        <w:rPr>
          <w:lang w:val="fr-FR"/>
        </w:rPr>
        <w:t>12972:</w:t>
      </w:r>
      <w:proofErr w:type="gramEnd"/>
      <w:r w:rsidRPr="003B1372">
        <w:rPr>
          <w:lang w:val="fr-FR"/>
        </w:rPr>
        <w:t xml:space="preserve">2018 aux fins </w:t>
      </w:r>
      <w:r w:rsidR="00D36E04">
        <w:rPr>
          <w:lang w:val="fr-FR"/>
        </w:rPr>
        <w:t>d</w:t>
      </w:r>
      <w:r w:rsidRPr="003B1372">
        <w:rPr>
          <w:lang w:val="fr-FR"/>
        </w:rPr>
        <w:t xml:space="preserve">’épreuve et </w:t>
      </w:r>
      <w:r w:rsidR="00D36E04">
        <w:rPr>
          <w:lang w:val="fr-FR"/>
        </w:rPr>
        <w:t>de</w:t>
      </w:r>
      <w:r w:rsidR="00D36E04" w:rsidRPr="003B1372">
        <w:rPr>
          <w:lang w:val="fr-FR"/>
        </w:rPr>
        <w:t xml:space="preserve"> </w:t>
      </w:r>
      <w:r w:rsidRPr="003B1372">
        <w:rPr>
          <w:lang w:val="fr-FR"/>
        </w:rPr>
        <w:t>contrôle des citernes conformément au paragraphe 3 du 6.8.2.7 du RID/ADR, dès que possible mais au plus tard le 1</w:t>
      </w:r>
      <w:r w:rsidRPr="007278B6">
        <w:rPr>
          <w:lang w:val="fr-FR"/>
        </w:rPr>
        <w:t>er </w:t>
      </w:r>
      <w:r w:rsidRPr="003B1372">
        <w:rPr>
          <w:lang w:val="fr-FR"/>
        </w:rPr>
        <w:t>janvier 2020.</w:t>
      </w:r>
    </w:p>
    <w:p w:rsidR="009427E3" w:rsidRPr="00364FEF" w:rsidRDefault="009427E3" w:rsidP="009427E3">
      <w:pPr>
        <w:pStyle w:val="H4G"/>
        <w:rPr>
          <w:b/>
          <w:bCs/>
          <w:iCs/>
          <w:lang w:val="fr-FR"/>
        </w:rPr>
      </w:pPr>
      <w:r w:rsidRPr="003B1372">
        <w:rPr>
          <w:lang w:val="fr-FR"/>
        </w:rPr>
        <w:tab/>
      </w:r>
      <w:r w:rsidRPr="003B1372">
        <w:rPr>
          <w:lang w:val="fr-FR"/>
        </w:rPr>
        <w:tab/>
        <w:t>(Document de référence : Document informel INF.30, tel que modifié)</w:t>
      </w:r>
    </w:p>
    <w:p w:rsidR="009427E3" w:rsidRPr="00364FEF" w:rsidRDefault="009427E3" w:rsidP="009427E3">
      <w:pPr>
        <w:rPr>
          <w:lang w:val="fr-FR"/>
        </w:rPr>
      </w:pPr>
    </w:p>
    <w:p w:rsidR="009427E3" w:rsidRPr="00364FEF" w:rsidRDefault="009427E3" w:rsidP="009427E3">
      <w:pPr>
        <w:pStyle w:val="HChG"/>
        <w:rPr>
          <w:lang w:val="fr-FR"/>
        </w:rPr>
      </w:pPr>
      <w:r w:rsidRPr="00364FEF">
        <w:rPr>
          <w:lang w:val="fr-FR"/>
        </w:rPr>
        <w:tab/>
      </w:r>
      <w:r w:rsidRPr="00364FEF">
        <w:rPr>
          <w:lang w:val="fr-FR"/>
        </w:rPr>
        <w:tab/>
      </w:r>
    </w:p>
    <w:p w:rsidR="009427E3" w:rsidRPr="00364FEF" w:rsidRDefault="009427E3" w:rsidP="009427E3">
      <w:pPr>
        <w:suppressAutoHyphens w:val="0"/>
        <w:kinsoku/>
        <w:overflowPunct/>
        <w:autoSpaceDE/>
        <w:autoSpaceDN/>
        <w:adjustRightInd/>
        <w:snapToGrid/>
        <w:spacing w:after="200" w:line="276" w:lineRule="auto"/>
        <w:rPr>
          <w:b/>
          <w:sz w:val="28"/>
          <w:lang w:val="fr-FR"/>
        </w:rPr>
      </w:pPr>
      <w:r w:rsidRPr="00364FEF">
        <w:rPr>
          <w:lang w:val="fr-FR"/>
        </w:rPr>
        <w:br w:type="page"/>
      </w:r>
    </w:p>
    <w:p w:rsidR="009427E3" w:rsidRPr="00364FEF" w:rsidRDefault="009427E3" w:rsidP="009427E3">
      <w:pPr>
        <w:pStyle w:val="HChG"/>
        <w:rPr>
          <w:lang w:val="fr-FR"/>
        </w:rPr>
      </w:pPr>
      <w:r w:rsidRPr="003B1372">
        <w:rPr>
          <w:lang w:val="fr-FR"/>
        </w:rPr>
        <w:lastRenderedPageBreak/>
        <w:tab/>
      </w:r>
      <w:r w:rsidRPr="003B1372">
        <w:rPr>
          <w:lang w:val="fr-FR"/>
        </w:rPr>
        <w:tab/>
      </w:r>
      <w:r w:rsidRPr="00364FEF">
        <w:rPr>
          <w:lang w:val="fr-FR"/>
        </w:rPr>
        <w:t>Annexe IV</w:t>
      </w:r>
    </w:p>
    <w:p w:rsidR="009427E3" w:rsidRPr="00364FEF" w:rsidRDefault="009427E3" w:rsidP="009427E3">
      <w:pPr>
        <w:pStyle w:val="HChG"/>
        <w:rPr>
          <w:lang w:val="fr-FR"/>
        </w:rPr>
      </w:pPr>
      <w:r w:rsidRPr="003B1372">
        <w:rPr>
          <w:lang w:val="fr-FR"/>
        </w:rPr>
        <w:tab/>
      </w:r>
      <w:r w:rsidRPr="003B1372">
        <w:rPr>
          <w:lang w:val="fr-FR"/>
        </w:rPr>
        <w:tab/>
        <w:t xml:space="preserve">Mandat du groupe de travail informel de l’amélioration </w:t>
      </w:r>
      <w:r w:rsidRPr="003B1372">
        <w:rPr>
          <w:lang w:val="fr-FR"/>
        </w:rPr>
        <w:br/>
        <w:t>de la notification des accidents</w:t>
      </w:r>
    </w:p>
    <w:p w:rsidR="009427E3" w:rsidRPr="00364FEF" w:rsidRDefault="009427E3" w:rsidP="009427E3">
      <w:pPr>
        <w:pStyle w:val="SingleTxtG"/>
        <w:keepNext/>
        <w:rPr>
          <w:lang w:val="fr-FR"/>
        </w:rPr>
      </w:pPr>
      <w:r w:rsidRPr="003B1372">
        <w:rPr>
          <w:lang w:val="fr-FR"/>
        </w:rPr>
        <w:t>Le groupe de travail informel organise ses travaux en vue de mener à bien les activités énumérées aux alinéas a) à h) ci-après. Il pourra compléter et adapter celles</w:t>
      </w:r>
      <w:r w:rsidRPr="003B1372">
        <w:rPr>
          <w:lang w:val="fr-FR"/>
        </w:rPr>
        <w:noBreakHyphen/>
        <w:t>ci, le cas échéant, au cours de sa première session et faire rapport à la Réunion commune selon qu’il conviendra :</w:t>
      </w:r>
    </w:p>
    <w:p w:rsidR="009427E3" w:rsidRPr="00364FEF" w:rsidRDefault="009427E3" w:rsidP="009427E3">
      <w:pPr>
        <w:pStyle w:val="SingleTxtG"/>
        <w:ind w:left="2268" w:hanging="567"/>
        <w:rPr>
          <w:lang w:val="fr-FR"/>
        </w:rPr>
      </w:pPr>
      <w:r w:rsidRPr="003B1372">
        <w:rPr>
          <w:lang w:val="fr-FR"/>
        </w:rPr>
        <w:t>a)</w:t>
      </w:r>
      <w:r w:rsidRPr="003B1372">
        <w:rPr>
          <w:lang w:val="fr-FR"/>
        </w:rPr>
        <w:tab/>
        <w:t xml:space="preserve">Préciser </w:t>
      </w:r>
      <w:r w:rsidR="00D36E04" w:rsidRPr="003B1372">
        <w:rPr>
          <w:lang w:val="fr-FR"/>
        </w:rPr>
        <w:t>l’</w:t>
      </w:r>
      <w:r w:rsidR="00D36E04">
        <w:rPr>
          <w:lang w:val="fr-FR"/>
        </w:rPr>
        <w:t>objectif</w:t>
      </w:r>
      <w:r w:rsidR="00D36E04" w:rsidRPr="003B1372">
        <w:rPr>
          <w:lang w:val="fr-FR"/>
        </w:rPr>
        <w:t xml:space="preserve"> </w:t>
      </w:r>
      <w:r w:rsidRPr="003B1372">
        <w:rPr>
          <w:lang w:val="fr-FR"/>
        </w:rPr>
        <w:t xml:space="preserve">des rapports d’accident et </w:t>
      </w:r>
      <w:r w:rsidR="00D36E04">
        <w:rPr>
          <w:lang w:val="fr-FR"/>
        </w:rPr>
        <w:t>identifier l’usage à faire</w:t>
      </w:r>
      <w:r w:rsidRPr="003B1372">
        <w:rPr>
          <w:lang w:val="fr-FR"/>
        </w:rPr>
        <w:t xml:space="preserve"> des informations communiquées (1.8.3.6, 1.8.5, etc.) ;</w:t>
      </w:r>
    </w:p>
    <w:p w:rsidR="009427E3" w:rsidRPr="00364FEF" w:rsidRDefault="009427E3" w:rsidP="009427E3">
      <w:pPr>
        <w:pStyle w:val="SingleTxtG"/>
        <w:ind w:left="2268" w:hanging="567"/>
        <w:rPr>
          <w:lang w:val="fr-FR"/>
        </w:rPr>
      </w:pPr>
      <w:r w:rsidRPr="003B1372">
        <w:rPr>
          <w:lang w:val="fr-FR"/>
        </w:rPr>
        <w:t>b)</w:t>
      </w:r>
      <w:r w:rsidRPr="003B1372">
        <w:rPr>
          <w:lang w:val="fr-FR"/>
        </w:rPr>
        <w:tab/>
        <w:t xml:space="preserve">Préciser les participants chargés d’envoyer le rapport et/ou des informations complémentaires au </w:t>
      </w:r>
      <w:proofErr w:type="gramStart"/>
      <w:r w:rsidRPr="003B1372">
        <w:rPr>
          <w:lang w:val="fr-FR"/>
        </w:rPr>
        <w:t>rapport;</w:t>
      </w:r>
      <w:proofErr w:type="gramEnd"/>
    </w:p>
    <w:p w:rsidR="009427E3" w:rsidRPr="00364FEF" w:rsidRDefault="009427E3" w:rsidP="009427E3">
      <w:pPr>
        <w:pStyle w:val="SingleTxtG"/>
        <w:ind w:firstLine="567"/>
        <w:rPr>
          <w:lang w:val="fr-FR"/>
        </w:rPr>
      </w:pPr>
      <w:r w:rsidRPr="003B1372">
        <w:rPr>
          <w:lang w:val="fr-FR"/>
        </w:rPr>
        <w:t>c)</w:t>
      </w:r>
      <w:r w:rsidRPr="003B1372">
        <w:rPr>
          <w:lang w:val="fr-FR"/>
        </w:rPr>
        <w:tab/>
        <w:t>Examiner les questions ayant trait à l’anonymat ;</w:t>
      </w:r>
    </w:p>
    <w:p w:rsidR="009427E3" w:rsidRPr="00364FEF" w:rsidRDefault="009427E3" w:rsidP="009427E3">
      <w:pPr>
        <w:pStyle w:val="SingleTxtG"/>
        <w:ind w:left="2268" w:hanging="567"/>
        <w:rPr>
          <w:lang w:val="fr-FR"/>
        </w:rPr>
      </w:pPr>
      <w:r w:rsidRPr="003B1372">
        <w:rPr>
          <w:lang w:val="fr-FR"/>
        </w:rPr>
        <w:t>d)</w:t>
      </w:r>
      <w:r w:rsidRPr="003B1372">
        <w:rPr>
          <w:lang w:val="fr-FR"/>
        </w:rPr>
        <w:tab/>
      </w:r>
      <w:bookmarkStart w:id="8" w:name="_Hlk527553412"/>
      <w:r w:rsidR="00D36E04">
        <w:rPr>
          <w:lang w:val="fr-FR"/>
        </w:rPr>
        <w:t>Étudier les</w:t>
      </w:r>
      <w:r w:rsidRPr="003B1372">
        <w:rPr>
          <w:lang w:val="fr-FR"/>
        </w:rPr>
        <w:t xml:space="preserve"> </w:t>
      </w:r>
      <w:bookmarkEnd w:id="8"/>
      <w:r w:rsidRPr="003B1372">
        <w:rPr>
          <w:lang w:val="fr-FR"/>
        </w:rPr>
        <w:t xml:space="preserve">informations pertinentes nécessaires </w:t>
      </w:r>
      <w:r w:rsidR="00D36E04">
        <w:rPr>
          <w:lang w:val="fr-FR"/>
        </w:rPr>
        <w:t>au</w:t>
      </w:r>
      <w:r w:rsidRPr="003B1372">
        <w:rPr>
          <w:lang w:val="fr-FR"/>
        </w:rPr>
        <w:t xml:space="preserve"> rapport en fonction de </w:t>
      </w:r>
      <w:r w:rsidR="00D36E04">
        <w:rPr>
          <w:lang w:val="fr-FR"/>
        </w:rPr>
        <w:t xml:space="preserve">son </w:t>
      </w:r>
      <w:r w:rsidR="00D36E04" w:rsidRPr="003B1372">
        <w:rPr>
          <w:lang w:val="fr-FR"/>
        </w:rPr>
        <w:t xml:space="preserve">utilisation </w:t>
      </w:r>
      <w:r w:rsidRPr="003B1372">
        <w:rPr>
          <w:lang w:val="fr-FR"/>
        </w:rPr>
        <w:t>prévue (par exemple : enseignements tirés d’événements ponctuels, enseignements tirés d’événements récurrents, évaluation des risques) et proposer, le cas échéant, des améliorations au RID/ADR/ADN ;</w:t>
      </w:r>
    </w:p>
    <w:p w:rsidR="009427E3" w:rsidRPr="00364FEF" w:rsidRDefault="009427E3" w:rsidP="009427E3">
      <w:pPr>
        <w:pStyle w:val="SingleTxtG"/>
        <w:ind w:left="2268" w:hanging="567"/>
        <w:rPr>
          <w:lang w:val="fr-FR"/>
        </w:rPr>
      </w:pPr>
      <w:r w:rsidRPr="003B1372">
        <w:rPr>
          <w:lang w:val="fr-FR"/>
        </w:rPr>
        <w:t>e)</w:t>
      </w:r>
      <w:r w:rsidRPr="003B1372">
        <w:rPr>
          <w:lang w:val="fr-FR"/>
        </w:rPr>
        <w:tab/>
        <w:t xml:space="preserve">Proposer des mesures visant à faciliter la </w:t>
      </w:r>
      <w:r w:rsidR="00D36E04">
        <w:rPr>
          <w:lang w:val="fr-FR"/>
        </w:rPr>
        <w:t>collecte</w:t>
      </w:r>
      <w:r w:rsidR="00D36E04" w:rsidRPr="003B1372">
        <w:rPr>
          <w:lang w:val="fr-FR"/>
        </w:rPr>
        <w:t xml:space="preserve"> </w:t>
      </w:r>
      <w:r w:rsidRPr="003B1372">
        <w:rPr>
          <w:lang w:val="fr-FR"/>
        </w:rPr>
        <w:t>du rapport par les autorités compétentes et la transmission des informations pertinentes aux secrétariats de la CEE</w:t>
      </w:r>
      <w:r w:rsidR="00D36E04">
        <w:rPr>
          <w:lang w:val="fr-FR"/>
        </w:rPr>
        <w:t>-ONU</w:t>
      </w:r>
      <w:r w:rsidRPr="003B1372">
        <w:rPr>
          <w:lang w:val="fr-FR"/>
        </w:rPr>
        <w:t xml:space="preserve"> et de l’OTIF ;</w:t>
      </w:r>
    </w:p>
    <w:p w:rsidR="009427E3" w:rsidRPr="00364FEF" w:rsidRDefault="009427E3" w:rsidP="009427E3">
      <w:pPr>
        <w:pStyle w:val="SingleTxtG"/>
        <w:ind w:left="2268" w:hanging="567"/>
        <w:rPr>
          <w:lang w:val="fr-FR"/>
        </w:rPr>
      </w:pPr>
      <w:r w:rsidRPr="003B1372">
        <w:rPr>
          <w:lang w:val="fr-FR"/>
        </w:rPr>
        <w:t>f)</w:t>
      </w:r>
      <w:r w:rsidRPr="003B1372">
        <w:rPr>
          <w:lang w:val="fr-FR"/>
        </w:rPr>
        <w:tab/>
        <w:t xml:space="preserve">Favoriser l’échange d’expérience entre autorités compétentes sur les méthodes utilisées pour garantir l’exactitude des rapports d’accidents ; </w:t>
      </w:r>
    </w:p>
    <w:p w:rsidR="009427E3" w:rsidRPr="00364FEF" w:rsidRDefault="009427E3" w:rsidP="009427E3">
      <w:pPr>
        <w:pStyle w:val="SingleTxtG"/>
        <w:ind w:left="2268" w:hanging="567"/>
        <w:rPr>
          <w:lang w:val="fr-FR"/>
        </w:rPr>
      </w:pPr>
      <w:r w:rsidRPr="003B1372">
        <w:rPr>
          <w:lang w:val="fr-FR"/>
        </w:rPr>
        <w:t>g)</w:t>
      </w:r>
      <w:r w:rsidRPr="003B1372">
        <w:rPr>
          <w:lang w:val="fr-FR"/>
        </w:rPr>
        <w:tab/>
        <w:t>Tenir compte de toute information utile et notamment des contributions issues de l’atelier sur la gestion des risques dans le cadre du transport de marchandises dangereuses, en particulier la liste établie par le groupe de travail A et le « tableau de paramètres d’entrée » pour l’harmonisation du modèle d’évaluation des risques ;</w:t>
      </w:r>
    </w:p>
    <w:p w:rsidR="009427E3" w:rsidRPr="00364FEF" w:rsidRDefault="009427E3" w:rsidP="009427E3">
      <w:pPr>
        <w:pStyle w:val="SingleTxtG"/>
        <w:ind w:left="2268" w:hanging="567"/>
        <w:rPr>
          <w:lang w:val="fr-FR"/>
        </w:rPr>
      </w:pPr>
      <w:r w:rsidRPr="003B1372">
        <w:rPr>
          <w:lang w:val="fr-FR"/>
        </w:rPr>
        <w:t>h)</w:t>
      </w:r>
      <w:r w:rsidRPr="003B1372">
        <w:rPr>
          <w:lang w:val="fr-FR"/>
        </w:rPr>
        <w:tab/>
        <w:t xml:space="preserve">Tenir compte des outils informatiques pertinents, y compris en coordination avec le développement du système commun d’information sur les incidents ferroviaires (Common Occurrence </w:t>
      </w:r>
      <w:proofErr w:type="spellStart"/>
      <w:r w:rsidRPr="003B1372">
        <w:rPr>
          <w:lang w:val="fr-FR"/>
        </w:rPr>
        <w:t>Reporting</w:t>
      </w:r>
      <w:proofErr w:type="spellEnd"/>
      <w:r w:rsidRPr="003B1372">
        <w:rPr>
          <w:lang w:val="fr-FR"/>
        </w:rPr>
        <w:t xml:space="preserve"> (COR) System).</w:t>
      </w:r>
    </w:p>
    <w:p w:rsidR="009427E3" w:rsidRPr="003B1372" w:rsidRDefault="009427E3" w:rsidP="009427E3">
      <w:pPr>
        <w:pStyle w:val="H4G"/>
        <w:rPr>
          <w:lang w:val="fr-FR"/>
        </w:rPr>
      </w:pPr>
      <w:r w:rsidRPr="003B1372">
        <w:rPr>
          <w:lang w:val="fr-FR"/>
        </w:rPr>
        <w:tab/>
      </w:r>
      <w:r w:rsidRPr="003B1372">
        <w:rPr>
          <w:lang w:val="fr-FR"/>
        </w:rPr>
        <w:tab/>
        <w:t>(Document de référence : Document informel INF.31/Rev.1, tel que modifié)</w:t>
      </w:r>
    </w:p>
    <w:p w:rsidR="009427E3" w:rsidRPr="00364FEF" w:rsidRDefault="009427E3" w:rsidP="009427E3">
      <w:pPr>
        <w:spacing w:before="240"/>
        <w:ind w:left="1134" w:right="1134"/>
        <w:jc w:val="center"/>
        <w:rPr>
          <w:lang w:val="fr-FR"/>
        </w:rPr>
      </w:pPr>
      <w:r w:rsidRPr="00364FEF">
        <w:rPr>
          <w:u w:val="single"/>
          <w:lang w:val="fr-FR"/>
        </w:rPr>
        <w:tab/>
      </w:r>
      <w:r w:rsidRPr="00364FEF">
        <w:rPr>
          <w:u w:val="single"/>
          <w:lang w:val="fr-FR"/>
        </w:rPr>
        <w:tab/>
      </w:r>
      <w:r w:rsidRPr="00364FEF">
        <w:rPr>
          <w:u w:val="single"/>
          <w:lang w:val="fr-FR"/>
        </w:rPr>
        <w:tab/>
      </w:r>
    </w:p>
    <w:p w:rsidR="00291329" w:rsidRPr="00291329" w:rsidRDefault="00291329" w:rsidP="009427E3">
      <w:pPr>
        <w:pStyle w:val="HChG"/>
        <w:rPr>
          <w:u w:val="single"/>
        </w:rPr>
      </w:pPr>
    </w:p>
    <w:sectPr w:rsidR="00291329" w:rsidRPr="00291329" w:rsidSect="009E6341">
      <w:headerReference w:type="even" r:id="rId10"/>
      <w:headerReference w:type="default" r:id="rId11"/>
      <w:footerReference w:type="even" r:id="rId12"/>
      <w:footerReference w:type="defaul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363" w:rsidRDefault="00B60363" w:rsidP="00F95C08">
      <w:pPr>
        <w:spacing w:line="240" w:lineRule="auto"/>
      </w:pPr>
    </w:p>
  </w:endnote>
  <w:endnote w:type="continuationSeparator" w:id="0">
    <w:p w:rsidR="00B60363" w:rsidRPr="00AC3823" w:rsidRDefault="00B60363" w:rsidP="00AC3823">
      <w:pPr>
        <w:pStyle w:val="Footer"/>
      </w:pPr>
    </w:p>
  </w:endnote>
  <w:endnote w:type="continuationNotice" w:id="1">
    <w:p w:rsidR="00B60363" w:rsidRDefault="00B603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363" w:rsidRPr="00151C74" w:rsidRDefault="00B60363" w:rsidP="009427E3">
    <w:pPr>
      <w:pStyle w:val="Footer"/>
      <w:tabs>
        <w:tab w:val="right" w:pos="9638"/>
      </w:tabs>
    </w:pPr>
    <w:r w:rsidRPr="00151C74">
      <w:rPr>
        <w:b/>
        <w:sz w:val="18"/>
      </w:rPr>
      <w:fldChar w:fldCharType="begin"/>
    </w:r>
    <w:r w:rsidRPr="00151C74">
      <w:rPr>
        <w:b/>
        <w:sz w:val="18"/>
      </w:rPr>
      <w:instrText xml:space="preserve"> PAGE  \* MERGEFORMAT </w:instrText>
    </w:r>
    <w:r w:rsidRPr="00151C74">
      <w:rPr>
        <w:b/>
        <w:sz w:val="18"/>
      </w:rPr>
      <w:fldChar w:fldCharType="separate"/>
    </w:r>
    <w:r>
      <w:rPr>
        <w:b/>
        <w:noProof/>
        <w:sz w:val="18"/>
      </w:rPr>
      <w:t>26</w:t>
    </w:r>
    <w:r w:rsidRPr="00151C74">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363" w:rsidRPr="00151C74" w:rsidRDefault="00B60363" w:rsidP="00151C74">
    <w:pPr>
      <w:pStyle w:val="Footer"/>
      <w:tabs>
        <w:tab w:val="right" w:pos="9638"/>
      </w:tabs>
      <w:rPr>
        <w:b/>
        <w:sz w:val="18"/>
      </w:rPr>
    </w:pPr>
    <w:r>
      <w:tab/>
    </w:r>
    <w:r w:rsidRPr="00151C74">
      <w:rPr>
        <w:b/>
        <w:sz w:val="18"/>
      </w:rPr>
      <w:fldChar w:fldCharType="begin"/>
    </w:r>
    <w:r w:rsidRPr="00151C74">
      <w:rPr>
        <w:b/>
        <w:sz w:val="18"/>
      </w:rPr>
      <w:instrText xml:space="preserve"> PAGE  \* MERGEFORMAT </w:instrText>
    </w:r>
    <w:r w:rsidRPr="00151C74">
      <w:rPr>
        <w:b/>
        <w:sz w:val="18"/>
      </w:rPr>
      <w:fldChar w:fldCharType="separate"/>
    </w:r>
    <w:r>
      <w:rPr>
        <w:b/>
        <w:noProof/>
        <w:sz w:val="18"/>
      </w:rPr>
      <w:t>27</w:t>
    </w:r>
    <w:r w:rsidRPr="00151C7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363" w:rsidRPr="00AC3823" w:rsidRDefault="00B60363" w:rsidP="00AC3823">
      <w:pPr>
        <w:pStyle w:val="Footer"/>
        <w:tabs>
          <w:tab w:val="right" w:pos="2155"/>
        </w:tabs>
        <w:spacing w:after="80" w:line="240" w:lineRule="atLeast"/>
        <w:ind w:left="680"/>
        <w:rPr>
          <w:u w:val="single"/>
        </w:rPr>
      </w:pPr>
      <w:r>
        <w:rPr>
          <w:u w:val="single"/>
        </w:rPr>
        <w:tab/>
      </w:r>
    </w:p>
  </w:footnote>
  <w:footnote w:type="continuationSeparator" w:id="0">
    <w:p w:rsidR="00B60363" w:rsidRPr="00AC3823" w:rsidRDefault="00B60363" w:rsidP="00AC3823">
      <w:pPr>
        <w:pStyle w:val="Footer"/>
        <w:tabs>
          <w:tab w:val="right" w:pos="2155"/>
        </w:tabs>
        <w:spacing w:after="80" w:line="240" w:lineRule="atLeast"/>
        <w:ind w:left="680"/>
        <w:rPr>
          <w:u w:val="single"/>
        </w:rPr>
      </w:pPr>
      <w:r>
        <w:rPr>
          <w:u w:val="single"/>
        </w:rPr>
        <w:tab/>
      </w:r>
    </w:p>
  </w:footnote>
  <w:footnote w:type="continuationNotice" w:id="1">
    <w:p w:rsidR="00B60363" w:rsidRPr="00AC3823" w:rsidRDefault="00B60363">
      <w:pPr>
        <w:spacing w:line="240" w:lineRule="auto"/>
        <w:rPr>
          <w:sz w:val="2"/>
          <w:szCs w:val="2"/>
        </w:rPr>
      </w:pPr>
    </w:p>
  </w:footnote>
  <w:footnote w:id="2">
    <w:p w:rsidR="00B60363" w:rsidRPr="0033465B" w:rsidRDefault="00B60363" w:rsidP="009427E3">
      <w:pPr>
        <w:pStyle w:val="FootnoteText"/>
      </w:pPr>
      <w:r w:rsidRPr="00822281">
        <w:rPr>
          <w:sz w:val="20"/>
        </w:rPr>
        <w:tab/>
        <w:t>*</w:t>
      </w:r>
      <w:r w:rsidRPr="00822281">
        <w:rPr>
          <w:sz w:val="20"/>
        </w:rPr>
        <w:tab/>
      </w:r>
      <w:r w:rsidRPr="00822281">
        <w:t>Diffusé par l</w:t>
      </w:r>
      <w:r>
        <w:t>’</w:t>
      </w:r>
      <w:r w:rsidRPr="00822281">
        <w:t>Organisation intergouvernementale pour les transports internationaux ferroviaires (OTIF) sous la cote OTIF/RID/RC/2017-B. Sauf indication contraire, les autres documents auxquels il est fait référence dans le présent rapport et qui portent une cote ECE/TRANS/WP.15/AC.1/ suivie de l</w:t>
      </w:r>
      <w:r>
        <w:t>’</w:t>
      </w:r>
      <w:r w:rsidRPr="00822281">
        <w:t>année et d</w:t>
      </w:r>
      <w:r>
        <w:t>’</w:t>
      </w:r>
      <w:r w:rsidRPr="00822281">
        <w:t>un numéro de série ont été diffusés par l</w:t>
      </w:r>
      <w:r>
        <w:t>’</w:t>
      </w:r>
      <w:r w:rsidRPr="00822281">
        <w:t>OTIF sous la cote OTIF/RID/RC/ suivie de l</w:t>
      </w:r>
      <w:r>
        <w:t>’</w:t>
      </w:r>
      <w:r w:rsidRPr="00822281">
        <w:t xml:space="preserve">année et du même numéro de série. </w:t>
      </w:r>
    </w:p>
  </w:footnote>
  <w:footnote w:id="3">
    <w:p w:rsidR="00B60363" w:rsidRDefault="00B60363">
      <w:pPr>
        <w:pStyle w:val="FootnoteText"/>
      </w:pPr>
      <w:r>
        <w:tab/>
      </w:r>
      <w:r>
        <w:rPr>
          <w:rStyle w:val="FootnoteReference"/>
        </w:rPr>
        <w:t>**</w:t>
      </w:r>
      <w:r>
        <w:t xml:space="preserve"> </w:t>
      </w:r>
      <w:r>
        <w:tab/>
        <w:t>Pour des raisons pratiques, l’annexe I est reproduite sous forme d’additif au présent document, sous la cote ECE/TRANS/WP.15/AC.1/152/Add.1.</w:t>
      </w:r>
    </w:p>
  </w:footnote>
  <w:footnote w:id="4">
    <w:p w:rsidR="00B60363" w:rsidRDefault="00B60363" w:rsidP="009427E3">
      <w:pPr>
        <w:pStyle w:val="FootnoteText"/>
      </w:pPr>
      <w:r>
        <w:tab/>
      </w:r>
      <w:r>
        <w:rPr>
          <w:rStyle w:val="FootnoteReference"/>
        </w:rPr>
        <w:footnoteRef/>
      </w:r>
      <w:r>
        <w:tab/>
      </w:r>
      <w:r>
        <w:rPr>
          <w:lang w:val="fr-FR"/>
        </w:rPr>
        <w:t>Directive 75/324/CEE du Conseil, du 20 mai 1975, concernant le rapprochement des législations des États membres relatives aux générateurs aérosols, telle que modifiée.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363" w:rsidRPr="00202116" w:rsidRDefault="00B60363" w:rsidP="00202116">
    <w:pPr>
      <w:pStyle w:val="Header"/>
    </w:pPr>
    <w:r>
      <w:t>ECE/TRANS/WP.15/AC.1/152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363" w:rsidRPr="00151C74" w:rsidRDefault="00B60363" w:rsidP="00151C74">
    <w:pPr>
      <w:pStyle w:val="Header"/>
      <w:jc w:val="right"/>
    </w:pPr>
    <w:r>
      <w:t>ECE/TRANS/WP.15/AC.1/152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pStyle w:val="Heading2"/>
      <w:lvlText w:val="%2."/>
      <w:lvlJc w:val="left"/>
      <w:pPr>
        <w:tabs>
          <w:tab w:val="num" w:pos="1440"/>
        </w:tabs>
        <w:ind w:left="1440" w:hanging="360"/>
      </w:pPr>
    </w:lvl>
    <w:lvl w:ilvl="2" w:tplc="0409001B" w:tentative="1">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660BF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308A4C5B"/>
    <w:multiLevelType w:val="hybridMultilevel"/>
    <w:tmpl w:val="18A6DB56"/>
    <w:lvl w:ilvl="0" w:tplc="100C0001">
      <w:start w:val="1"/>
      <w:numFmt w:val="bullet"/>
      <w:lvlText w:val=""/>
      <w:lvlJc w:val="left"/>
      <w:pPr>
        <w:ind w:left="1910" w:hanging="360"/>
      </w:pPr>
      <w:rPr>
        <w:rFonts w:ascii="Symbol" w:hAnsi="Symbol" w:hint="default"/>
      </w:rPr>
    </w:lvl>
    <w:lvl w:ilvl="1" w:tplc="100C0003" w:tentative="1">
      <w:start w:val="1"/>
      <w:numFmt w:val="bullet"/>
      <w:lvlText w:val="o"/>
      <w:lvlJc w:val="left"/>
      <w:pPr>
        <w:ind w:left="2630" w:hanging="360"/>
      </w:pPr>
      <w:rPr>
        <w:rFonts w:ascii="Courier New" w:hAnsi="Courier New" w:cs="Courier New" w:hint="default"/>
      </w:rPr>
    </w:lvl>
    <w:lvl w:ilvl="2" w:tplc="100C0005" w:tentative="1">
      <w:start w:val="1"/>
      <w:numFmt w:val="bullet"/>
      <w:lvlText w:val=""/>
      <w:lvlJc w:val="left"/>
      <w:pPr>
        <w:ind w:left="3350" w:hanging="360"/>
      </w:pPr>
      <w:rPr>
        <w:rFonts w:ascii="Wingdings" w:hAnsi="Wingdings" w:hint="default"/>
      </w:rPr>
    </w:lvl>
    <w:lvl w:ilvl="3" w:tplc="100C0001" w:tentative="1">
      <w:start w:val="1"/>
      <w:numFmt w:val="bullet"/>
      <w:lvlText w:val=""/>
      <w:lvlJc w:val="left"/>
      <w:pPr>
        <w:ind w:left="4070" w:hanging="360"/>
      </w:pPr>
      <w:rPr>
        <w:rFonts w:ascii="Symbol" w:hAnsi="Symbol" w:hint="default"/>
      </w:rPr>
    </w:lvl>
    <w:lvl w:ilvl="4" w:tplc="100C0003" w:tentative="1">
      <w:start w:val="1"/>
      <w:numFmt w:val="bullet"/>
      <w:lvlText w:val="o"/>
      <w:lvlJc w:val="left"/>
      <w:pPr>
        <w:ind w:left="4790" w:hanging="360"/>
      </w:pPr>
      <w:rPr>
        <w:rFonts w:ascii="Courier New" w:hAnsi="Courier New" w:cs="Courier New" w:hint="default"/>
      </w:rPr>
    </w:lvl>
    <w:lvl w:ilvl="5" w:tplc="100C0005" w:tentative="1">
      <w:start w:val="1"/>
      <w:numFmt w:val="bullet"/>
      <w:lvlText w:val=""/>
      <w:lvlJc w:val="left"/>
      <w:pPr>
        <w:ind w:left="5510" w:hanging="360"/>
      </w:pPr>
      <w:rPr>
        <w:rFonts w:ascii="Wingdings" w:hAnsi="Wingdings" w:hint="default"/>
      </w:rPr>
    </w:lvl>
    <w:lvl w:ilvl="6" w:tplc="100C0001" w:tentative="1">
      <w:start w:val="1"/>
      <w:numFmt w:val="bullet"/>
      <w:lvlText w:val=""/>
      <w:lvlJc w:val="left"/>
      <w:pPr>
        <w:ind w:left="6230" w:hanging="360"/>
      </w:pPr>
      <w:rPr>
        <w:rFonts w:ascii="Symbol" w:hAnsi="Symbol" w:hint="default"/>
      </w:rPr>
    </w:lvl>
    <w:lvl w:ilvl="7" w:tplc="100C0003" w:tentative="1">
      <w:start w:val="1"/>
      <w:numFmt w:val="bullet"/>
      <w:lvlText w:val="o"/>
      <w:lvlJc w:val="left"/>
      <w:pPr>
        <w:ind w:left="6950" w:hanging="360"/>
      </w:pPr>
      <w:rPr>
        <w:rFonts w:ascii="Courier New" w:hAnsi="Courier New" w:cs="Courier New" w:hint="default"/>
      </w:rPr>
    </w:lvl>
    <w:lvl w:ilvl="8" w:tplc="100C0005" w:tentative="1">
      <w:start w:val="1"/>
      <w:numFmt w:val="bullet"/>
      <w:lvlText w:val=""/>
      <w:lvlJc w:val="left"/>
      <w:pPr>
        <w:ind w:left="767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5DDA3B15"/>
    <w:multiLevelType w:val="hybridMultilevel"/>
    <w:tmpl w:val="B8AC4672"/>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328416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C0418B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CAE1502"/>
    <w:multiLevelType w:val="hybridMultilevel"/>
    <w:tmpl w:val="3F18E378"/>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5" w15:restartNumberingAfterBreak="0">
    <w:nsid w:val="747C779E"/>
    <w:multiLevelType w:val="hybridMultilevel"/>
    <w:tmpl w:val="8BE092B8"/>
    <w:lvl w:ilvl="0" w:tplc="23027046">
      <w:start w:val="42"/>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6"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22"/>
  </w:num>
  <w:num w:numId="2">
    <w:abstractNumId w:val="18"/>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8"/>
  </w:num>
  <w:num w:numId="16">
    <w:abstractNumId w:val="12"/>
  </w:num>
  <w:num w:numId="17">
    <w:abstractNumId w:val="17"/>
  </w:num>
  <w:num w:numId="18">
    <w:abstractNumId w:val="14"/>
  </w:num>
  <w:num w:numId="19">
    <w:abstractNumId w:val="10"/>
  </w:num>
  <w:num w:numId="20">
    <w:abstractNumId w:val="20"/>
  </w:num>
  <w:num w:numId="21">
    <w:abstractNumId w:val="13"/>
  </w:num>
  <w:num w:numId="22">
    <w:abstractNumId w:val="11"/>
  </w:num>
  <w:num w:numId="23">
    <w:abstractNumId w:val="24"/>
  </w:num>
  <w:num w:numId="24">
    <w:abstractNumId w:val="19"/>
  </w:num>
  <w:num w:numId="25">
    <w:abstractNumId w:val="25"/>
  </w:num>
  <w:num w:numId="26">
    <w:abstractNumId w:val="15"/>
  </w:num>
  <w:num w:numId="27">
    <w:abstractNumId w:val="21"/>
  </w:num>
  <w:num w:numId="28">
    <w:abstractNumId w:val="23"/>
  </w:num>
  <w:num w:numId="29">
    <w:abstractNumId w:val="2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3"/>
  <w:displayBackgroundShape/>
  <w:proofState w:spelling="clean" w:grammar="clean"/>
  <w:defaultTabStop w:val="567"/>
  <w:hyphenationZone w:val="425"/>
  <w:evenAndOddHeaders/>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6F7"/>
    <w:rsid w:val="00017F94"/>
    <w:rsid w:val="00023842"/>
    <w:rsid w:val="000334F9"/>
    <w:rsid w:val="00037515"/>
    <w:rsid w:val="00041281"/>
    <w:rsid w:val="00045FEB"/>
    <w:rsid w:val="00055EA2"/>
    <w:rsid w:val="0007796D"/>
    <w:rsid w:val="000812F8"/>
    <w:rsid w:val="00081B35"/>
    <w:rsid w:val="00093301"/>
    <w:rsid w:val="000B6C58"/>
    <w:rsid w:val="000B7790"/>
    <w:rsid w:val="000D6887"/>
    <w:rsid w:val="000E1649"/>
    <w:rsid w:val="000F3243"/>
    <w:rsid w:val="0010338E"/>
    <w:rsid w:val="00111F2F"/>
    <w:rsid w:val="001252E8"/>
    <w:rsid w:val="0014365E"/>
    <w:rsid w:val="00143C66"/>
    <w:rsid w:val="00151C74"/>
    <w:rsid w:val="00174B17"/>
    <w:rsid w:val="00176178"/>
    <w:rsid w:val="00180216"/>
    <w:rsid w:val="0018313D"/>
    <w:rsid w:val="0019709C"/>
    <w:rsid w:val="001A02AD"/>
    <w:rsid w:val="001C1D0F"/>
    <w:rsid w:val="001C1ED6"/>
    <w:rsid w:val="001F525A"/>
    <w:rsid w:val="00202116"/>
    <w:rsid w:val="002065FF"/>
    <w:rsid w:val="002106BC"/>
    <w:rsid w:val="00217FBC"/>
    <w:rsid w:val="00221D43"/>
    <w:rsid w:val="00223272"/>
    <w:rsid w:val="00241598"/>
    <w:rsid w:val="00243256"/>
    <w:rsid w:val="0024779E"/>
    <w:rsid w:val="00252CE7"/>
    <w:rsid w:val="002563F4"/>
    <w:rsid w:val="00257168"/>
    <w:rsid w:val="002643AB"/>
    <w:rsid w:val="002744B8"/>
    <w:rsid w:val="002832AC"/>
    <w:rsid w:val="0028734F"/>
    <w:rsid w:val="002909CC"/>
    <w:rsid w:val="00291329"/>
    <w:rsid w:val="002C282F"/>
    <w:rsid w:val="002D7C93"/>
    <w:rsid w:val="002D7E56"/>
    <w:rsid w:val="002E1524"/>
    <w:rsid w:val="002F3252"/>
    <w:rsid w:val="00301954"/>
    <w:rsid w:val="00304EE5"/>
    <w:rsid w:val="00305801"/>
    <w:rsid w:val="00314536"/>
    <w:rsid w:val="003916DE"/>
    <w:rsid w:val="003A74E6"/>
    <w:rsid w:val="003B6B65"/>
    <w:rsid w:val="003C1B99"/>
    <w:rsid w:val="003C5D36"/>
    <w:rsid w:val="003D4DFB"/>
    <w:rsid w:val="003E2D87"/>
    <w:rsid w:val="003F0ADA"/>
    <w:rsid w:val="003F3D11"/>
    <w:rsid w:val="00403E71"/>
    <w:rsid w:val="004256DE"/>
    <w:rsid w:val="00441C3B"/>
    <w:rsid w:val="00446FE5"/>
    <w:rsid w:val="00452396"/>
    <w:rsid w:val="004837D8"/>
    <w:rsid w:val="00485C29"/>
    <w:rsid w:val="004B3C8F"/>
    <w:rsid w:val="004C1BA2"/>
    <w:rsid w:val="004E313D"/>
    <w:rsid w:val="004E468C"/>
    <w:rsid w:val="004E554C"/>
    <w:rsid w:val="00504CC4"/>
    <w:rsid w:val="00546578"/>
    <w:rsid w:val="005505B7"/>
    <w:rsid w:val="00552846"/>
    <w:rsid w:val="0056317B"/>
    <w:rsid w:val="00573BE5"/>
    <w:rsid w:val="00586ED3"/>
    <w:rsid w:val="005912D6"/>
    <w:rsid w:val="0059277D"/>
    <w:rsid w:val="00596AA9"/>
    <w:rsid w:val="005B0B2A"/>
    <w:rsid w:val="005D687F"/>
    <w:rsid w:val="005F3698"/>
    <w:rsid w:val="005F53CC"/>
    <w:rsid w:val="005F64B4"/>
    <w:rsid w:val="006106C9"/>
    <w:rsid w:val="00661B41"/>
    <w:rsid w:val="0066232D"/>
    <w:rsid w:val="006A143E"/>
    <w:rsid w:val="006C25E4"/>
    <w:rsid w:val="006C431B"/>
    <w:rsid w:val="006D28ED"/>
    <w:rsid w:val="006D46C8"/>
    <w:rsid w:val="006E2AC8"/>
    <w:rsid w:val="006F3274"/>
    <w:rsid w:val="0071601D"/>
    <w:rsid w:val="007278B6"/>
    <w:rsid w:val="00750F15"/>
    <w:rsid w:val="007559CC"/>
    <w:rsid w:val="007625B4"/>
    <w:rsid w:val="00763870"/>
    <w:rsid w:val="00786074"/>
    <w:rsid w:val="00797490"/>
    <w:rsid w:val="007A62E6"/>
    <w:rsid w:val="007C7364"/>
    <w:rsid w:val="007F20FA"/>
    <w:rsid w:val="007F4717"/>
    <w:rsid w:val="008040E9"/>
    <w:rsid w:val="0080452F"/>
    <w:rsid w:val="0080684C"/>
    <w:rsid w:val="00811408"/>
    <w:rsid w:val="00871C75"/>
    <w:rsid w:val="008776DC"/>
    <w:rsid w:val="00890C94"/>
    <w:rsid w:val="008B6F84"/>
    <w:rsid w:val="008D1FAA"/>
    <w:rsid w:val="008E39EA"/>
    <w:rsid w:val="00931B42"/>
    <w:rsid w:val="009427E3"/>
    <w:rsid w:val="009446C0"/>
    <w:rsid w:val="00946124"/>
    <w:rsid w:val="0095548E"/>
    <w:rsid w:val="00966ADF"/>
    <w:rsid w:val="009705C8"/>
    <w:rsid w:val="009806DB"/>
    <w:rsid w:val="00994235"/>
    <w:rsid w:val="009C1CF4"/>
    <w:rsid w:val="009D067F"/>
    <w:rsid w:val="009E6341"/>
    <w:rsid w:val="009F6B74"/>
    <w:rsid w:val="00A0617F"/>
    <w:rsid w:val="00A22286"/>
    <w:rsid w:val="00A30353"/>
    <w:rsid w:val="00A40367"/>
    <w:rsid w:val="00A5534B"/>
    <w:rsid w:val="00A6671F"/>
    <w:rsid w:val="00A84640"/>
    <w:rsid w:val="00A87EBB"/>
    <w:rsid w:val="00A94013"/>
    <w:rsid w:val="00AB1ED9"/>
    <w:rsid w:val="00AB6B72"/>
    <w:rsid w:val="00AC3823"/>
    <w:rsid w:val="00AD31A2"/>
    <w:rsid w:val="00AE323C"/>
    <w:rsid w:val="00AE3B1A"/>
    <w:rsid w:val="00AF0CB5"/>
    <w:rsid w:val="00AF33C5"/>
    <w:rsid w:val="00AF38F0"/>
    <w:rsid w:val="00B00030"/>
    <w:rsid w:val="00B00181"/>
    <w:rsid w:val="00B00B0D"/>
    <w:rsid w:val="00B2627F"/>
    <w:rsid w:val="00B32636"/>
    <w:rsid w:val="00B5197A"/>
    <w:rsid w:val="00B60363"/>
    <w:rsid w:val="00B62E3E"/>
    <w:rsid w:val="00B765F7"/>
    <w:rsid w:val="00B93DC7"/>
    <w:rsid w:val="00BA0CA9"/>
    <w:rsid w:val="00BB3244"/>
    <w:rsid w:val="00BC21E8"/>
    <w:rsid w:val="00BD3678"/>
    <w:rsid w:val="00BE7949"/>
    <w:rsid w:val="00BF35FB"/>
    <w:rsid w:val="00C02897"/>
    <w:rsid w:val="00C20AA0"/>
    <w:rsid w:val="00C26A4E"/>
    <w:rsid w:val="00C27ABF"/>
    <w:rsid w:val="00C426B3"/>
    <w:rsid w:val="00C57B41"/>
    <w:rsid w:val="00C8750C"/>
    <w:rsid w:val="00C901A5"/>
    <w:rsid w:val="00C97039"/>
    <w:rsid w:val="00CB7A46"/>
    <w:rsid w:val="00CC315F"/>
    <w:rsid w:val="00D21940"/>
    <w:rsid w:val="00D325C1"/>
    <w:rsid w:val="00D33408"/>
    <w:rsid w:val="00D3439C"/>
    <w:rsid w:val="00D34764"/>
    <w:rsid w:val="00D36E04"/>
    <w:rsid w:val="00D54D09"/>
    <w:rsid w:val="00D730A9"/>
    <w:rsid w:val="00D92696"/>
    <w:rsid w:val="00DA789D"/>
    <w:rsid w:val="00DB1831"/>
    <w:rsid w:val="00DD1314"/>
    <w:rsid w:val="00DD3BFD"/>
    <w:rsid w:val="00DE2C08"/>
    <w:rsid w:val="00DF6678"/>
    <w:rsid w:val="00E0299A"/>
    <w:rsid w:val="00E223DF"/>
    <w:rsid w:val="00E24AAC"/>
    <w:rsid w:val="00E44270"/>
    <w:rsid w:val="00E47E5A"/>
    <w:rsid w:val="00E52B4E"/>
    <w:rsid w:val="00E56FBF"/>
    <w:rsid w:val="00E64841"/>
    <w:rsid w:val="00E75C10"/>
    <w:rsid w:val="00E85C74"/>
    <w:rsid w:val="00E866F7"/>
    <w:rsid w:val="00EA6547"/>
    <w:rsid w:val="00ED304F"/>
    <w:rsid w:val="00EF2E22"/>
    <w:rsid w:val="00EF6739"/>
    <w:rsid w:val="00F02D90"/>
    <w:rsid w:val="00F35BAF"/>
    <w:rsid w:val="00F47C7C"/>
    <w:rsid w:val="00F660DF"/>
    <w:rsid w:val="00F7705A"/>
    <w:rsid w:val="00F90428"/>
    <w:rsid w:val="00F94664"/>
    <w:rsid w:val="00F9573C"/>
    <w:rsid w:val="00F95C08"/>
    <w:rsid w:val="00FC1143"/>
    <w:rsid w:val="00FF1CA1"/>
    <w:rsid w:val="00FF663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23C93DC"/>
  <w15:docId w15:val="{CE667829-E0B6-4488-9FB5-48217846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tabs>
        <w:tab w:val="num" w:pos="1494"/>
      </w:tabs>
      <w:spacing w:after="0" w:line="240" w:lineRule="auto"/>
      <w:ind w:right="0"/>
      <w:jc w:val="left"/>
      <w:outlineLvl w:val="0"/>
    </w:pPr>
  </w:style>
  <w:style w:type="paragraph" w:styleId="Heading2">
    <w:name w:val="heading 2"/>
    <w:basedOn w:val="Normal"/>
    <w:next w:val="Normal"/>
    <w:link w:val="Heading2Char"/>
    <w:qFormat/>
    <w:rsid w:val="00023842"/>
    <w:pPr>
      <w:numPr>
        <w:ilvl w:val="1"/>
        <w:numId w:val="19"/>
      </w:numPr>
      <w:outlineLvl w:val="1"/>
    </w:pPr>
  </w:style>
  <w:style w:type="paragraph" w:styleId="Heading3">
    <w:name w:val="heading 3"/>
    <w:basedOn w:val="Normal"/>
    <w:next w:val="Normal"/>
    <w:link w:val="Heading3Char"/>
    <w:qFormat/>
    <w:rsid w:val="00023842"/>
    <w:pPr>
      <w:numPr>
        <w:ilvl w:val="2"/>
        <w:numId w:val="19"/>
      </w:numPr>
      <w:outlineLvl w:val="2"/>
    </w:pPr>
  </w:style>
  <w:style w:type="paragraph" w:styleId="Heading4">
    <w:name w:val="heading 4"/>
    <w:basedOn w:val="Normal"/>
    <w:next w:val="Normal"/>
    <w:link w:val="Heading4Char"/>
    <w:qFormat/>
    <w:rsid w:val="00023842"/>
    <w:pPr>
      <w:numPr>
        <w:ilvl w:val="3"/>
        <w:numId w:val="19"/>
      </w:numPr>
      <w:outlineLvl w:val="3"/>
    </w:pPr>
  </w:style>
  <w:style w:type="paragraph" w:styleId="Heading5">
    <w:name w:val="heading 5"/>
    <w:basedOn w:val="Normal"/>
    <w:next w:val="Normal"/>
    <w:link w:val="Heading5Char"/>
    <w:qFormat/>
    <w:rsid w:val="00023842"/>
    <w:pPr>
      <w:numPr>
        <w:ilvl w:val="4"/>
        <w:numId w:val="19"/>
      </w:numPr>
      <w:outlineLvl w:val="4"/>
    </w:pPr>
  </w:style>
  <w:style w:type="paragraph" w:styleId="Heading6">
    <w:name w:val="heading 6"/>
    <w:basedOn w:val="Normal"/>
    <w:next w:val="Normal"/>
    <w:link w:val="Heading6Char"/>
    <w:qFormat/>
    <w:rsid w:val="00023842"/>
    <w:pPr>
      <w:numPr>
        <w:ilvl w:val="5"/>
        <w:numId w:val="19"/>
      </w:numPr>
      <w:outlineLvl w:val="5"/>
    </w:pPr>
  </w:style>
  <w:style w:type="paragraph" w:styleId="Heading7">
    <w:name w:val="heading 7"/>
    <w:basedOn w:val="Normal"/>
    <w:next w:val="Normal"/>
    <w:link w:val="Heading7Char"/>
    <w:qFormat/>
    <w:rsid w:val="00023842"/>
    <w:pPr>
      <w:numPr>
        <w:ilvl w:val="6"/>
        <w:numId w:val="19"/>
      </w:numPr>
      <w:outlineLvl w:val="6"/>
    </w:pPr>
  </w:style>
  <w:style w:type="paragraph" w:styleId="Heading8">
    <w:name w:val="heading 8"/>
    <w:basedOn w:val="Normal"/>
    <w:next w:val="Normal"/>
    <w:link w:val="Heading8Char"/>
    <w:qFormat/>
    <w:rsid w:val="00023842"/>
    <w:pPr>
      <w:numPr>
        <w:ilvl w:val="7"/>
        <w:numId w:val="19"/>
      </w:numPr>
      <w:outlineLvl w:val="7"/>
    </w:pPr>
  </w:style>
  <w:style w:type="paragraph" w:styleId="Heading9">
    <w:name w:val="heading 9"/>
    <w:basedOn w:val="Normal"/>
    <w:next w:val="Normal"/>
    <w:link w:val="Heading9Char"/>
    <w:qFormat/>
    <w:rsid w:val="00023842"/>
    <w:pPr>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AB1ED9"/>
    <w:rPr>
      <w:rFonts w:ascii="Times New Roman" w:eastAsiaTheme="minorHAnsi" w:hAnsi="Times New Roman" w:cs="Times New Roman"/>
      <w:b/>
      <w:sz w:val="28"/>
      <w:szCs w:val="20"/>
      <w:lang w:eastAsia="en-US"/>
    </w:rPr>
  </w:style>
  <w:style w:type="paragraph" w:customStyle="1" w:styleId="ParaNoG">
    <w:name w:val="_ParaNo._G"/>
    <w:basedOn w:val="SingleTxtG"/>
    <w:rsid w:val="00CC315F"/>
    <w:pPr>
      <w:numPr>
        <w:numId w:val="19"/>
      </w:numPr>
      <w:tabs>
        <w:tab w:val="clear" w:pos="1494"/>
      </w:tabs>
      <w:kinsoku/>
      <w:overflowPunct/>
      <w:autoSpaceDE/>
      <w:autoSpaceDN/>
      <w:adjustRightInd/>
      <w:snapToGrid/>
    </w:pPr>
    <w:rPr>
      <w:rFonts w:eastAsia="Times New Roman"/>
      <w:lang w:val="en-GB"/>
    </w:rPr>
  </w:style>
  <w:style w:type="paragraph" w:styleId="PlainText">
    <w:name w:val="Plain Text"/>
    <w:basedOn w:val="Normal"/>
    <w:link w:val="PlainTextChar"/>
    <w:semiHidden/>
    <w:rsid w:val="00CC315F"/>
    <w:pPr>
      <w:kinsoku/>
      <w:overflowPunct/>
      <w:autoSpaceDE/>
      <w:autoSpaceDN/>
      <w:adjustRightInd/>
      <w:snapToGrid/>
    </w:pPr>
    <w:rPr>
      <w:rFonts w:eastAsia="Times New Roman" w:cs="Courier New"/>
      <w:lang w:val="en-GB"/>
    </w:rPr>
  </w:style>
  <w:style w:type="character" w:customStyle="1" w:styleId="PlainTextChar">
    <w:name w:val="Plain Text Char"/>
    <w:basedOn w:val="DefaultParagraphFont"/>
    <w:link w:val="PlainText"/>
    <w:semiHidden/>
    <w:rsid w:val="00CC315F"/>
    <w:rPr>
      <w:rFonts w:ascii="Times New Roman" w:hAnsi="Times New Roman" w:cs="Courier New"/>
      <w:sz w:val="20"/>
      <w:szCs w:val="20"/>
      <w:lang w:val="en-GB" w:eastAsia="en-US"/>
    </w:rPr>
  </w:style>
  <w:style w:type="paragraph" w:styleId="BodyText">
    <w:name w:val="Body Text"/>
    <w:basedOn w:val="Normal"/>
    <w:next w:val="Normal"/>
    <w:link w:val="BodyTextChar"/>
    <w:semiHidden/>
    <w:rsid w:val="00CC315F"/>
    <w:pPr>
      <w:kinsoku/>
      <w:overflowPunct/>
      <w:autoSpaceDE/>
      <w:autoSpaceDN/>
      <w:adjustRightInd/>
      <w:snapToGrid/>
    </w:pPr>
    <w:rPr>
      <w:rFonts w:eastAsia="Times New Roman"/>
      <w:lang w:val="en-GB"/>
    </w:rPr>
  </w:style>
  <w:style w:type="character" w:customStyle="1" w:styleId="BodyTextChar">
    <w:name w:val="Body Text Char"/>
    <w:basedOn w:val="DefaultParagraphFont"/>
    <w:link w:val="BodyText"/>
    <w:semiHidden/>
    <w:rsid w:val="00CC315F"/>
    <w:rPr>
      <w:rFonts w:ascii="Times New Roman" w:hAnsi="Times New Roman" w:cs="Times New Roman"/>
      <w:sz w:val="20"/>
      <w:szCs w:val="20"/>
      <w:lang w:val="en-GB" w:eastAsia="en-US"/>
    </w:rPr>
  </w:style>
  <w:style w:type="paragraph" w:styleId="BodyTextIndent">
    <w:name w:val="Body Text Indent"/>
    <w:basedOn w:val="Normal"/>
    <w:link w:val="BodyTextIndentChar"/>
    <w:semiHidden/>
    <w:rsid w:val="00CC315F"/>
    <w:pPr>
      <w:kinsoku/>
      <w:overflowPunct/>
      <w:autoSpaceDE/>
      <w:autoSpaceDN/>
      <w:adjustRightInd/>
      <w:snapToGrid/>
      <w:spacing w:after="120"/>
      <w:ind w:left="283"/>
    </w:pPr>
    <w:rPr>
      <w:rFonts w:eastAsia="Times New Roman"/>
      <w:lang w:val="en-GB"/>
    </w:rPr>
  </w:style>
  <w:style w:type="character" w:customStyle="1" w:styleId="BodyTextIndentChar">
    <w:name w:val="Body Text Indent Char"/>
    <w:basedOn w:val="DefaultParagraphFont"/>
    <w:link w:val="BodyTextIndent"/>
    <w:semiHidden/>
    <w:rsid w:val="00CC315F"/>
    <w:rPr>
      <w:rFonts w:ascii="Times New Roman" w:hAnsi="Times New Roman" w:cs="Times New Roman"/>
      <w:sz w:val="20"/>
      <w:szCs w:val="20"/>
      <w:lang w:val="en-GB" w:eastAsia="en-US"/>
    </w:rPr>
  </w:style>
  <w:style w:type="paragraph" w:styleId="BlockText">
    <w:name w:val="Block Text"/>
    <w:basedOn w:val="Normal"/>
    <w:semiHidden/>
    <w:rsid w:val="00CC315F"/>
    <w:pPr>
      <w:kinsoku/>
      <w:overflowPunct/>
      <w:autoSpaceDE/>
      <w:autoSpaceDN/>
      <w:adjustRightInd/>
      <w:snapToGrid/>
      <w:ind w:left="1440" w:right="1440"/>
    </w:pPr>
    <w:rPr>
      <w:rFonts w:eastAsia="Times New Roman"/>
      <w:lang w:val="en-GB"/>
    </w:rPr>
  </w:style>
  <w:style w:type="character" w:styleId="CommentReference">
    <w:name w:val="annotation reference"/>
    <w:uiPriority w:val="99"/>
    <w:semiHidden/>
    <w:rsid w:val="00CC315F"/>
    <w:rPr>
      <w:sz w:val="6"/>
    </w:rPr>
  </w:style>
  <w:style w:type="paragraph" w:styleId="CommentText">
    <w:name w:val="annotation text"/>
    <w:basedOn w:val="Normal"/>
    <w:link w:val="CommentTextChar"/>
    <w:uiPriority w:val="99"/>
    <w:semiHidden/>
    <w:rsid w:val="00CC315F"/>
    <w:pPr>
      <w:kinsoku/>
      <w:overflowPunct/>
      <w:autoSpaceDE/>
      <w:autoSpaceDN/>
      <w:adjustRightInd/>
      <w:snapToGrid/>
    </w:pPr>
    <w:rPr>
      <w:rFonts w:eastAsia="Times New Roman"/>
      <w:lang w:val="en-GB"/>
    </w:rPr>
  </w:style>
  <w:style w:type="character" w:customStyle="1" w:styleId="CommentTextChar">
    <w:name w:val="Comment Text Char"/>
    <w:basedOn w:val="DefaultParagraphFont"/>
    <w:link w:val="CommentText"/>
    <w:uiPriority w:val="99"/>
    <w:semiHidden/>
    <w:rsid w:val="00CC315F"/>
    <w:rPr>
      <w:rFonts w:ascii="Times New Roman" w:hAnsi="Times New Roman" w:cs="Times New Roman"/>
      <w:sz w:val="20"/>
      <w:szCs w:val="20"/>
      <w:lang w:val="en-GB" w:eastAsia="en-US"/>
    </w:rPr>
  </w:style>
  <w:style w:type="character" w:styleId="LineNumber">
    <w:name w:val="line number"/>
    <w:semiHidden/>
    <w:rsid w:val="00CC315F"/>
    <w:rPr>
      <w:sz w:val="14"/>
    </w:rPr>
  </w:style>
  <w:style w:type="numbering" w:styleId="111111">
    <w:name w:val="Outline List 2"/>
    <w:basedOn w:val="NoList"/>
    <w:semiHidden/>
    <w:rsid w:val="00CC315F"/>
    <w:pPr>
      <w:numPr>
        <w:numId w:val="20"/>
      </w:numPr>
    </w:pPr>
  </w:style>
  <w:style w:type="numbering" w:styleId="1ai">
    <w:name w:val="Outline List 1"/>
    <w:basedOn w:val="NoList"/>
    <w:semiHidden/>
    <w:rsid w:val="00CC315F"/>
    <w:pPr>
      <w:numPr>
        <w:numId w:val="21"/>
      </w:numPr>
    </w:pPr>
  </w:style>
  <w:style w:type="numbering" w:styleId="ArticleSection">
    <w:name w:val="Outline List 3"/>
    <w:basedOn w:val="NoList"/>
    <w:semiHidden/>
    <w:rsid w:val="00CC315F"/>
    <w:pPr>
      <w:numPr>
        <w:numId w:val="22"/>
      </w:numPr>
    </w:pPr>
  </w:style>
  <w:style w:type="paragraph" w:styleId="BodyText2">
    <w:name w:val="Body Text 2"/>
    <w:basedOn w:val="Normal"/>
    <w:link w:val="BodyText2Char"/>
    <w:semiHidden/>
    <w:rsid w:val="00CC315F"/>
    <w:pPr>
      <w:kinsoku/>
      <w:overflowPunct/>
      <w:autoSpaceDE/>
      <w:autoSpaceDN/>
      <w:adjustRightInd/>
      <w:snapToGrid/>
      <w:spacing w:after="120" w:line="480" w:lineRule="auto"/>
    </w:pPr>
    <w:rPr>
      <w:rFonts w:eastAsia="Times New Roman"/>
      <w:lang w:val="en-GB"/>
    </w:rPr>
  </w:style>
  <w:style w:type="character" w:customStyle="1" w:styleId="BodyText2Char">
    <w:name w:val="Body Text 2 Char"/>
    <w:basedOn w:val="DefaultParagraphFont"/>
    <w:link w:val="BodyText2"/>
    <w:semiHidden/>
    <w:rsid w:val="00CC315F"/>
    <w:rPr>
      <w:rFonts w:ascii="Times New Roman" w:hAnsi="Times New Roman" w:cs="Times New Roman"/>
      <w:sz w:val="20"/>
      <w:szCs w:val="20"/>
      <w:lang w:val="en-GB" w:eastAsia="en-US"/>
    </w:rPr>
  </w:style>
  <w:style w:type="paragraph" w:styleId="BodyText3">
    <w:name w:val="Body Text 3"/>
    <w:basedOn w:val="Normal"/>
    <w:link w:val="BodyText3Char"/>
    <w:semiHidden/>
    <w:rsid w:val="00CC315F"/>
    <w:pPr>
      <w:kinsoku/>
      <w:overflowPunct/>
      <w:autoSpaceDE/>
      <w:autoSpaceDN/>
      <w:adjustRightInd/>
      <w:snapToGrid/>
      <w:spacing w:after="120"/>
    </w:pPr>
    <w:rPr>
      <w:rFonts w:eastAsia="Times New Roman"/>
      <w:sz w:val="16"/>
      <w:szCs w:val="16"/>
      <w:lang w:val="en-GB"/>
    </w:rPr>
  </w:style>
  <w:style w:type="character" w:customStyle="1" w:styleId="BodyText3Char">
    <w:name w:val="Body Text 3 Char"/>
    <w:basedOn w:val="DefaultParagraphFont"/>
    <w:link w:val="BodyText3"/>
    <w:semiHidden/>
    <w:rsid w:val="00CC315F"/>
    <w:rPr>
      <w:rFonts w:ascii="Times New Roman" w:hAnsi="Times New Roman" w:cs="Times New Roman"/>
      <w:sz w:val="16"/>
      <w:szCs w:val="16"/>
      <w:lang w:val="en-GB" w:eastAsia="en-US"/>
    </w:rPr>
  </w:style>
  <w:style w:type="paragraph" w:styleId="BodyTextFirstIndent">
    <w:name w:val="Body Text First Indent"/>
    <w:basedOn w:val="BodyText"/>
    <w:link w:val="BodyTextFirstIndentChar"/>
    <w:semiHidden/>
    <w:rsid w:val="00CC315F"/>
    <w:pPr>
      <w:spacing w:after="120"/>
      <w:ind w:firstLine="210"/>
    </w:pPr>
  </w:style>
  <w:style w:type="character" w:customStyle="1" w:styleId="BodyTextFirstIndentChar">
    <w:name w:val="Body Text First Indent Char"/>
    <w:basedOn w:val="BodyTextChar"/>
    <w:link w:val="BodyTextFirstIndent"/>
    <w:semiHidden/>
    <w:rsid w:val="00CC315F"/>
    <w:rPr>
      <w:rFonts w:ascii="Times New Roman" w:hAnsi="Times New Roman" w:cs="Times New Roman"/>
      <w:sz w:val="20"/>
      <w:szCs w:val="20"/>
      <w:lang w:val="en-GB" w:eastAsia="en-US"/>
    </w:rPr>
  </w:style>
  <w:style w:type="paragraph" w:styleId="BodyTextFirstIndent2">
    <w:name w:val="Body Text First Indent 2"/>
    <w:basedOn w:val="BodyTextIndent"/>
    <w:link w:val="BodyTextFirstIndent2Char"/>
    <w:semiHidden/>
    <w:rsid w:val="00CC315F"/>
    <w:pPr>
      <w:ind w:firstLine="210"/>
    </w:pPr>
  </w:style>
  <w:style w:type="character" w:customStyle="1" w:styleId="BodyTextFirstIndent2Char">
    <w:name w:val="Body Text First Indent 2 Char"/>
    <w:basedOn w:val="BodyTextIndentChar"/>
    <w:link w:val="BodyTextFirstIndent2"/>
    <w:semiHidden/>
    <w:rsid w:val="00CC315F"/>
    <w:rPr>
      <w:rFonts w:ascii="Times New Roman" w:hAnsi="Times New Roman" w:cs="Times New Roman"/>
      <w:sz w:val="20"/>
      <w:szCs w:val="20"/>
      <w:lang w:val="en-GB" w:eastAsia="en-US"/>
    </w:rPr>
  </w:style>
  <w:style w:type="paragraph" w:styleId="BodyTextIndent2">
    <w:name w:val="Body Text Indent 2"/>
    <w:basedOn w:val="Normal"/>
    <w:link w:val="BodyTextIndent2Char"/>
    <w:semiHidden/>
    <w:rsid w:val="00CC315F"/>
    <w:pPr>
      <w:kinsoku/>
      <w:overflowPunct/>
      <w:autoSpaceDE/>
      <w:autoSpaceDN/>
      <w:adjustRightInd/>
      <w:snapToGrid/>
      <w:spacing w:after="120" w:line="480" w:lineRule="auto"/>
      <w:ind w:left="283"/>
    </w:pPr>
    <w:rPr>
      <w:rFonts w:eastAsia="Times New Roman"/>
      <w:lang w:val="en-GB"/>
    </w:rPr>
  </w:style>
  <w:style w:type="character" w:customStyle="1" w:styleId="BodyTextIndent2Char">
    <w:name w:val="Body Text Indent 2 Char"/>
    <w:basedOn w:val="DefaultParagraphFont"/>
    <w:link w:val="BodyTextIndent2"/>
    <w:semiHidden/>
    <w:rsid w:val="00CC315F"/>
    <w:rPr>
      <w:rFonts w:ascii="Times New Roman" w:hAnsi="Times New Roman" w:cs="Times New Roman"/>
      <w:sz w:val="20"/>
      <w:szCs w:val="20"/>
      <w:lang w:val="en-GB" w:eastAsia="en-US"/>
    </w:rPr>
  </w:style>
  <w:style w:type="paragraph" w:styleId="BodyTextIndent3">
    <w:name w:val="Body Text Indent 3"/>
    <w:basedOn w:val="Normal"/>
    <w:link w:val="BodyTextIndent3Char"/>
    <w:semiHidden/>
    <w:rsid w:val="00CC315F"/>
    <w:pPr>
      <w:kinsoku/>
      <w:overflowPunct/>
      <w:autoSpaceDE/>
      <w:autoSpaceDN/>
      <w:adjustRightInd/>
      <w:snapToGrid/>
      <w:spacing w:after="120"/>
      <w:ind w:left="283"/>
    </w:pPr>
    <w:rPr>
      <w:rFonts w:eastAsia="Times New Roman"/>
      <w:sz w:val="16"/>
      <w:szCs w:val="16"/>
      <w:lang w:val="en-GB"/>
    </w:rPr>
  </w:style>
  <w:style w:type="character" w:customStyle="1" w:styleId="BodyTextIndent3Char">
    <w:name w:val="Body Text Indent 3 Char"/>
    <w:basedOn w:val="DefaultParagraphFont"/>
    <w:link w:val="BodyTextIndent3"/>
    <w:semiHidden/>
    <w:rsid w:val="00CC315F"/>
    <w:rPr>
      <w:rFonts w:ascii="Times New Roman" w:hAnsi="Times New Roman" w:cs="Times New Roman"/>
      <w:sz w:val="16"/>
      <w:szCs w:val="16"/>
      <w:lang w:val="en-GB" w:eastAsia="en-US"/>
    </w:rPr>
  </w:style>
  <w:style w:type="paragraph" w:styleId="Closing">
    <w:name w:val="Closing"/>
    <w:basedOn w:val="Normal"/>
    <w:link w:val="ClosingChar"/>
    <w:semiHidden/>
    <w:rsid w:val="00CC315F"/>
    <w:pPr>
      <w:kinsoku/>
      <w:overflowPunct/>
      <w:autoSpaceDE/>
      <w:autoSpaceDN/>
      <w:adjustRightInd/>
      <w:snapToGrid/>
      <w:ind w:left="4252"/>
    </w:pPr>
    <w:rPr>
      <w:rFonts w:eastAsia="Times New Roman"/>
      <w:lang w:val="en-GB"/>
    </w:rPr>
  </w:style>
  <w:style w:type="character" w:customStyle="1" w:styleId="ClosingChar">
    <w:name w:val="Closing Char"/>
    <w:basedOn w:val="DefaultParagraphFont"/>
    <w:link w:val="Closing"/>
    <w:semiHidden/>
    <w:rsid w:val="00CC315F"/>
    <w:rPr>
      <w:rFonts w:ascii="Times New Roman" w:hAnsi="Times New Roman" w:cs="Times New Roman"/>
      <w:sz w:val="20"/>
      <w:szCs w:val="20"/>
      <w:lang w:val="en-GB" w:eastAsia="en-US"/>
    </w:rPr>
  </w:style>
  <w:style w:type="paragraph" w:styleId="Date">
    <w:name w:val="Date"/>
    <w:basedOn w:val="Normal"/>
    <w:next w:val="Normal"/>
    <w:link w:val="DateChar"/>
    <w:semiHidden/>
    <w:rsid w:val="00CC315F"/>
    <w:pPr>
      <w:kinsoku/>
      <w:overflowPunct/>
      <w:autoSpaceDE/>
      <w:autoSpaceDN/>
      <w:adjustRightInd/>
      <w:snapToGrid/>
    </w:pPr>
    <w:rPr>
      <w:rFonts w:eastAsia="Times New Roman"/>
      <w:lang w:val="en-GB"/>
    </w:rPr>
  </w:style>
  <w:style w:type="character" w:customStyle="1" w:styleId="DateChar">
    <w:name w:val="Date Char"/>
    <w:basedOn w:val="DefaultParagraphFont"/>
    <w:link w:val="Date"/>
    <w:semiHidden/>
    <w:rsid w:val="00CC315F"/>
    <w:rPr>
      <w:rFonts w:ascii="Times New Roman" w:hAnsi="Times New Roman" w:cs="Times New Roman"/>
      <w:sz w:val="20"/>
      <w:szCs w:val="20"/>
      <w:lang w:val="en-GB" w:eastAsia="en-US"/>
    </w:rPr>
  </w:style>
  <w:style w:type="paragraph" w:styleId="E-mailSignature">
    <w:name w:val="E-mail Signature"/>
    <w:basedOn w:val="Normal"/>
    <w:link w:val="E-mailSignatureChar"/>
    <w:semiHidden/>
    <w:rsid w:val="00CC315F"/>
    <w:pPr>
      <w:kinsoku/>
      <w:overflowPunct/>
      <w:autoSpaceDE/>
      <w:autoSpaceDN/>
      <w:adjustRightInd/>
      <w:snapToGrid/>
    </w:pPr>
    <w:rPr>
      <w:rFonts w:eastAsia="Times New Roman"/>
      <w:lang w:val="en-GB"/>
    </w:rPr>
  </w:style>
  <w:style w:type="character" w:customStyle="1" w:styleId="E-mailSignatureChar">
    <w:name w:val="E-mail Signature Char"/>
    <w:basedOn w:val="DefaultParagraphFont"/>
    <w:link w:val="E-mailSignature"/>
    <w:semiHidden/>
    <w:rsid w:val="00CC315F"/>
    <w:rPr>
      <w:rFonts w:ascii="Times New Roman" w:hAnsi="Times New Roman" w:cs="Times New Roman"/>
      <w:sz w:val="20"/>
      <w:szCs w:val="20"/>
      <w:lang w:val="en-GB" w:eastAsia="en-US"/>
    </w:rPr>
  </w:style>
  <w:style w:type="character" w:styleId="Emphasis">
    <w:name w:val="Emphasis"/>
    <w:qFormat/>
    <w:rsid w:val="00CC315F"/>
    <w:rPr>
      <w:i/>
      <w:iCs/>
    </w:rPr>
  </w:style>
  <w:style w:type="paragraph" w:styleId="EnvelopeReturn">
    <w:name w:val="envelope return"/>
    <w:basedOn w:val="Normal"/>
    <w:semiHidden/>
    <w:rsid w:val="00CC315F"/>
    <w:pPr>
      <w:kinsoku/>
      <w:overflowPunct/>
      <w:autoSpaceDE/>
      <w:autoSpaceDN/>
      <w:adjustRightInd/>
      <w:snapToGrid/>
    </w:pPr>
    <w:rPr>
      <w:rFonts w:ascii="Arial" w:eastAsia="Times New Roman" w:hAnsi="Arial" w:cs="Arial"/>
      <w:lang w:val="en-GB"/>
    </w:rPr>
  </w:style>
  <w:style w:type="character" w:styleId="HTMLAcronym">
    <w:name w:val="HTML Acronym"/>
    <w:basedOn w:val="DefaultParagraphFont"/>
    <w:semiHidden/>
    <w:rsid w:val="00CC315F"/>
  </w:style>
  <w:style w:type="paragraph" w:styleId="HTMLAddress">
    <w:name w:val="HTML Address"/>
    <w:basedOn w:val="Normal"/>
    <w:link w:val="HTMLAddressChar"/>
    <w:semiHidden/>
    <w:rsid w:val="00CC315F"/>
    <w:pPr>
      <w:kinsoku/>
      <w:overflowPunct/>
      <w:autoSpaceDE/>
      <w:autoSpaceDN/>
      <w:adjustRightInd/>
      <w:snapToGrid/>
    </w:pPr>
    <w:rPr>
      <w:rFonts w:eastAsia="Times New Roman"/>
      <w:i/>
      <w:iCs/>
      <w:lang w:val="en-GB"/>
    </w:rPr>
  </w:style>
  <w:style w:type="character" w:customStyle="1" w:styleId="HTMLAddressChar">
    <w:name w:val="HTML Address Char"/>
    <w:basedOn w:val="DefaultParagraphFont"/>
    <w:link w:val="HTMLAddress"/>
    <w:semiHidden/>
    <w:rsid w:val="00CC315F"/>
    <w:rPr>
      <w:rFonts w:ascii="Times New Roman" w:hAnsi="Times New Roman" w:cs="Times New Roman"/>
      <w:i/>
      <w:iCs/>
      <w:sz w:val="20"/>
      <w:szCs w:val="20"/>
      <w:lang w:val="en-GB" w:eastAsia="en-US"/>
    </w:rPr>
  </w:style>
  <w:style w:type="character" w:styleId="HTMLCite">
    <w:name w:val="HTML Cite"/>
    <w:semiHidden/>
    <w:rsid w:val="00CC315F"/>
    <w:rPr>
      <w:i/>
      <w:iCs/>
    </w:rPr>
  </w:style>
  <w:style w:type="character" w:styleId="HTMLCode">
    <w:name w:val="HTML Code"/>
    <w:semiHidden/>
    <w:rsid w:val="00CC315F"/>
    <w:rPr>
      <w:rFonts w:ascii="Courier New" w:hAnsi="Courier New" w:cs="Courier New"/>
      <w:sz w:val="20"/>
      <w:szCs w:val="20"/>
    </w:rPr>
  </w:style>
  <w:style w:type="character" w:styleId="HTMLDefinition">
    <w:name w:val="HTML Definition"/>
    <w:semiHidden/>
    <w:rsid w:val="00CC315F"/>
    <w:rPr>
      <w:i/>
      <w:iCs/>
    </w:rPr>
  </w:style>
  <w:style w:type="character" w:styleId="HTMLKeyboard">
    <w:name w:val="HTML Keyboard"/>
    <w:semiHidden/>
    <w:rsid w:val="00CC315F"/>
    <w:rPr>
      <w:rFonts w:ascii="Courier New" w:hAnsi="Courier New" w:cs="Courier New"/>
      <w:sz w:val="20"/>
      <w:szCs w:val="20"/>
    </w:rPr>
  </w:style>
  <w:style w:type="paragraph" w:styleId="HTMLPreformatted">
    <w:name w:val="HTML Preformatted"/>
    <w:basedOn w:val="Normal"/>
    <w:link w:val="HTMLPreformattedChar"/>
    <w:uiPriority w:val="99"/>
    <w:semiHidden/>
    <w:rsid w:val="00CC315F"/>
    <w:pPr>
      <w:kinsoku/>
      <w:overflowPunct/>
      <w:autoSpaceDE/>
      <w:autoSpaceDN/>
      <w:adjustRightInd/>
      <w:snapToGrid/>
    </w:pPr>
    <w:rPr>
      <w:rFonts w:ascii="Courier New" w:eastAsia="Times New Roman" w:hAnsi="Courier New" w:cs="Courier New"/>
      <w:lang w:val="en-GB"/>
    </w:rPr>
  </w:style>
  <w:style w:type="character" w:customStyle="1" w:styleId="HTMLPreformattedChar">
    <w:name w:val="HTML Preformatted Char"/>
    <w:basedOn w:val="DefaultParagraphFont"/>
    <w:link w:val="HTMLPreformatted"/>
    <w:uiPriority w:val="99"/>
    <w:semiHidden/>
    <w:rsid w:val="00CC315F"/>
    <w:rPr>
      <w:rFonts w:ascii="Courier New" w:hAnsi="Courier New" w:cs="Courier New"/>
      <w:sz w:val="20"/>
      <w:szCs w:val="20"/>
      <w:lang w:val="en-GB" w:eastAsia="en-US"/>
    </w:rPr>
  </w:style>
  <w:style w:type="character" w:styleId="HTMLSample">
    <w:name w:val="HTML Sample"/>
    <w:semiHidden/>
    <w:rsid w:val="00CC315F"/>
    <w:rPr>
      <w:rFonts w:ascii="Courier New" w:hAnsi="Courier New" w:cs="Courier New"/>
    </w:rPr>
  </w:style>
  <w:style w:type="character" w:styleId="HTMLTypewriter">
    <w:name w:val="HTML Typewriter"/>
    <w:semiHidden/>
    <w:rsid w:val="00CC315F"/>
    <w:rPr>
      <w:rFonts w:ascii="Courier New" w:hAnsi="Courier New" w:cs="Courier New"/>
      <w:sz w:val="20"/>
      <w:szCs w:val="20"/>
    </w:rPr>
  </w:style>
  <w:style w:type="character" w:styleId="HTMLVariable">
    <w:name w:val="HTML Variable"/>
    <w:semiHidden/>
    <w:rsid w:val="00CC315F"/>
    <w:rPr>
      <w:i/>
      <w:iCs/>
    </w:rPr>
  </w:style>
  <w:style w:type="paragraph" w:styleId="List">
    <w:name w:val="List"/>
    <w:basedOn w:val="Normal"/>
    <w:semiHidden/>
    <w:rsid w:val="00CC315F"/>
    <w:pPr>
      <w:kinsoku/>
      <w:overflowPunct/>
      <w:autoSpaceDE/>
      <w:autoSpaceDN/>
      <w:adjustRightInd/>
      <w:snapToGrid/>
      <w:ind w:left="283" w:hanging="283"/>
    </w:pPr>
    <w:rPr>
      <w:rFonts w:eastAsia="Times New Roman"/>
      <w:lang w:val="en-GB"/>
    </w:rPr>
  </w:style>
  <w:style w:type="paragraph" w:styleId="List2">
    <w:name w:val="List 2"/>
    <w:basedOn w:val="Normal"/>
    <w:semiHidden/>
    <w:rsid w:val="00CC315F"/>
    <w:pPr>
      <w:kinsoku/>
      <w:overflowPunct/>
      <w:autoSpaceDE/>
      <w:autoSpaceDN/>
      <w:adjustRightInd/>
      <w:snapToGrid/>
      <w:ind w:left="566" w:hanging="283"/>
    </w:pPr>
    <w:rPr>
      <w:rFonts w:eastAsia="Times New Roman"/>
      <w:lang w:val="en-GB"/>
    </w:rPr>
  </w:style>
  <w:style w:type="paragraph" w:styleId="List3">
    <w:name w:val="List 3"/>
    <w:basedOn w:val="Normal"/>
    <w:semiHidden/>
    <w:rsid w:val="00CC315F"/>
    <w:pPr>
      <w:kinsoku/>
      <w:overflowPunct/>
      <w:autoSpaceDE/>
      <w:autoSpaceDN/>
      <w:adjustRightInd/>
      <w:snapToGrid/>
      <w:ind w:left="849" w:hanging="283"/>
    </w:pPr>
    <w:rPr>
      <w:rFonts w:eastAsia="Times New Roman"/>
      <w:lang w:val="en-GB"/>
    </w:rPr>
  </w:style>
  <w:style w:type="paragraph" w:styleId="List4">
    <w:name w:val="List 4"/>
    <w:basedOn w:val="Normal"/>
    <w:semiHidden/>
    <w:rsid w:val="00CC315F"/>
    <w:pPr>
      <w:kinsoku/>
      <w:overflowPunct/>
      <w:autoSpaceDE/>
      <w:autoSpaceDN/>
      <w:adjustRightInd/>
      <w:snapToGrid/>
      <w:ind w:left="1132" w:hanging="283"/>
    </w:pPr>
    <w:rPr>
      <w:rFonts w:eastAsia="Times New Roman"/>
      <w:lang w:val="en-GB"/>
    </w:rPr>
  </w:style>
  <w:style w:type="paragraph" w:styleId="List5">
    <w:name w:val="List 5"/>
    <w:basedOn w:val="Normal"/>
    <w:semiHidden/>
    <w:rsid w:val="00CC315F"/>
    <w:pPr>
      <w:kinsoku/>
      <w:overflowPunct/>
      <w:autoSpaceDE/>
      <w:autoSpaceDN/>
      <w:adjustRightInd/>
      <w:snapToGrid/>
      <w:ind w:left="1415" w:hanging="283"/>
    </w:pPr>
    <w:rPr>
      <w:rFonts w:eastAsia="Times New Roman"/>
      <w:lang w:val="en-GB"/>
    </w:rPr>
  </w:style>
  <w:style w:type="paragraph" w:styleId="ListBullet">
    <w:name w:val="List Bullet"/>
    <w:basedOn w:val="Normal"/>
    <w:semiHidden/>
    <w:rsid w:val="00CC315F"/>
    <w:pPr>
      <w:tabs>
        <w:tab w:val="num" w:pos="360"/>
      </w:tabs>
      <w:kinsoku/>
      <w:overflowPunct/>
      <w:autoSpaceDE/>
      <w:autoSpaceDN/>
      <w:adjustRightInd/>
      <w:snapToGrid/>
      <w:ind w:left="360" w:hanging="360"/>
    </w:pPr>
    <w:rPr>
      <w:rFonts w:eastAsia="Times New Roman"/>
      <w:lang w:val="en-GB"/>
    </w:rPr>
  </w:style>
  <w:style w:type="paragraph" w:styleId="ListBullet2">
    <w:name w:val="List Bullet 2"/>
    <w:basedOn w:val="Normal"/>
    <w:semiHidden/>
    <w:rsid w:val="00CC315F"/>
    <w:pPr>
      <w:tabs>
        <w:tab w:val="num" w:pos="643"/>
      </w:tabs>
      <w:kinsoku/>
      <w:overflowPunct/>
      <w:autoSpaceDE/>
      <w:autoSpaceDN/>
      <w:adjustRightInd/>
      <w:snapToGrid/>
      <w:ind w:left="643" w:hanging="360"/>
    </w:pPr>
    <w:rPr>
      <w:rFonts w:eastAsia="Times New Roman"/>
      <w:lang w:val="en-GB"/>
    </w:rPr>
  </w:style>
  <w:style w:type="paragraph" w:styleId="ListBullet3">
    <w:name w:val="List Bullet 3"/>
    <w:basedOn w:val="Normal"/>
    <w:semiHidden/>
    <w:rsid w:val="00CC315F"/>
    <w:pPr>
      <w:tabs>
        <w:tab w:val="num" w:pos="926"/>
      </w:tabs>
      <w:kinsoku/>
      <w:overflowPunct/>
      <w:autoSpaceDE/>
      <w:autoSpaceDN/>
      <w:adjustRightInd/>
      <w:snapToGrid/>
      <w:ind w:left="926" w:hanging="360"/>
    </w:pPr>
    <w:rPr>
      <w:rFonts w:eastAsia="Times New Roman"/>
      <w:lang w:val="en-GB"/>
    </w:rPr>
  </w:style>
  <w:style w:type="paragraph" w:styleId="ListBullet4">
    <w:name w:val="List Bullet 4"/>
    <w:basedOn w:val="Normal"/>
    <w:semiHidden/>
    <w:rsid w:val="00CC315F"/>
    <w:pPr>
      <w:tabs>
        <w:tab w:val="num" w:pos="1209"/>
      </w:tabs>
      <w:kinsoku/>
      <w:overflowPunct/>
      <w:autoSpaceDE/>
      <w:autoSpaceDN/>
      <w:adjustRightInd/>
      <w:snapToGrid/>
      <w:ind w:left="1209" w:hanging="360"/>
    </w:pPr>
    <w:rPr>
      <w:rFonts w:eastAsia="Times New Roman"/>
      <w:lang w:val="en-GB"/>
    </w:rPr>
  </w:style>
  <w:style w:type="paragraph" w:styleId="ListBullet5">
    <w:name w:val="List Bullet 5"/>
    <w:basedOn w:val="Normal"/>
    <w:semiHidden/>
    <w:rsid w:val="00CC315F"/>
    <w:pPr>
      <w:tabs>
        <w:tab w:val="num" w:pos="1492"/>
      </w:tabs>
      <w:kinsoku/>
      <w:overflowPunct/>
      <w:autoSpaceDE/>
      <w:autoSpaceDN/>
      <w:adjustRightInd/>
      <w:snapToGrid/>
      <w:ind w:left="1492" w:hanging="360"/>
    </w:pPr>
    <w:rPr>
      <w:rFonts w:eastAsia="Times New Roman"/>
      <w:lang w:val="en-GB"/>
    </w:rPr>
  </w:style>
  <w:style w:type="paragraph" w:styleId="ListContinue">
    <w:name w:val="List Continue"/>
    <w:basedOn w:val="Normal"/>
    <w:semiHidden/>
    <w:rsid w:val="00CC315F"/>
    <w:pPr>
      <w:kinsoku/>
      <w:overflowPunct/>
      <w:autoSpaceDE/>
      <w:autoSpaceDN/>
      <w:adjustRightInd/>
      <w:snapToGrid/>
      <w:spacing w:after="120"/>
      <w:ind w:left="283"/>
    </w:pPr>
    <w:rPr>
      <w:rFonts w:eastAsia="Times New Roman"/>
      <w:lang w:val="en-GB"/>
    </w:rPr>
  </w:style>
  <w:style w:type="paragraph" w:styleId="ListContinue2">
    <w:name w:val="List Continue 2"/>
    <w:basedOn w:val="Normal"/>
    <w:semiHidden/>
    <w:rsid w:val="00CC315F"/>
    <w:pPr>
      <w:kinsoku/>
      <w:overflowPunct/>
      <w:autoSpaceDE/>
      <w:autoSpaceDN/>
      <w:adjustRightInd/>
      <w:snapToGrid/>
      <w:spacing w:after="120"/>
      <w:ind w:left="566"/>
    </w:pPr>
    <w:rPr>
      <w:rFonts w:eastAsia="Times New Roman"/>
      <w:lang w:val="en-GB"/>
    </w:rPr>
  </w:style>
  <w:style w:type="paragraph" w:styleId="ListContinue3">
    <w:name w:val="List Continue 3"/>
    <w:basedOn w:val="Normal"/>
    <w:semiHidden/>
    <w:rsid w:val="00CC315F"/>
    <w:pPr>
      <w:kinsoku/>
      <w:overflowPunct/>
      <w:autoSpaceDE/>
      <w:autoSpaceDN/>
      <w:adjustRightInd/>
      <w:snapToGrid/>
      <w:spacing w:after="120"/>
      <w:ind w:left="849"/>
    </w:pPr>
    <w:rPr>
      <w:rFonts w:eastAsia="Times New Roman"/>
      <w:lang w:val="en-GB"/>
    </w:rPr>
  </w:style>
  <w:style w:type="paragraph" w:styleId="ListContinue4">
    <w:name w:val="List Continue 4"/>
    <w:basedOn w:val="Normal"/>
    <w:semiHidden/>
    <w:rsid w:val="00CC315F"/>
    <w:pPr>
      <w:kinsoku/>
      <w:overflowPunct/>
      <w:autoSpaceDE/>
      <w:autoSpaceDN/>
      <w:adjustRightInd/>
      <w:snapToGrid/>
      <w:spacing w:after="120"/>
      <w:ind w:left="1132"/>
    </w:pPr>
    <w:rPr>
      <w:rFonts w:eastAsia="Times New Roman"/>
      <w:lang w:val="en-GB"/>
    </w:rPr>
  </w:style>
  <w:style w:type="paragraph" w:styleId="ListContinue5">
    <w:name w:val="List Continue 5"/>
    <w:basedOn w:val="Normal"/>
    <w:semiHidden/>
    <w:rsid w:val="00CC315F"/>
    <w:pPr>
      <w:kinsoku/>
      <w:overflowPunct/>
      <w:autoSpaceDE/>
      <w:autoSpaceDN/>
      <w:adjustRightInd/>
      <w:snapToGrid/>
      <w:spacing w:after="120"/>
      <w:ind w:left="1415"/>
    </w:pPr>
    <w:rPr>
      <w:rFonts w:eastAsia="Times New Roman"/>
      <w:lang w:val="en-GB"/>
    </w:rPr>
  </w:style>
  <w:style w:type="paragraph" w:styleId="ListNumber">
    <w:name w:val="List Number"/>
    <w:basedOn w:val="Normal"/>
    <w:semiHidden/>
    <w:rsid w:val="00CC315F"/>
    <w:pPr>
      <w:tabs>
        <w:tab w:val="num" w:pos="360"/>
      </w:tabs>
      <w:kinsoku/>
      <w:overflowPunct/>
      <w:autoSpaceDE/>
      <w:autoSpaceDN/>
      <w:adjustRightInd/>
      <w:snapToGrid/>
      <w:ind w:left="360" w:hanging="360"/>
    </w:pPr>
    <w:rPr>
      <w:rFonts w:eastAsia="Times New Roman"/>
      <w:lang w:val="en-GB"/>
    </w:rPr>
  </w:style>
  <w:style w:type="paragraph" w:styleId="ListNumber2">
    <w:name w:val="List Number 2"/>
    <w:basedOn w:val="Normal"/>
    <w:semiHidden/>
    <w:rsid w:val="00CC315F"/>
    <w:pPr>
      <w:tabs>
        <w:tab w:val="num" w:pos="643"/>
      </w:tabs>
      <w:kinsoku/>
      <w:overflowPunct/>
      <w:autoSpaceDE/>
      <w:autoSpaceDN/>
      <w:adjustRightInd/>
      <w:snapToGrid/>
      <w:ind w:left="643" w:hanging="360"/>
    </w:pPr>
    <w:rPr>
      <w:rFonts w:eastAsia="Times New Roman"/>
      <w:lang w:val="en-GB"/>
    </w:rPr>
  </w:style>
  <w:style w:type="paragraph" w:styleId="ListNumber3">
    <w:name w:val="List Number 3"/>
    <w:basedOn w:val="Normal"/>
    <w:semiHidden/>
    <w:rsid w:val="00CC315F"/>
    <w:pPr>
      <w:tabs>
        <w:tab w:val="num" w:pos="926"/>
      </w:tabs>
      <w:kinsoku/>
      <w:overflowPunct/>
      <w:autoSpaceDE/>
      <w:autoSpaceDN/>
      <w:adjustRightInd/>
      <w:snapToGrid/>
      <w:ind w:left="926" w:hanging="360"/>
    </w:pPr>
    <w:rPr>
      <w:rFonts w:eastAsia="Times New Roman"/>
      <w:lang w:val="en-GB"/>
    </w:rPr>
  </w:style>
  <w:style w:type="paragraph" w:styleId="ListNumber4">
    <w:name w:val="List Number 4"/>
    <w:basedOn w:val="Normal"/>
    <w:semiHidden/>
    <w:rsid w:val="00CC315F"/>
    <w:pPr>
      <w:tabs>
        <w:tab w:val="num" w:pos="1209"/>
      </w:tabs>
      <w:kinsoku/>
      <w:overflowPunct/>
      <w:autoSpaceDE/>
      <w:autoSpaceDN/>
      <w:adjustRightInd/>
      <w:snapToGrid/>
      <w:ind w:left="1209" w:hanging="360"/>
    </w:pPr>
    <w:rPr>
      <w:rFonts w:eastAsia="Times New Roman"/>
      <w:lang w:val="en-GB"/>
    </w:rPr>
  </w:style>
  <w:style w:type="paragraph" w:styleId="ListNumber5">
    <w:name w:val="List Number 5"/>
    <w:basedOn w:val="Normal"/>
    <w:semiHidden/>
    <w:rsid w:val="00CC315F"/>
    <w:pPr>
      <w:tabs>
        <w:tab w:val="num" w:pos="1492"/>
      </w:tabs>
      <w:kinsoku/>
      <w:overflowPunct/>
      <w:autoSpaceDE/>
      <w:autoSpaceDN/>
      <w:adjustRightInd/>
      <w:snapToGrid/>
      <w:ind w:left="1492" w:hanging="360"/>
    </w:pPr>
    <w:rPr>
      <w:rFonts w:eastAsia="Times New Roman"/>
      <w:lang w:val="en-GB"/>
    </w:rPr>
  </w:style>
  <w:style w:type="paragraph" w:styleId="MessageHeader">
    <w:name w:val="Message Header"/>
    <w:basedOn w:val="Normal"/>
    <w:link w:val="MessageHeaderChar"/>
    <w:semiHidden/>
    <w:rsid w:val="00CC315F"/>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CC315F"/>
    <w:rPr>
      <w:rFonts w:ascii="Arial" w:hAnsi="Arial" w:cs="Arial"/>
      <w:sz w:val="24"/>
      <w:szCs w:val="24"/>
      <w:shd w:val="pct20" w:color="auto" w:fill="auto"/>
      <w:lang w:val="en-GB" w:eastAsia="en-US"/>
    </w:rPr>
  </w:style>
  <w:style w:type="paragraph" w:styleId="NormalWeb">
    <w:name w:val="Normal (Web)"/>
    <w:basedOn w:val="Normal"/>
    <w:semiHidden/>
    <w:rsid w:val="00CC315F"/>
    <w:pPr>
      <w:kinsoku/>
      <w:overflowPunct/>
      <w:autoSpaceDE/>
      <w:autoSpaceDN/>
      <w:adjustRightInd/>
      <w:snapToGrid/>
    </w:pPr>
    <w:rPr>
      <w:rFonts w:eastAsia="Times New Roman"/>
      <w:sz w:val="24"/>
      <w:szCs w:val="24"/>
      <w:lang w:val="en-GB"/>
    </w:rPr>
  </w:style>
  <w:style w:type="paragraph" w:styleId="NormalIndent">
    <w:name w:val="Normal Indent"/>
    <w:basedOn w:val="Normal"/>
    <w:semiHidden/>
    <w:rsid w:val="00CC315F"/>
    <w:pPr>
      <w:kinsoku/>
      <w:overflowPunct/>
      <w:autoSpaceDE/>
      <w:autoSpaceDN/>
      <w:adjustRightInd/>
      <w:snapToGrid/>
      <w:ind w:left="567"/>
    </w:pPr>
    <w:rPr>
      <w:rFonts w:eastAsia="Times New Roman"/>
      <w:lang w:val="en-GB"/>
    </w:rPr>
  </w:style>
  <w:style w:type="paragraph" w:styleId="NoteHeading">
    <w:name w:val="Note Heading"/>
    <w:basedOn w:val="Normal"/>
    <w:next w:val="Normal"/>
    <w:link w:val="NoteHeadingChar"/>
    <w:semiHidden/>
    <w:rsid w:val="00CC315F"/>
    <w:pPr>
      <w:kinsoku/>
      <w:overflowPunct/>
      <w:autoSpaceDE/>
      <w:autoSpaceDN/>
      <w:adjustRightInd/>
      <w:snapToGrid/>
    </w:pPr>
    <w:rPr>
      <w:rFonts w:eastAsia="Times New Roman"/>
      <w:lang w:val="en-GB"/>
    </w:rPr>
  </w:style>
  <w:style w:type="character" w:customStyle="1" w:styleId="NoteHeadingChar">
    <w:name w:val="Note Heading Char"/>
    <w:basedOn w:val="DefaultParagraphFont"/>
    <w:link w:val="NoteHeading"/>
    <w:semiHidden/>
    <w:rsid w:val="00CC315F"/>
    <w:rPr>
      <w:rFonts w:ascii="Times New Roman" w:hAnsi="Times New Roman" w:cs="Times New Roman"/>
      <w:sz w:val="20"/>
      <w:szCs w:val="20"/>
      <w:lang w:val="en-GB" w:eastAsia="en-US"/>
    </w:rPr>
  </w:style>
  <w:style w:type="paragraph" w:styleId="Salutation">
    <w:name w:val="Salutation"/>
    <w:basedOn w:val="Normal"/>
    <w:next w:val="Normal"/>
    <w:link w:val="SalutationChar"/>
    <w:semiHidden/>
    <w:rsid w:val="00CC315F"/>
    <w:pPr>
      <w:kinsoku/>
      <w:overflowPunct/>
      <w:autoSpaceDE/>
      <w:autoSpaceDN/>
      <w:adjustRightInd/>
      <w:snapToGrid/>
    </w:pPr>
    <w:rPr>
      <w:rFonts w:eastAsia="Times New Roman"/>
      <w:lang w:val="en-GB"/>
    </w:rPr>
  </w:style>
  <w:style w:type="character" w:customStyle="1" w:styleId="SalutationChar">
    <w:name w:val="Salutation Char"/>
    <w:basedOn w:val="DefaultParagraphFont"/>
    <w:link w:val="Salutation"/>
    <w:semiHidden/>
    <w:rsid w:val="00CC315F"/>
    <w:rPr>
      <w:rFonts w:ascii="Times New Roman" w:hAnsi="Times New Roman" w:cs="Times New Roman"/>
      <w:sz w:val="20"/>
      <w:szCs w:val="20"/>
      <w:lang w:val="en-GB" w:eastAsia="en-US"/>
    </w:rPr>
  </w:style>
  <w:style w:type="paragraph" w:styleId="Signature">
    <w:name w:val="Signature"/>
    <w:basedOn w:val="Normal"/>
    <w:link w:val="SignatureChar"/>
    <w:semiHidden/>
    <w:rsid w:val="00CC315F"/>
    <w:pPr>
      <w:kinsoku/>
      <w:overflowPunct/>
      <w:autoSpaceDE/>
      <w:autoSpaceDN/>
      <w:adjustRightInd/>
      <w:snapToGrid/>
      <w:ind w:left="4252"/>
    </w:pPr>
    <w:rPr>
      <w:rFonts w:eastAsia="Times New Roman"/>
      <w:lang w:val="en-GB"/>
    </w:rPr>
  </w:style>
  <w:style w:type="character" w:customStyle="1" w:styleId="SignatureChar">
    <w:name w:val="Signature Char"/>
    <w:basedOn w:val="DefaultParagraphFont"/>
    <w:link w:val="Signature"/>
    <w:semiHidden/>
    <w:rsid w:val="00CC315F"/>
    <w:rPr>
      <w:rFonts w:ascii="Times New Roman" w:hAnsi="Times New Roman" w:cs="Times New Roman"/>
      <w:sz w:val="20"/>
      <w:szCs w:val="20"/>
      <w:lang w:val="en-GB" w:eastAsia="en-US"/>
    </w:rPr>
  </w:style>
  <w:style w:type="character" w:styleId="Strong">
    <w:name w:val="Strong"/>
    <w:rsid w:val="00CC315F"/>
    <w:rPr>
      <w:b/>
      <w:bCs/>
    </w:rPr>
  </w:style>
  <w:style w:type="paragraph" w:styleId="Subtitle">
    <w:name w:val="Subtitle"/>
    <w:basedOn w:val="Normal"/>
    <w:link w:val="SubtitleChar"/>
    <w:rsid w:val="00CC315F"/>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CC315F"/>
    <w:rPr>
      <w:rFonts w:ascii="Arial" w:hAnsi="Arial" w:cs="Arial"/>
      <w:sz w:val="24"/>
      <w:szCs w:val="24"/>
      <w:lang w:val="en-GB" w:eastAsia="en-US"/>
    </w:rPr>
  </w:style>
  <w:style w:type="table" w:styleId="Table3Deffects1">
    <w:name w:val="Table 3D effects 1"/>
    <w:basedOn w:val="TableNormal"/>
    <w:semiHidden/>
    <w:rsid w:val="00CC315F"/>
    <w:pPr>
      <w:suppressAutoHyphens/>
      <w:spacing w:after="0" w:line="240" w:lineRule="atLeast"/>
    </w:pPr>
    <w:rPr>
      <w:rFonts w:ascii="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315F"/>
    <w:pPr>
      <w:suppressAutoHyphens/>
      <w:spacing w:after="0" w:line="240" w:lineRule="atLeast"/>
    </w:pPr>
    <w:rPr>
      <w:rFonts w:ascii="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315F"/>
    <w:pPr>
      <w:suppressAutoHyphens/>
      <w:spacing w:after="0" w:line="240" w:lineRule="atLeast"/>
    </w:pPr>
    <w:rPr>
      <w:rFonts w:ascii="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C315F"/>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315F"/>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315F"/>
    <w:pPr>
      <w:suppressAutoHyphens/>
      <w:spacing w:after="0" w:line="240" w:lineRule="atLeast"/>
    </w:pPr>
    <w:rPr>
      <w:rFonts w:ascii="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315F"/>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315F"/>
    <w:pPr>
      <w:suppressAutoHyphens/>
      <w:spacing w:after="0" w:line="240" w:lineRule="atLeast"/>
    </w:pPr>
    <w:rPr>
      <w:rFonts w:ascii="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315F"/>
    <w:pPr>
      <w:suppressAutoHyphens/>
      <w:spacing w:after="0" w:line="240" w:lineRule="atLeast"/>
    </w:pPr>
    <w:rPr>
      <w:rFonts w:ascii="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315F"/>
    <w:pPr>
      <w:suppressAutoHyphens/>
      <w:spacing w:after="0" w:line="240" w:lineRule="atLeast"/>
    </w:pPr>
    <w:rPr>
      <w:rFonts w:ascii="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315F"/>
    <w:pPr>
      <w:suppressAutoHyphens/>
      <w:spacing w:after="0" w:line="240" w:lineRule="atLeast"/>
    </w:pPr>
    <w:rPr>
      <w:rFonts w:ascii="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315F"/>
    <w:pPr>
      <w:suppressAutoHyphens/>
      <w:spacing w:after="0" w:line="240" w:lineRule="atLeast"/>
    </w:pPr>
    <w:rPr>
      <w:rFonts w:ascii="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315F"/>
    <w:pPr>
      <w:suppressAutoHyphens/>
      <w:spacing w:after="0" w:line="240" w:lineRule="atLeast"/>
    </w:pPr>
    <w:rPr>
      <w:rFonts w:ascii="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315F"/>
    <w:pPr>
      <w:suppressAutoHyphens/>
      <w:spacing w:after="0" w:line="240" w:lineRule="atLeast"/>
    </w:pPr>
    <w:rPr>
      <w:rFonts w:ascii="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315F"/>
    <w:pPr>
      <w:suppressAutoHyphens/>
      <w:spacing w:after="0" w:line="240" w:lineRule="atLeast"/>
    </w:pPr>
    <w:rPr>
      <w:rFonts w:ascii="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C315F"/>
    <w:pPr>
      <w:suppressAutoHyphens/>
      <w:spacing w:after="0" w:line="240" w:lineRule="atLeast"/>
    </w:pPr>
    <w:rPr>
      <w:rFonts w:ascii="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315F"/>
    <w:pPr>
      <w:suppressAutoHyphens/>
      <w:spacing w:after="0" w:line="240" w:lineRule="atLeast"/>
    </w:pPr>
    <w:rPr>
      <w:rFonts w:ascii="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C315F"/>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315F"/>
    <w:pPr>
      <w:suppressAutoHyphens/>
      <w:spacing w:after="0" w:line="240" w:lineRule="atLeast"/>
    </w:pPr>
    <w:rPr>
      <w:rFonts w:ascii="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315F"/>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315F"/>
    <w:pPr>
      <w:suppressAutoHyphens/>
      <w:spacing w:after="0" w:line="240" w:lineRule="atLeast"/>
    </w:pPr>
    <w:rPr>
      <w:rFonts w:ascii="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315F"/>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315F"/>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315F"/>
    <w:pPr>
      <w:suppressAutoHyphens/>
      <w:spacing w:after="0" w:line="240" w:lineRule="atLeast"/>
    </w:pPr>
    <w:rPr>
      <w:rFonts w:ascii="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315F"/>
    <w:pPr>
      <w:suppressAutoHyphens/>
      <w:spacing w:after="0" w:line="240" w:lineRule="atLeast"/>
    </w:pPr>
    <w:rPr>
      <w:rFonts w:ascii="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315F"/>
    <w:pPr>
      <w:suppressAutoHyphens/>
      <w:spacing w:after="0" w:line="240" w:lineRule="atLeast"/>
    </w:pPr>
    <w:rPr>
      <w:rFonts w:ascii="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315F"/>
    <w:pPr>
      <w:suppressAutoHyphens/>
      <w:spacing w:after="0" w:line="240" w:lineRule="atLeast"/>
    </w:pPr>
    <w:rPr>
      <w:rFonts w:ascii="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315F"/>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315F"/>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315F"/>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315F"/>
    <w:pPr>
      <w:suppressAutoHyphens/>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315F"/>
    <w:pPr>
      <w:suppressAutoHyphens/>
      <w:spacing w:after="0" w:line="240" w:lineRule="atLeast"/>
    </w:pPr>
    <w:rPr>
      <w:rFonts w:ascii="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315F"/>
    <w:pPr>
      <w:suppressAutoHyphens/>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C315F"/>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C315F"/>
    <w:pPr>
      <w:suppressAutoHyphens/>
      <w:spacing w:after="0" w:line="240" w:lineRule="atLeast"/>
    </w:pPr>
    <w:rPr>
      <w:rFonts w:ascii="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315F"/>
    <w:pPr>
      <w:suppressAutoHyphens/>
      <w:spacing w:after="0" w:line="240" w:lineRule="atLeast"/>
    </w:pPr>
    <w:rPr>
      <w:rFonts w:ascii="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315F"/>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315F"/>
    <w:pPr>
      <w:suppressAutoHyphens/>
      <w:spacing w:after="0" w:line="240" w:lineRule="atLeast"/>
    </w:pPr>
    <w:rPr>
      <w:rFonts w:ascii="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315F"/>
    <w:pPr>
      <w:suppressAutoHyphens/>
      <w:spacing w:after="0" w:line="240" w:lineRule="atLeast"/>
    </w:pPr>
    <w:rPr>
      <w:rFonts w:ascii="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C315F"/>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C315F"/>
    <w:pPr>
      <w:suppressAutoHyphens/>
      <w:spacing w:after="0" w:line="240" w:lineRule="atLeast"/>
    </w:pPr>
    <w:rPr>
      <w:rFonts w:ascii="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315F"/>
    <w:pPr>
      <w:suppressAutoHyphens/>
      <w:spacing w:after="0" w:line="240" w:lineRule="atLeast"/>
    </w:pPr>
    <w:rPr>
      <w:rFonts w:ascii="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C315F"/>
    <w:pPr>
      <w:suppressAutoHyphens/>
      <w:spacing w:after="0" w:line="240" w:lineRule="atLeast"/>
    </w:pPr>
    <w:rPr>
      <w:rFonts w:ascii="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rsid w:val="00CC315F"/>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CC315F"/>
    <w:rPr>
      <w:rFonts w:ascii="Arial" w:hAnsi="Arial" w:cs="Arial"/>
      <w:b/>
      <w:bCs/>
      <w:kern w:val="28"/>
      <w:sz w:val="32"/>
      <w:szCs w:val="32"/>
      <w:lang w:val="en-GB" w:eastAsia="en-US"/>
    </w:rPr>
  </w:style>
  <w:style w:type="paragraph" w:styleId="EnvelopeAddress">
    <w:name w:val="envelope address"/>
    <w:basedOn w:val="Normal"/>
    <w:semiHidden/>
    <w:rsid w:val="00CC315F"/>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paragraph" w:styleId="DocumentMap">
    <w:name w:val="Document Map"/>
    <w:basedOn w:val="Normal"/>
    <w:link w:val="DocumentMapChar"/>
    <w:semiHidden/>
    <w:rsid w:val="00CC315F"/>
    <w:pPr>
      <w:shd w:val="clear" w:color="auto" w:fill="000080"/>
      <w:kinsoku/>
      <w:overflowPunct/>
      <w:autoSpaceDE/>
      <w:autoSpaceDN/>
      <w:adjustRightInd/>
      <w:snapToGrid/>
    </w:pPr>
    <w:rPr>
      <w:rFonts w:ascii="Tahoma" w:eastAsia="Times New Roman" w:hAnsi="Tahoma" w:cs="Tahoma"/>
      <w:lang w:val="en-GB"/>
    </w:rPr>
  </w:style>
  <w:style w:type="character" w:customStyle="1" w:styleId="DocumentMapChar">
    <w:name w:val="Document Map Char"/>
    <w:basedOn w:val="DefaultParagraphFont"/>
    <w:link w:val="DocumentMap"/>
    <w:semiHidden/>
    <w:rsid w:val="00CC315F"/>
    <w:rPr>
      <w:rFonts w:ascii="Tahoma" w:hAnsi="Tahoma" w:cs="Tahoma"/>
      <w:sz w:val="20"/>
      <w:szCs w:val="20"/>
      <w:shd w:val="clear" w:color="auto" w:fill="000080"/>
      <w:lang w:val="en-GB" w:eastAsia="en-US"/>
    </w:rPr>
  </w:style>
  <w:style w:type="character" w:customStyle="1" w:styleId="SingleTxtGChar">
    <w:name w:val="_ Single Txt_G Char"/>
    <w:link w:val="SingleTxtG"/>
    <w:qFormat/>
    <w:rsid w:val="00CC315F"/>
    <w:rPr>
      <w:rFonts w:ascii="Times New Roman" w:eastAsiaTheme="minorHAnsi" w:hAnsi="Times New Roman" w:cs="Times New Roman"/>
      <w:sz w:val="20"/>
      <w:szCs w:val="20"/>
      <w:lang w:eastAsia="en-US"/>
    </w:rPr>
  </w:style>
  <w:style w:type="character" w:customStyle="1" w:styleId="H1GChar">
    <w:name w:val="_ H_1_G Char"/>
    <w:link w:val="H1G"/>
    <w:rsid w:val="00CC315F"/>
    <w:rPr>
      <w:rFonts w:ascii="Times New Roman" w:eastAsiaTheme="minorHAnsi" w:hAnsi="Times New Roman" w:cs="Times New Roman"/>
      <w:b/>
      <w:sz w:val="24"/>
      <w:szCs w:val="20"/>
      <w:lang w:eastAsia="en-US"/>
    </w:rPr>
  </w:style>
  <w:style w:type="paragraph" w:customStyle="1" w:styleId="Rom2">
    <w:name w:val="Rom2"/>
    <w:basedOn w:val="SingleTxtG"/>
    <w:semiHidden/>
    <w:rsid w:val="00CC315F"/>
    <w:pPr>
      <w:kinsoku/>
      <w:overflowPunct/>
      <w:autoSpaceDE/>
      <w:autoSpaceDN/>
      <w:adjustRightInd/>
      <w:snapToGrid/>
      <w:ind w:left="2835" w:hanging="397"/>
    </w:pPr>
    <w:rPr>
      <w:rFonts w:eastAsia="Times New Roman"/>
    </w:rPr>
  </w:style>
  <w:style w:type="table" w:customStyle="1" w:styleId="TableGrid10">
    <w:name w:val="Table Grid1"/>
    <w:basedOn w:val="TableNormal"/>
    <w:next w:val="TableGrid"/>
    <w:semiHidden/>
    <w:rsid w:val="00CC315F"/>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NormaltextSpalte">
    <w:name w:val="Normaltext Spalte"/>
    <w:basedOn w:val="Normal"/>
    <w:rsid w:val="00CC315F"/>
    <w:pPr>
      <w:tabs>
        <w:tab w:val="left" w:pos="425"/>
        <w:tab w:val="left" w:pos="851"/>
        <w:tab w:val="left" w:pos="1276"/>
      </w:tabs>
      <w:suppressAutoHyphens w:val="0"/>
      <w:kinsoku/>
      <w:overflowPunct/>
      <w:autoSpaceDE/>
      <w:autoSpaceDN/>
      <w:adjustRightInd/>
      <w:snapToGrid/>
      <w:spacing w:before="180" w:line="240" w:lineRule="auto"/>
      <w:jc w:val="both"/>
    </w:pPr>
    <w:rPr>
      <w:rFonts w:ascii="Arial" w:eastAsia="Times New Roman" w:hAnsi="Arial"/>
      <w:color w:val="000000"/>
      <w:sz w:val="18"/>
      <w:lang w:val="de-DE" w:eastAsia="de-DE"/>
    </w:rPr>
  </w:style>
  <w:style w:type="character" w:customStyle="1" w:styleId="SingleTxtGCar">
    <w:name w:val="_ Single Txt_G Car"/>
    <w:rsid w:val="00CC315F"/>
    <w:rPr>
      <w:lang w:val="fr-CH" w:eastAsia="en-US" w:bidi="ar-SA"/>
    </w:rPr>
  </w:style>
  <w:style w:type="character" w:customStyle="1" w:styleId="H23GChar">
    <w:name w:val="_ H_2/3_G Char"/>
    <w:link w:val="H23G"/>
    <w:locked/>
    <w:rsid w:val="00CC315F"/>
    <w:rPr>
      <w:rFonts w:ascii="Times New Roman" w:eastAsiaTheme="minorHAnsi" w:hAnsi="Times New Roman" w:cs="Times New Roman"/>
      <w:b/>
      <w:sz w:val="20"/>
      <w:szCs w:val="20"/>
      <w:lang w:eastAsia="en-US"/>
    </w:rPr>
  </w:style>
  <w:style w:type="paragraph" w:customStyle="1" w:styleId="Default">
    <w:name w:val="Default"/>
    <w:rsid w:val="00CC315F"/>
    <w:pPr>
      <w:autoSpaceDE w:val="0"/>
      <w:autoSpaceDN w:val="0"/>
      <w:adjustRightInd w:val="0"/>
      <w:spacing w:after="0" w:line="240" w:lineRule="auto"/>
    </w:pPr>
    <w:rPr>
      <w:rFonts w:ascii="Arial" w:hAnsi="Arial" w:cs="Arial"/>
      <w:color w:val="000000"/>
      <w:sz w:val="24"/>
      <w:szCs w:val="24"/>
      <w:lang w:val="en-US" w:eastAsia="fr-FR"/>
    </w:rPr>
  </w:style>
  <w:style w:type="paragraph" w:styleId="CommentSubject">
    <w:name w:val="annotation subject"/>
    <w:basedOn w:val="CommentText"/>
    <w:next w:val="CommentText"/>
    <w:link w:val="CommentSubjectChar"/>
    <w:uiPriority w:val="99"/>
    <w:semiHidden/>
    <w:unhideWhenUsed/>
    <w:rsid w:val="00CC315F"/>
    <w:pPr>
      <w:spacing w:line="240" w:lineRule="auto"/>
    </w:pPr>
    <w:rPr>
      <w:b/>
      <w:bCs/>
    </w:rPr>
  </w:style>
  <w:style w:type="character" w:customStyle="1" w:styleId="CommentSubjectChar">
    <w:name w:val="Comment Subject Char"/>
    <w:basedOn w:val="CommentTextChar"/>
    <w:link w:val="CommentSubject"/>
    <w:uiPriority w:val="99"/>
    <w:semiHidden/>
    <w:rsid w:val="00CC315F"/>
    <w:rPr>
      <w:rFonts w:ascii="Times New Roman" w:hAnsi="Times New Roman" w:cs="Times New Roman"/>
      <w:b/>
      <w:bCs/>
      <w:sz w:val="20"/>
      <w:szCs w:val="20"/>
      <w:lang w:val="en-GB" w:eastAsia="en-US"/>
    </w:rPr>
  </w:style>
  <w:style w:type="paragraph" w:styleId="Revision">
    <w:name w:val="Revision"/>
    <w:hidden/>
    <w:uiPriority w:val="99"/>
    <w:semiHidden/>
    <w:rsid w:val="00CC315F"/>
    <w:pPr>
      <w:spacing w:after="0" w:line="240" w:lineRule="auto"/>
    </w:pPr>
    <w:rPr>
      <w:rFonts w:ascii="Times New Roman" w:hAnsi="Times New Roman" w:cs="Times New Roman"/>
      <w:sz w:val="20"/>
      <w:szCs w:val="20"/>
      <w:lang w:val="en-GB" w:eastAsia="en-US"/>
    </w:rPr>
  </w:style>
  <w:style w:type="character" w:customStyle="1" w:styleId="st">
    <w:name w:val="st"/>
    <w:basedOn w:val="DefaultParagraphFont"/>
    <w:rsid w:val="00CC315F"/>
  </w:style>
  <w:style w:type="paragraph" w:customStyle="1" w:styleId="SingleTxt">
    <w:name w:val="__Single Txt"/>
    <w:basedOn w:val="Normal"/>
    <w:uiPriority w:val="99"/>
    <w:rsid w:val="00CC315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rFonts w:eastAsia="Times New Roman"/>
      <w:spacing w:val="4"/>
      <w:w w:val="103"/>
      <w:kern w:val="14"/>
      <w:szCs w:val="22"/>
      <w:lang w:val="fr-CA"/>
    </w:rPr>
  </w:style>
  <w:style w:type="character" w:customStyle="1" w:styleId="CCMCvariableitalic">
    <w:name w:val="CCMCvariable_italic"/>
    <w:uiPriority w:val="99"/>
    <w:rsid w:val="00CC315F"/>
    <w:rPr>
      <w:rFonts w:ascii="Times New Roman" w:hAnsi="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lex.europa.eu/oj/direct-acces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9CD77-CB18-416E-B5E0-D1B3FACE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24</Pages>
  <Words>8284</Words>
  <Characters>47219</Characters>
  <Application>Microsoft Office Word</Application>
  <DocSecurity>0</DocSecurity>
  <Lines>393</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ECE/TRANS/WP.15/AC.1/150</vt:lpstr>
      <vt:lpstr>ECE/TRANS/WP.15/AC.1/150</vt:lpstr>
    </vt:vector>
  </TitlesOfParts>
  <Company>DCM</Company>
  <LinksUpToDate>false</LinksUpToDate>
  <CharactersWithSpaces>55393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ECE/TRANS/WP.15/AC.1/150</dc:title>
  <dc:subject/>
  <dc:creator>Corinne ROBERT</dc:creator>
  <cp:keywords/>
  <cp:lastModifiedBy>Rosa Garcia Couto</cp:lastModifiedBy>
  <cp:revision>26</cp:revision>
  <cp:lastPrinted>2018-10-16T15:00:00Z</cp:lastPrinted>
  <dcterms:created xsi:type="dcterms:W3CDTF">2018-07-31T06:20:00Z</dcterms:created>
  <dcterms:modified xsi:type="dcterms:W3CDTF">2018-10-17T15:31:00Z</dcterms:modified>
</cp:coreProperties>
</file>