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14:paraId="3A797DD5" w14:textId="77777777" w:rsidTr="00B11BB4">
        <w:trPr>
          <w:cantSplit/>
          <w:trHeight w:hRule="exact" w:val="851"/>
        </w:trPr>
        <w:tc>
          <w:tcPr>
            <w:tcW w:w="1276" w:type="dxa"/>
            <w:tcBorders>
              <w:bottom w:val="single" w:sz="4" w:space="0" w:color="auto"/>
            </w:tcBorders>
            <w:shd w:val="clear" w:color="auto" w:fill="auto"/>
            <w:vAlign w:val="bottom"/>
          </w:tcPr>
          <w:p w14:paraId="32C9556A" w14:textId="77777777" w:rsidR="00B56E9C" w:rsidRPr="008268C5" w:rsidRDefault="00B56E9C" w:rsidP="00B11BB4">
            <w:pPr>
              <w:spacing w:after="80"/>
            </w:pPr>
          </w:p>
        </w:tc>
        <w:tc>
          <w:tcPr>
            <w:tcW w:w="2268" w:type="dxa"/>
            <w:tcBorders>
              <w:bottom w:val="single" w:sz="4" w:space="0" w:color="auto"/>
            </w:tcBorders>
            <w:shd w:val="clear" w:color="auto" w:fill="auto"/>
            <w:vAlign w:val="bottom"/>
          </w:tcPr>
          <w:p w14:paraId="70DE8C43" w14:textId="77777777"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24B7CE7E" w14:textId="20154456" w:rsidR="00B56E9C" w:rsidRPr="008268C5" w:rsidRDefault="00CD57D2" w:rsidP="00282853">
            <w:pPr>
              <w:suppressAutoHyphens w:val="0"/>
              <w:spacing w:after="20"/>
              <w:jc w:val="right"/>
              <w:rPr>
                <w:b/>
                <w:sz w:val="28"/>
                <w:szCs w:val="28"/>
              </w:rPr>
            </w:pPr>
            <w:r w:rsidRPr="008268C5">
              <w:rPr>
                <w:b/>
                <w:sz w:val="28"/>
                <w:szCs w:val="28"/>
              </w:rPr>
              <w:t>INF.</w:t>
            </w:r>
            <w:r w:rsidR="0061611A">
              <w:rPr>
                <w:b/>
                <w:sz w:val="28"/>
                <w:szCs w:val="28"/>
              </w:rPr>
              <w:t>14</w:t>
            </w:r>
          </w:p>
        </w:tc>
      </w:tr>
    </w:tbl>
    <w:p w14:paraId="61DD27D9" w14:textId="77777777" w:rsidR="00AB32F7" w:rsidRPr="008268C5" w:rsidRDefault="00AB32F7" w:rsidP="00AB32F7">
      <w:pPr>
        <w:spacing w:before="120"/>
        <w:rPr>
          <w:b/>
          <w:sz w:val="28"/>
          <w:szCs w:val="28"/>
        </w:rPr>
      </w:pPr>
      <w:r w:rsidRPr="008268C5">
        <w:rPr>
          <w:b/>
          <w:sz w:val="28"/>
          <w:szCs w:val="28"/>
        </w:rPr>
        <w:t>Economic Commission for Europe</w:t>
      </w:r>
    </w:p>
    <w:p w14:paraId="7C4E9701" w14:textId="77777777" w:rsidR="00AB32F7" w:rsidRPr="008268C5" w:rsidRDefault="00AB32F7" w:rsidP="00AB32F7">
      <w:pPr>
        <w:spacing w:before="120"/>
        <w:rPr>
          <w:sz w:val="28"/>
          <w:szCs w:val="28"/>
        </w:rPr>
      </w:pPr>
      <w:r w:rsidRPr="008268C5">
        <w:rPr>
          <w:sz w:val="28"/>
          <w:szCs w:val="28"/>
        </w:rPr>
        <w:t>Inland Transport Committee</w:t>
      </w:r>
    </w:p>
    <w:p w14:paraId="6E040622" w14:textId="77777777" w:rsidR="00AB32F7" w:rsidRPr="008268C5" w:rsidRDefault="00AB32F7" w:rsidP="00AB32F7">
      <w:pPr>
        <w:spacing w:before="120"/>
        <w:rPr>
          <w:b/>
          <w:sz w:val="24"/>
          <w:szCs w:val="24"/>
        </w:rPr>
      </w:pPr>
      <w:r w:rsidRPr="008268C5">
        <w:rPr>
          <w:b/>
          <w:sz w:val="24"/>
          <w:szCs w:val="24"/>
        </w:rPr>
        <w:t>Working Party on the Transport of Dangerous Goods</w:t>
      </w:r>
    </w:p>
    <w:p w14:paraId="2B6C4176" w14:textId="429330C5" w:rsidR="00AB32F7" w:rsidRPr="008268C5" w:rsidRDefault="00A44D24" w:rsidP="00AB32F7">
      <w:pPr>
        <w:spacing w:before="120"/>
        <w:rPr>
          <w:b/>
        </w:rPr>
      </w:pPr>
      <w:r>
        <w:rPr>
          <w:b/>
        </w:rPr>
        <w:t>10</w:t>
      </w:r>
      <w:r w:rsidR="00012C0B">
        <w:rPr>
          <w:b/>
        </w:rPr>
        <w:t>5</w:t>
      </w:r>
      <w:r w:rsidR="00963ABB" w:rsidRPr="00963ABB">
        <w:rPr>
          <w:b/>
          <w:vertAlign w:val="superscript"/>
        </w:rPr>
        <w:t>th</w:t>
      </w:r>
      <w:r w:rsidR="00963ABB">
        <w:rPr>
          <w:b/>
        </w:rPr>
        <w:t xml:space="preserve"> </w:t>
      </w:r>
      <w:r w:rsidR="00AB32F7" w:rsidRPr="008268C5">
        <w:rPr>
          <w:b/>
        </w:rPr>
        <w:t>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B072D7">
        <w:rPr>
          <w:b/>
        </w:rPr>
        <w:t>22</w:t>
      </w:r>
      <w:r w:rsidR="00012C0B">
        <w:rPr>
          <w:b/>
        </w:rPr>
        <w:t xml:space="preserve"> October</w:t>
      </w:r>
      <w:r>
        <w:rPr>
          <w:b/>
        </w:rPr>
        <w:t xml:space="preserve"> 201</w:t>
      </w:r>
      <w:r w:rsidR="004F0CCB">
        <w:rPr>
          <w:b/>
        </w:rPr>
        <w:t>8</w:t>
      </w:r>
    </w:p>
    <w:p w14:paraId="73181020" w14:textId="77777777" w:rsidR="00AB32F7" w:rsidRPr="008268C5" w:rsidRDefault="00AB32F7" w:rsidP="00AB32F7">
      <w:r w:rsidRPr="008268C5">
        <w:t xml:space="preserve">Geneva, </w:t>
      </w:r>
      <w:r w:rsidR="004C1464">
        <w:t>6</w:t>
      </w:r>
      <w:r w:rsidR="00875C74">
        <w:t>-</w:t>
      </w:r>
      <w:r w:rsidR="004C1464">
        <w:t>9</w:t>
      </w:r>
      <w:r w:rsidR="00963ABB">
        <w:t xml:space="preserve"> </w:t>
      </w:r>
      <w:r w:rsidR="004C1464">
        <w:t>November</w:t>
      </w:r>
      <w:r w:rsidRPr="008268C5">
        <w:t xml:space="preserve"> </w:t>
      </w:r>
      <w:r w:rsidR="00B25EB2" w:rsidRPr="008268C5">
        <w:t>201</w:t>
      </w:r>
      <w:r w:rsidR="00963ABB">
        <w:t>8</w:t>
      </w:r>
    </w:p>
    <w:p w14:paraId="7D2F87AB" w14:textId="77777777" w:rsidR="002F3C64" w:rsidRDefault="002F3C64" w:rsidP="002F3C64">
      <w:r w:rsidRPr="00566B2D">
        <w:t xml:space="preserve">Item </w:t>
      </w:r>
      <w:r w:rsidR="00566B2D">
        <w:t>8</w:t>
      </w:r>
      <w:r w:rsidRPr="00566B2D">
        <w:t xml:space="preserve"> of the provisional agenda</w:t>
      </w:r>
      <w:r w:rsidR="00566B2D">
        <w:t>:</w:t>
      </w:r>
    </w:p>
    <w:p w14:paraId="2374A8A1" w14:textId="77777777" w:rsidR="00566B2D" w:rsidRPr="00566B2D" w:rsidRDefault="00566B2D" w:rsidP="002F3C64">
      <w:pPr>
        <w:rPr>
          <w:b/>
          <w:bCs/>
        </w:rPr>
      </w:pPr>
      <w:r w:rsidRPr="00566B2D">
        <w:rPr>
          <w:b/>
          <w:bCs/>
        </w:rPr>
        <w:t>Any other business</w:t>
      </w:r>
    </w:p>
    <w:p w14:paraId="4D75E58E" w14:textId="77777777" w:rsidR="00A30C84" w:rsidRPr="00203773" w:rsidRDefault="003D3380" w:rsidP="008F03A8">
      <w:pPr>
        <w:pStyle w:val="HChG"/>
      </w:pPr>
      <w:r w:rsidRPr="008268C5">
        <w:rPr>
          <w:lang w:val="en-GB"/>
        </w:rPr>
        <w:tab/>
      </w:r>
      <w:r w:rsidRPr="008268C5">
        <w:rPr>
          <w:lang w:val="en-GB"/>
        </w:rPr>
        <w:tab/>
      </w:r>
      <w:r w:rsidR="00741721" w:rsidRPr="000C2F83">
        <w:rPr>
          <w:lang w:val="en-GB"/>
        </w:rPr>
        <w:t>S</w:t>
      </w:r>
      <w:r w:rsidR="001C6027">
        <w:rPr>
          <w:lang w:val="en-GB"/>
        </w:rPr>
        <w:t>upervision of vehicles, Chapter 8.</w:t>
      </w:r>
      <w:r w:rsidR="00963ABB">
        <w:rPr>
          <w:lang w:val="en-GB"/>
        </w:rPr>
        <w:t>5</w:t>
      </w:r>
    </w:p>
    <w:p w14:paraId="3EF453D9" w14:textId="77777777" w:rsidR="00A30C84" w:rsidRDefault="00A30C84" w:rsidP="00A30C84">
      <w:pPr>
        <w:pStyle w:val="H1G"/>
      </w:pPr>
      <w:r>
        <w:tab/>
      </w:r>
      <w:r>
        <w:tab/>
        <w:t xml:space="preserve">Transmitted by the Government of </w:t>
      </w:r>
      <w:r w:rsidR="00FB1A29">
        <w:t>Sweden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A30C84" w:rsidRPr="00E62341" w14:paraId="74109960" w14:textId="77777777" w:rsidTr="00C45E05">
        <w:trPr>
          <w:jc w:val="center"/>
        </w:trPr>
        <w:tc>
          <w:tcPr>
            <w:tcW w:w="9637" w:type="dxa"/>
            <w:tcBorders>
              <w:bottom w:val="nil"/>
            </w:tcBorders>
            <w:shd w:val="clear" w:color="auto" w:fill="auto"/>
          </w:tcPr>
          <w:p w14:paraId="3E418ED0" w14:textId="77777777" w:rsidR="00A30C84" w:rsidRPr="002820E6" w:rsidRDefault="00A30C84" w:rsidP="00C45E05">
            <w:pPr>
              <w:tabs>
                <w:tab w:val="left" w:pos="255"/>
              </w:tabs>
              <w:suppressAutoHyphens w:val="0"/>
              <w:spacing w:before="240" w:after="120"/>
              <w:rPr>
                <w:rFonts w:eastAsia="Arial"/>
                <w:sz w:val="24"/>
              </w:rPr>
            </w:pPr>
            <w:r w:rsidRPr="002820E6">
              <w:br w:type="page"/>
            </w:r>
            <w:r w:rsidRPr="002820E6">
              <w:rPr>
                <w:rFonts w:eastAsia="Arial"/>
              </w:rPr>
              <w:tab/>
            </w:r>
            <w:r w:rsidRPr="002820E6">
              <w:rPr>
                <w:rFonts w:eastAsia="Arial"/>
                <w:i/>
                <w:sz w:val="24"/>
              </w:rPr>
              <w:t>Summary</w:t>
            </w:r>
          </w:p>
        </w:tc>
      </w:tr>
      <w:tr w:rsidR="00A30C84" w:rsidRPr="00E62341" w14:paraId="0D0570C6" w14:textId="77777777" w:rsidTr="00C45E05">
        <w:trPr>
          <w:jc w:val="center"/>
        </w:trPr>
        <w:tc>
          <w:tcPr>
            <w:tcW w:w="9637" w:type="dxa"/>
            <w:tcBorders>
              <w:top w:val="nil"/>
              <w:bottom w:val="nil"/>
            </w:tcBorders>
            <w:shd w:val="clear" w:color="auto" w:fill="auto"/>
          </w:tcPr>
          <w:p w14:paraId="3BD8F395" w14:textId="7B40BA80" w:rsidR="00A30C84" w:rsidRPr="002820E6" w:rsidRDefault="00A30C84" w:rsidP="00C97CF6">
            <w:pPr>
              <w:pStyle w:val="SingleTxtG"/>
              <w:tabs>
                <w:tab w:val="left" w:pos="3260"/>
              </w:tabs>
              <w:ind w:left="3260" w:hanging="2126"/>
              <w:rPr>
                <w:b/>
                <w:szCs w:val="22"/>
                <w:lang w:val="en-GB"/>
              </w:rPr>
            </w:pPr>
            <w:r w:rsidRPr="002820E6">
              <w:rPr>
                <w:b/>
                <w:szCs w:val="22"/>
              </w:rPr>
              <w:t>Executive summary</w:t>
            </w:r>
            <w:r w:rsidRPr="002820E6">
              <w:rPr>
                <w:szCs w:val="22"/>
              </w:rPr>
              <w:t>:</w:t>
            </w:r>
            <w:r w:rsidRPr="002820E6">
              <w:rPr>
                <w:szCs w:val="22"/>
              </w:rPr>
              <w:tab/>
            </w:r>
            <w:r w:rsidR="00183769" w:rsidRPr="005866F4">
              <w:rPr>
                <w:szCs w:val="22"/>
                <w:lang w:val="en-GB"/>
              </w:rPr>
              <w:t>T</w:t>
            </w:r>
            <w:r w:rsidR="00183769">
              <w:rPr>
                <w:szCs w:val="22"/>
                <w:lang w:val="en-GB"/>
              </w:rPr>
              <w:t xml:space="preserve">he additional requirements </w:t>
            </w:r>
            <w:r w:rsidR="00183769" w:rsidRPr="009F68C3">
              <w:rPr>
                <w:szCs w:val="22"/>
                <w:lang w:val="en-GB"/>
              </w:rPr>
              <w:t xml:space="preserve">S1, S16 and S21 in Chapter 8.5 stipulate supervision </w:t>
            </w:r>
            <w:r w:rsidR="001F5F78">
              <w:rPr>
                <w:szCs w:val="22"/>
                <w:lang w:val="en-GB"/>
              </w:rPr>
              <w:t xml:space="preserve">of vehicles </w:t>
            </w:r>
            <w:r w:rsidR="00183769" w:rsidRPr="009F68C3">
              <w:rPr>
                <w:szCs w:val="22"/>
                <w:lang w:val="en-GB"/>
              </w:rPr>
              <w:t>at all times. Sweden would like to discuss what minimum level of supervision is considered acceptable and how this could be clarified in ADR.</w:t>
            </w:r>
            <w:r w:rsidR="00183769" w:rsidRPr="002820E6">
              <w:rPr>
                <w:szCs w:val="22"/>
                <w:lang w:val="en-GB"/>
              </w:rPr>
              <w:t xml:space="preserve">  </w:t>
            </w:r>
          </w:p>
        </w:tc>
      </w:tr>
      <w:tr w:rsidR="00A30C84" w:rsidRPr="00E62341" w14:paraId="2A60B917" w14:textId="77777777" w:rsidTr="00C45E05">
        <w:trPr>
          <w:jc w:val="center"/>
        </w:trPr>
        <w:tc>
          <w:tcPr>
            <w:tcW w:w="9637" w:type="dxa"/>
            <w:tcBorders>
              <w:top w:val="nil"/>
              <w:bottom w:val="nil"/>
            </w:tcBorders>
            <w:shd w:val="clear" w:color="auto" w:fill="auto"/>
          </w:tcPr>
          <w:p w14:paraId="24C42703" w14:textId="77777777" w:rsidR="00A30C84" w:rsidRDefault="00A30C84" w:rsidP="002820E6">
            <w:pPr>
              <w:pStyle w:val="SingleTxtG"/>
              <w:tabs>
                <w:tab w:val="left" w:pos="3260"/>
              </w:tabs>
              <w:ind w:left="3260" w:hanging="2126"/>
              <w:rPr>
                <w:rFonts w:eastAsia="Arial"/>
                <w:lang w:val="en-GB"/>
              </w:rPr>
            </w:pPr>
            <w:r w:rsidRPr="00C97CF6">
              <w:rPr>
                <w:rFonts w:eastAsia="Arial"/>
                <w:b/>
              </w:rPr>
              <w:t>Action to be taken</w:t>
            </w:r>
            <w:r w:rsidRPr="00C97CF6">
              <w:rPr>
                <w:rFonts w:eastAsia="Arial"/>
              </w:rPr>
              <w:t>:</w:t>
            </w:r>
            <w:r w:rsidRPr="00C97CF6">
              <w:rPr>
                <w:rFonts w:eastAsia="Arial"/>
              </w:rPr>
              <w:tab/>
            </w:r>
            <w:r w:rsidR="002820E6" w:rsidRPr="00C97CF6">
              <w:rPr>
                <w:rFonts w:eastAsia="Arial"/>
                <w:lang w:val="en-GB"/>
              </w:rPr>
              <w:t>Discussion</w:t>
            </w:r>
          </w:p>
          <w:p w14:paraId="141951B8" w14:textId="5EB06CD4" w:rsidR="002820E6" w:rsidRPr="002820E6" w:rsidRDefault="002820E6" w:rsidP="00246079">
            <w:pPr>
              <w:pStyle w:val="SingleTxtG"/>
              <w:tabs>
                <w:tab w:val="left" w:pos="3260"/>
              </w:tabs>
              <w:ind w:left="3260" w:hanging="2126"/>
              <w:jc w:val="left"/>
              <w:rPr>
                <w:rFonts w:eastAsia="Arial"/>
                <w:highlight w:val="yellow"/>
                <w:lang w:val="en-GB"/>
              </w:rPr>
            </w:pPr>
            <w:r w:rsidRPr="00C97CF6">
              <w:rPr>
                <w:rFonts w:eastAsia="Arial"/>
                <w:b/>
              </w:rPr>
              <w:t>Related documents</w:t>
            </w:r>
            <w:r w:rsidRPr="00C97CF6">
              <w:rPr>
                <w:rFonts w:eastAsia="Arial"/>
                <w:lang w:val="en-GB"/>
              </w:rPr>
              <w:t>:</w:t>
            </w:r>
            <w:r w:rsidR="00C97CF6">
              <w:rPr>
                <w:rFonts w:eastAsia="Arial"/>
                <w:lang w:val="en-GB"/>
              </w:rPr>
              <w:tab/>
            </w:r>
            <w:r w:rsidR="00287DCC">
              <w:rPr>
                <w:rFonts w:eastAsia="Arial"/>
                <w:lang w:val="en-GB"/>
              </w:rPr>
              <w:t xml:space="preserve">Informal document </w:t>
            </w:r>
            <w:r w:rsidR="00C97CF6">
              <w:rPr>
                <w:rFonts w:eastAsia="Arial"/>
                <w:lang w:val="en-GB"/>
              </w:rPr>
              <w:t>INF.7 from the 103</w:t>
            </w:r>
            <w:r w:rsidR="00C97CF6" w:rsidRPr="00C97CF6">
              <w:rPr>
                <w:rFonts w:eastAsia="Arial"/>
                <w:vertAlign w:val="superscript"/>
                <w:lang w:val="en-GB"/>
              </w:rPr>
              <w:t>rd</w:t>
            </w:r>
            <w:r w:rsidR="004306DC">
              <w:rPr>
                <w:rFonts w:eastAsia="Arial"/>
                <w:lang w:val="en-GB"/>
              </w:rPr>
              <w:t xml:space="preserve"> session </w:t>
            </w:r>
            <w:r w:rsidR="001F5F78">
              <w:rPr>
                <w:rFonts w:eastAsia="Arial"/>
                <w:lang w:val="en-GB"/>
              </w:rPr>
              <w:t>of the Working Party</w:t>
            </w:r>
            <w:r w:rsidR="004306DC">
              <w:rPr>
                <w:rFonts w:eastAsia="Arial"/>
                <w:lang w:val="en-GB"/>
              </w:rPr>
              <w:t>,</w:t>
            </w:r>
            <w:r w:rsidR="00B072D7">
              <w:rPr>
                <w:rFonts w:eastAsia="Arial"/>
                <w:lang w:val="en-GB"/>
              </w:rPr>
              <w:t xml:space="preserve"> </w:t>
            </w:r>
            <w:r w:rsidR="00C97CF6">
              <w:rPr>
                <w:rFonts w:eastAsia="Arial"/>
                <w:lang w:val="en-GB"/>
              </w:rPr>
              <w:t>ECE/TRANS/WP.15/239 (report from the 103</w:t>
            </w:r>
            <w:r w:rsidR="00C97CF6" w:rsidRPr="00C97CF6">
              <w:rPr>
                <w:rFonts w:eastAsia="Arial"/>
                <w:vertAlign w:val="superscript"/>
                <w:lang w:val="en-GB"/>
              </w:rPr>
              <w:t>rd</w:t>
            </w:r>
            <w:r w:rsidR="00C97CF6">
              <w:rPr>
                <w:rFonts w:eastAsia="Arial"/>
                <w:lang w:val="en-GB"/>
              </w:rPr>
              <w:t xml:space="preserve"> session)</w:t>
            </w:r>
            <w:r w:rsidR="00246079">
              <w:rPr>
                <w:rFonts w:eastAsia="Arial"/>
                <w:lang w:val="en-GB"/>
              </w:rPr>
              <w:t>, para</w:t>
            </w:r>
            <w:r w:rsidR="001F5F78">
              <w:rPr>
                <w:rFonts w:eastAsia="Arial"/>
                <w:lang w:val="en-GB"/>
              </w:rPr>
              <w:t>gr</w:t>
            </w:r>
            <w:r w:rsidR="00B32796">
              <w:rPr>
                <w:rFonts w:eastAsia="Arial"/>
                <w:lang w:val="en-GB"/>
              </w:rPr>
              <w:t>aphs</w:t>
            </w:r>
            <w:r w:rsidR="001F5F78">
              <w:rPr>
                <w:rFonts w:eastAsia="Arial"/>
                <w:lang w:val="en-GB"/>
              </w:rPr>
              <w:t xml:space="preserve"> 61-65</w:t>
            </w:r>
            <w:r w:rsidR="00282853">
              <w:rPr>
                <w:rFonts w:eastAsia="Arial"/>
                <w:lang w:val="en-GB"/>
              </w:rPr>
              <w:t>, Informal document INF.16 from the 104</w:t>
            </w:r>
            <w:r w:rsidR="00282853" w:rsidRPr="00282853">
              <w:rPr>
                <w:rFonts w:eastAsia="Arial"/>
                <w:vertAlign w:val="superscript"/>
                <w:lang w:val="en-GB"/>
              </w:rPr>
              <w:t>th</w:t>
            </w:r>
            <w:r w:rsidR="001F5F78">
              <w:rPr>
                <w:rFonts w:eastAsia="Arial"/>
                <w:lang w:val="en-GB"/>
              </w:rPr>
              <w:t xml:space="preserve"> session</w:t>
            </w:r>
            <w:r w:rsidR="00282853">
              <w:rPr>
                <w:rFonts w:eastAsia="Arial"/>
                <w:lang w:val="en-GB"/>
              </w:rPr>
              <w:t xml:space="preserve"> and ECE/TRANS/WP.15/242 (report from the 104</w:t>
            </w:r>
            <w:r w:rsidR="00282853" w:rsidRPr="00282853">
              <w:rPr>
                <w:rFonts w:eastAsia="Arial"/>
                <w:vertAlign w:val="superscript"/>
                <w:lang w:val="en-GB"/>
              </w:rPr>
              <w:t>th</w:t>
            </w:r>
            <w:r w:rsidR="00282853">
              <w:rPr>
                <w:rFonts w:eastAsia="Arial"/>
                <w:lang w:val="en-GB"/>
              </w:rPr>
              <w:t xml:space="preserve"> session), para</w:t>
            </w:r>
            <w:r w:rsidR="001F5F78">
              <w:rPr>
                <w:rFonts w:eastAsia="Arial"/>
                <w:lang w:val="en-GB"/>
              </w:rPr>
              <w:t>graph</w:t>
            </w:r>
            <w:r w:rsidR="00B32796">
              <w:rPr>
                <w:rFonts w:eastAsia="Arial"/>
                <w:lang w:val="en-GB"/>
              </w:rPr>
              <w:t>s</w:t>
            </w:r>
            <w:r w:rsidR="00282853">
              <w:rPr>
                <w:rFonts w:eastAsia="Arial"/>
                <w:lang w:val="en-GB"/>
              </w:rPr>
              <w:t xml:space="preserve"> 55-57.</w:t>
            </w:r>
          </w:p>
        </w:tc>
      </w:tr>
      <w:tr w:rsidR="00A30C84" w:rsidRPr="00E62341" w14:paraId="0F80BBD7" w14:textId="77777777" w:rsidTr="00C45E05">
        <w:trPr>
          <w:jc w:val="center"/>
        </w:trPr>
        <w:tc>
          <w:tcPr>
            <w:tcW w:w="9637" w:type="dxa"/>
            <w:tcBorders>
              <w:top w:val="nil"/>
            </w:tcBorders>
            <w:shd w:val="clear" w:color="auto" w:fill="auto"/>
          </w:tcPr>
          <w:p w14:paraId="5BA97880" w14:textId="77777777" w:rsidR="00A30C84" w:rsidRPr="00E62341" w:rsidRDefault="00A30C84" w:rsidP="00C45E05">
            <w:pPr>
              <w:suppressAutoHyphens w:val="0"/>
              <w:rPr>
                <w:rFonts w:eastAsia="Arial"/>
              </w:rPr>
            </w:pPr>
          </w:p>
        </w:tc>
      </w:tr>
    </w:tbl>
    <w:p w14:paraId="58B2EBD0" w14:textId="77777777" w:rsidR="000D7449" w:rsidRDefault="00A30C84" w:rsidP="000D7449">
      <w:pPr>
        <w:pStyle w:val="HChG"/>
      </w:pPr>
      <w:r>
        <w:tab/>
      </w:r>
      <w:r>
        <w:tab/>
      </w:r>
      <w:r w:rsidRPr="001B08A2">
        <w:t>Introduction</w:t>
      </w:r>
    </w:p>
    <w:p w14:paraId="630D7A0E" w14:textId="1751F8C8" w:rsidR="00B47E56" w:rsidRPr="0061611A" w:rsidRDefault="001F5F78" w:rsidP="0061611A">
      <w:pPr>
        <w:pStyle w:val="SingleTxtG"/>
        <w:rPr>
          <w:rStyle w:val="SingleTxtGChar"/>
        </w:rPr>
      </w:pPr>
      <w:r>
        <w:rPr>
          <w:rStyle w:val="SingleTxtGChar"/>
          <w:lang w:val="fr-CH"/>
        </w:rPr>
        <w:t>1.</w:t>
      </w:r>
      <w:r>
        <w:rPr>
          <w:rStyle w:val="SingleTxtGChar"/>
          <w:lang w:val="fr-CH"/>
        </w:rPr>
        <w:tab/>
      </w:r>
      <w:r w:rsidR="00B47E56" w:rsidRPr="0061611A">
        <w:rPr>
          <w:rStyle w:val="SingleTxtGChar"/>
        </w:rPr>
        <w:t xml:space="preserve">At the two last </w:t>
      </w:r>
      <w:r>
        <w:rPr>
          <w:rStyle w:val="SingleTxtGChar"/>
        </w:rPr>
        <w:t xml:space="preserve">sessions </w:t>
      </w:r>
      <w:r>
        <w:rPr>
          <w:rStyle w:val="SingleTxtGChar"/>
          <w:lang w:val="fr-CH"/>
        </w:rPr>
        <w:t xml:space="preserve">of the </w:t>
      </w:r>
      <w:proofErr w:type="spellStart"/>
      <w:r>
        <w:rPr>
          <w:rStyle w:val="SingleTxtGChar"/>
          <w:lang w:val="fr-CH"/>
        </w:rPr>
        <w:t>Working</w:t>
      </w:r>
      <w:proofErr w:type="spellEnd"/>
      <w:r>
        <w:rPr>
          <w:rStyle w:val="SingleTxtGChar"/>
          <w:lang w:val="fr-CH"/>
        </w:rPr>
        <w:t xml:space="preserve"> Party</w:t>
      </w:r>
      <w:r w:rsidR="00B47E56" w:rsidRPr="0061611A">
        <w:rPr>
          <w:rStyle w:val="SingleTxtGChar"/>
        </w:rPr>
        <w:t>, Sweden has raised questions in relation to the supervision of vehicles. At the May meeting, the question specifically concerned Chapter 8.5 and what is intended when the additional requirements in S</w:t>
      </w:r>
      <w:r w:rsidR="00B47E56" w:rsidRPr="0061611A">
        <w:t xml:space="preserve">1, S16 and S21 </w:t>
      </w:r>
      <w:r w:rsidR="00B47E56" w:rsidRPr="0061611A">
        <w:rPr>
          <w:rStyle w:val="SingleTxtGChar"/>
        </w:rPr>
        <w:t xml:space="preserve">state that a vehicle shall be “supervised at all times”. Naturally, opinions differed and it was also made clear that some countries have national provisions or guidelines on supervision. The majority of the delegations that spoke agreed that the requirements on supervision should be clarified. </w:t>
      </w:r>
    </w:p>
    <w:p w14:paraId="17104FB8" w14:textId="2D0F8ACE" w:rsidR="00B47E56" w:rsidRPr="0061611A" w:rsidRDefault="001F5F78" w:rsidP="0061611A">
      <w:pPr>
        <w:pStyle w:val="SingleTxtG"/>
        <w:rPr>
          <w:rStyle w:val="SingleTxtGChar"/>
        </w:rPr>
      </w:pPr>
      <w:r>
        <w:rPr>
          <w:rStyle w:val="SingleTxtGChar"/>
          <w:lang w:val="fr-CH"/>
        </w:rPr>
        <w:t>2.</w:t>
      </w:r>
      <w:r>
        <w:rPr>
          <w:rStyle w:val="SingleTxtGChar"/>
          <w:lang w:val="fr-CH"/>
        </w:rPr>
        <w:tab/>
      </w:r>
      <w:r w:rsidR="00B47E56" w:rsidRPr="0061611A">
        <w:rPr>
          <w:rStyle w:val="SingleTxtGChar"/>
        </w:rPr>
        <w:t xml:space="preserve">In order to create a base for further discussion on the same topic, Sweden volunteered to lead an informal correspondence group to gather information concerning the specific situation within each Contracting Party. For this reason, Sweden prepared a questionnaire that, in July, was sent to all Contracting Parties whose email address are available </w:t>
      </w:r>
      <w:r w:rsidR="00255335" w:rsidRPr="0061611A">
        <w:rPr>
          <w:rStyle w:val="SingleTxtGChar"/>
        </w:rPr>
        <w:t>on</w:t>
      </w:r>
      <w:r w:rsidR="00B47E56" w:rsidRPr="0061611A">
        <w:rPr>
          <w:rStyle w:val="SingleTxtGChar"/>
        </w:rPr>
        <w:t xml:space="preserve"> the UNECE Website. </w:t>
      </w:r>
    </w:p>
    <w:p w14:paraId="67CEF725" w14:textId="2EAF54D4" w:rsidR="00B47E56" w:rsidRPr="0061611A" w:rsidRDefault="001F5F78" w:rsidP="0061611A">
      <w:pPr>
        <w:pStyle w:val="SingleTxtG"/>
        <w:rPr>
          <w:rStyle w:val="SingleTxtGChar"/>
        </w:rPr>
      </w:pPr>
      <w:r>
        <w:rPr>
          <w:rStyle w:val="SingleTxtGChar"/>
          <w:lang w:val="fr-CH"/>
        </w:rPr>
        <w:t>3.</w:t>
      </w:r>
      <w:r>
        <w:rPr>
          <w:rStyle w:val="SingleTxtGChar"/>
          <w:lang w:val="fr-CH"/>
        </w:rPr>
        <w:tab/>
      </w:r>
      <w:r w:rsidR="00B47E56" w:rsidRPr="0061611A">
        <w:rPr>
          <w:rStyle w:val="SingleTxtGChar"/>
        </w:rPr>
        <w:t>Among the 50 Contracting Parties, 10 lacked an e-mail address and were therefore not reached. However, we have received answers from 2</w:t>
      </w:r>
      <w:r w:rsidR="002E38A9" w:rsidRPr="0061611A">
        <w:rPr>
          <w:rStyle w:val="SingleTxtGChar"/>
        </w:rPr>
        <w:t>0</w:t>
      </w:r>
      <w:r w:rsidR="00B47E56" w:rsidRPr="0061611A">
        <w:rPr>
          <w:rStyle w:val="SingleTxtGChar"/>
        </w:rPr>
        <w:t xml:space="preserve"> countries (including Sweden) and would like to thank the following Contracting Parties for their contributions: Austria, Belarus, Czech Republic, Denmark, Estonia, Finland, France, Germany, Iceland, Ireland, Latvia, Luxembourg, Malta, the Netherlands, Norway, Russia, Romania, Spain and </w:t>
      </w:r>
      <w:r w:rsidR="001C0026" w:rsidRPr="0061611A">
        <w:rPr>
          <w:rStyle w:val="SingleTxtGChar"/>
        </w:rPr>
        <w:t>t</w:t>
      </w:r>
      <w:r w:rsidR="00B47E56" w:rsidRPr="0061611A">
        <w:rPr>
          <w:rStyle w:val="SingleTxtGChar"/>
        </w:rPr>
        <w:t xml:space="preserve">he United Kingdom. </w:t>
      </w:r>
    </w:p>
    <w:p w14:paraId="09EC3437" w14:textId="5BC01664" w:rsidR="008A3B54" w:rsidRDefault="001F5F78" w:rsidP="0061611A">
      <w:pPr>
        <w:pStyle w:val="SingleTxtG"/>
        <w:rPr>
          <w:rStyle w:val="SingleTxtGChar"/>
          <w:lang w:val="en-GB"/>
        </w:rPr>
      </w:pPr>
      <w:r>
        <w:rPr>
          <w:rStyle w:val="SingleTxtGChar"/>
          <w:lang w:val="fr-CH"/>
        </w:rPr>
        <w:lastRenderedPageBreak/>
        <w:t>4.</w:t>
      </w:r>
      <w:r>
        <w:rPr>
          <w:rStyle w:val="SingleTxtGChar"/>
          <w:lang w:val="fr-CH"/>
        </w:rPr>
        <w:tab/>
      </w:r>
      <w:r w:rsidR="00B47E56" w:rsidRPr="0061611A">
        <w:rPr>
          <w:rStyle w:val="SingleTxtGChar"/>
        </w:rPr>
        <w:t xml:space="preserve">We would also like to thank </w:t>
      </w:r>
      <w:r w:rsidR="000D559E" w:rsidRPr="0061611A">
        <w:t>the International Federation of Freight Forwarders Associations</w:t>
      </w:r>
      <w:r w:rsidR="000D559E" w:rsidRPr="0061611A">
        <w:rPr>
          <w:rStyle w:val="SingleTxtGChar"/>
        </w:rPr>
        <w:t xml:space="preserve"> (</w:t>
      </w:r>
      <w:r w:rsidR="00B47E56" w:rsidRPr="0061611A">
        <w:rPr>
          <w:rStyle w:val="SingleTxtGChar"/>
        </w:rPr>
        <w:t>FIATA</w:t>
      </w:r>
      <w:r w:rsidR="000D559E" w:rsidRPr="0061611A">
        <w:rPr>
          <w:rStyle w:val="SingleTxtGChar"/>
        </w:rPr>
        <w:t>)</w:t>
      </w:r>
      <w:r w:rsidR="00B47E56" w:rsidRPr="0061611A">
        <w:rPr>
          <w:rStyle w:val="SingleTxtGChar"/>
        </w:rPr>
        <w:t xml:space="preserve"> in Germany, Slovakia and </w:t>
      </w:r>
      <w:r w:rsidR="00255335" w:rsidRPr="0061611A">
        <w:rPr>
          <w:rStyle w:val="SingleTxtGChar"/>
        </w:rPr>
        <w:t xml:space="preserve">in </w:t>
      </w:r>
      <w:r w:rsidR="00B47E56" w:rsidRPr="0061611A">
        <w:rPr>
          <w:rStyle w:val="SingleTxtGChar"/>
        </w:rPr>
        <w:t xml:space="preserve">the United Kingdom for their information as well as for the comments and views </w:t>
      </w:r>
      <w:r w:rsidR="008B6F08" w:rsidRPr="0061611A">
        <w:rPr>
          <w:rStyle w:val="SingleTxtGChar"/>
        </w:rPr>
        <w:t>receive</w:t>
      </w:r>
      <w:r w:rsidR="008B6F08" w:rsidRPr="001C0026">
        <w:rPr>
          <w:rStyle w:val="SingleTxtGChar"/>
          <w:lang w:val="en-GB"/>
        </w:rPr>
        <w:t xml:space="preserve">d </w:t>
      </w:r>
      <w:r w:rsidR="00B47E56" w:rsidRPr="001C0026">
        <w:rPr>
          <w:rStyle w:val="SingleTxtGChar"/>
          <w:lang w:val="en-GB"/>
        </w:rPr>
        <w:t xml:space="preserve">from </w:t>
      </w:r>
      <w:r w:rsidR="000D559E">
        <w:rPr>
          <w:rStyle w:val="SingleTxtGChar"/>
          <w:lang w:val="en-GB"/>
        </w:rPr>
        <w:t>the European Chemical Industry Council (</w:t>
      </w:r>
      <w:r w:rsidR="00B47E56" w:rsidRPr="001C0026">
        <w:rPr>
          <w:rStyle w:val="SingleTxtGChar"/>
          <w:lang w:val="en-GB"/>
        </w:rPr>
        <w:t>CEFIC</w:t>
      </w:r>
      <w:r w:rsidR="000D559E">
        <w:rPr>
          <w:rStyle w:val="SingleTxtGChar"/>
          <w:lang w:val="en-GB"/>
        </w:rPr>
        <w:t>)</w:t>
      </w:r>
      <w:r w:rsidR="00B47E56">
        <w:rPr>
          <w:rStyle w:val="SingleTxtGChar"/>
          <w:lang w:val="en-GB"/>
        </w:rPr>
        <w:t xml:space="preserve">. Furthermore, the European Commission has provided helpful information concerning </w:t>
      </w:r>
      <w:r w:rsidR="00377E04">
        <w:rPr>
          <w:rStyle w:val="SingleTxtGChar"/>
          <w:lang w:val="en-GB"/>
        </w:rPr>
        <w:t xml:space="preserve">Regulation (EC) No 561/200 and </w:t>
      </w:r>
      <w:r w:rsidR="00B47E56">
        <w:rPr>
          <w:rStyle w:val="SingleTxtGChar"/>
          <w:lang w:val="en-GB"/>
        </w:rPr>
        <w:t>Directive</w:t>
      </w:r>
      <w:r w:rsidR="008A3B54">
        <w:rPr>
          <w:rStyle w:val="SingleTxtGChar"/>
          <w:lang w:val="en-GB"/>
        </w:rPr>
        <w:t xml:space="preserve"> 2002/15/EC</w:t>
      </w:r>
      <w:r w:rsidR="00377E04">
        <w:rPr>
          <w:rStyle w:val="SingleTxtGChar"/>
          <w:lang w:val="en-GB"/>
        </w:rPr>
        <w:t xml:space="preserve"> (concerning </w:t>
      </w:r>
      <w:r w:rsidR="00377E04" w:rsidRPr="00377E04">
        <w:rPr>
          <w:rStyle w:val="SingleTxtGChar"/>
          <w:lang w:val="en-GB"/>
        </w:rPr>
        <w:t>the working time of persons performing mobile road transport activities)</w:t>
      </w:r>
      <w:r w:rsidR="00377E04">
        <w:rPr>
          <w:rStyle w:val="SingleTxtGChar"/>
          <w:lang w:val="en-GB"/>
        </w:rPr>
        <w:t>.</w:t>
      </w:r>
    </w:p>
    <w:p w14:paraId="459BD96D" w14:textId="4C7B8B7C" w:rsidR="00B47E56" w:rsidRDefault="001F5F78" w:rsidP="00B47E56">
      <w:pPr>
        <w:pStyle w:val="SingleTxtG"/>
        <w:rPr>
          <w:rStyle w:val="SingleTxtGChar"/>
          <w:lang w:val="en-GB"/>
        </w:rPr>
      </w:pPr>
      <w:r>
        <w:rPr>
          <w:rStyle w:val="SingleTxtGChar"/>
          <w:lang w:val="en-GB"/>
        </w:rPr>
        <w:t>5.</w:t>
      </w:r>
      <w:r>
        <w:rPr>
          <w:rStyle w:val="SingleTxtGChar"/>
          <w:lang w:val="en-GB"/>
        </w:rPr>
        <w:tab/>
      </w:r>
      <w:r w:rsidR="00B47E56">
        <w:rPr>
          <w:rStyle w:val="SingleTxtGChar"/>
          <w:lang w:val="en-GB"/>
        </w:rPr>
        <w:t>We find the information shared very helpful and a compilation of the received answers is presented in this document.</w:t>
      </w:r>
    </w:p>
    <w:p w14:paraId="06F11453" w14:textId="70D47434" w:rsidR="00320FDD" w:rsidRPr="006C7C55" w:rsidRDefault="0061611A" w:rsidP="0061611A">
      <w:pPr>
        <w:pStyle w:val="H1G"/>
      </w:pPr>
      <w:r>
        <w:tab/>
      </w:r>
      <w:r>
        <w:tab/>
      </w:r>
      <w:r w:rsidR="00C50913" w:rsidRPr="00C50913">
        <w:t>Background</w:t>
      </w:r>
      <w:r w:rsidR="00320FDD" w:rsidRPr="00C50913">
        <w:t xml:space="preserve"> </w:t>
      </w:r>
    </w:p>
    <w:p w14:paraId="03EE713E" w14:textId="77777777" w:rsidR="0061611A" w:rsidRDefault="00A45689" w:rsidP="00A45689">
      <w:pPr>
        <w:pStyle w:val="SingleTxtG"/>
        <w:jc w:val="left"/>
        <w:rPr>
          <w:rStyle w:val="SingleTxtGChar"/>
          <w:lang w:val="en-GB"/>
        </w:rPr>
      </w:pPr>
      <w:r w:rsidRPr="004A0C32">
        <w:rPr>
          <w:rStyle w:val="SingleTxtGChar"/>
          <w:b/>
          <w:lang w:val="en-GB"/>
        </w:rPr>
        <w:t>Complex of problems</w:t>
      </w:r>
    </w:p>
    <w:p w14:paraId="69A572F1" w14:textId="02B20ECD" w:rsidR="00A45689" w:rsidRPr="004A0C32" w:rsidRDefault="00A45689" w:rsidP="0061611A">
      <w:pPr>
        <w:pStyle w:val="SingleTxtG"/>
        <w:rPr>
          <w:rStyle w:val="SingleTxtGChar"/>
          <w:lang w:val="en-GB"/>
        </w:rPr>
      </w:pPr>
      <w:r w:rsidRPr="004A0C32">
        <w:rPr>
          <w:rStyle w:val="SingleTxtGChar"/>
          <w:lang w:val="en-GB"/>
        </w:rPr>
        <w:t>There are many factors, apart from ADR, that play part when parking a vehicle safe and secure</w:t>
      </w:r>
      <w:r>
        <w:rPr>
          <w:rStyle w:val="SingleTxtGChar"/>
          <w:lang w:val="en-GB"/>
        </w:rPr>
        <w:t>. Naturally, th</w:t>
      </w:r>
      <w:r w:rsidRPr="004A0C32">
        <w:rPr>
          <w:rStyle w:val="SingleTxtGChar"/>
          <w:lang w:val="en-GB"/>
        </w:rPr>
        <w:t>e conditions differ between individual</w:t>
      </w:r>
      <w:r>
        <w:rPr>
          <w:rStyle w:val="SingleTxtGChar"/>
          <w:lang w:val="en-GB"/>
        </w:rPr>
        <w:t xml:space="preserve"> drivers and between countries. In addition, there might be international or national legislation that limits the possibility for the </w:t>
      </w:r>
      <w:r w:rsidRPr="006E58F2">
        <w:rPr>
          <w:rStyle w:val="SingleTxtGChar"/>
          <w:i/>
          <w:lang w:val="en-GB"/>
        </w:rPr>
        <w:t>owner</w:t>
      </w:r>
      <w:r>
        <w:rPr>
          <w:rStyle w:val="SingleTxtGChar"/>
          <w:lang w:val="en-GB"/>
        </w:rPr>
        <w:t xml:space="preserve"> of a parking area to set up a secure parking, e.g. infrastructure, special permits for camera surveillance etc. I</w:t>
      </w:r>
      <w:r w:rsidRPr="004A0C32">
        <w:rPr>
          <w:rStyle w:val="SingleTxtGChar"/>
          <w:lang w:val="en-GB"/>
        </w:rPr>
        <w:t xml:space="preserve">rrespective of </w:t>
      </w:r>
      <w:r>
        <w:rPr>
          <w:rStyle w:val="SingleTxtGChar"/>
          <w:lang w:val="en-GB"/>
        </w:rPr>
        <w:t>all these factors</w:t>
      </w:r>
      <w:r w:rsidRPr="004A0C32">
        <w:rPr>
          <w:rStyle w:val="SingleTxtGChar"/>
          <w:lang w:val="en-GB"/>
        </w:rPr>
        <w:t>, the driver still has to fulfil the provisions in ADR</w:t>
      </w:r>
      <w:r>
        <w:rPr>
          <w:rStyle w:val="SingleTxtGChar"/>
          <w:lang w:val="en-GB"/>
        </w:rPr>
        <w:t xml:space="preserve">, where </w:t>
      </w:r>
      <w:r w:rsidRPr="004A0C32">
        <w:rPr>
          <w:rStyle w:val="SingleTxtGChar"/>
          <w:lang w:val="en-GB"/>
        </w:rPr>
        <w:t>Chapter 8.5 requires that the vehicle shall be supervised at all times. This means that the vehicle must be supervised when parked, nationally as well as in any other ADR country.</w:t>
      </w:r>
      <w:r>
        <w:rPr>
          <w:rStyle w:val="SingleTxtGChar"/>
          <w:lang w:val="en-GB"/>
        </w:rPr>
        <w:t xml:space="preserve"> However, since the meaning of the requirement is not clear, each individual driver has to make an interpretation. This situation is very unfortunate, and if we are not able to specify what is meant, the importance of such a requirement could be questioned and as a result safety and security could be compromised. </w:t>
      </w:r>
    </w:p>
    <w:p w14:paraId="629CDC7D" w14:textId="77777777" w:rsidR="0061611A" w:rsidRDefault="00A45689" w:rsidP="00A45689">
      <w:pPr>
        <w:pStyle w:val="SingleTxtG"/>
        <w:jc w:val="left"/>
        <w:rPr>
          <w:rStyle w:val="SingleTxtGChar"/>
          <w:lang w:val="en-GB"/>
        </w:rPr>
      </w:pPr>
      <w:r>
        <w:rPr>
          <w:rStyle w:val="SingleTxtGChar"/>
          <w:b/>
          <w:lang w:val="en-GB"/>
        </w:rPr>
        <w:t>Set-up</w:t>
      </w:r>
      <w:r w:rsidRPr="00783407">
        <w:rPr>
          <w:rStyle w:val="SingleTxtGChar"/>
          <w:b/>
          <w:lang w:val="en-GB"/>
        </w:rPr>
        <w:t xml:space="preserve"> of the questionnaire</w:t>
      </w:r>
    </w:p>
    <w:p w14:paraId="0B3769A3" w14:textId="394B7DE8" w:rsidR="00A45689" w:rsidRDefault="00A45689" w:rsidP="0061611A">
      <w:pPr>
        <w:pStyle w:val="SingleTxtG"/>
        <w:rPr>
          <w:rStyle w:val="SingleTxtGChar"/>
          <w:lang w:val="en-GB"/>
        </w:rPr>
      </w:pPr>
      <w:r w:rsidRPr="00680CD8">
        <w:rPr>
          <w:rStyle w:val="SingleTxtGChar"/>
          <w:lang w:val="en-GB"/>
        </w:rPr>
        <w:t xml:space="preserve">In the </w:t>
      </w:r>
      <w:proofErr w:type="gramStart"/>
      <w:r w:rsidRPr="00680CD8">
        <w:rPr>
          <w:rStyle w:val="SingleTxtGChar"/>
          <w:lang w:val="en-GB"/>
        </w:rPr>
        <w:t>sent out</w:t>
      </w:r>
      <w:proofErr w:type="gramEnd"/>
      <w:r w:rsidRPr="00680CD8">
        <w:rPr>
          <w:rStyle w:val="SingleTxtGChar"/>
          <w:lang w:val="en-GB"/>
        </w:rPr>
        <w:t xml:space="preserve"> questionnaire, we tried to cover as many </w:t>
      </w:r>
      <w:r>
        <w:rPr>
          <w:rStyle w:val="SingleTxtGChar"/>
          <w:lang w:val="en-GB"/>
        </w:rPr>
        <w:t xml:space="preserve">factors as possible that might affect the driver’s possibility to park </w:t>
      </w:r>
      <w:r w:rsidR="001F5F78">
        <w:rPr>
          <w:rStyle w:val="SingleTxtGChar"/>
          <w:lang w:val="en-GB"/>
        </w:rPr>
        <w:t>safe and secure. We are aware</w:t>
      </w:r>
      <w:r>
        <w:rPr>
          <w:rStyle w:val="SingleTxtGChar"/>
          <w:lang w:val="en-GB"/>
        </w:rPr>
        <w:t xml:space="preserve"> that some of the questions are difficult to give a definite answer to, e.g. the number of secure parking areas. Since there are no international definition of a safe and secure parking, the basis for the respective countries’ estimation also varies. Consequently, the level of safety and security that are available on those parking places also differs.</w:t>
      </w:r>
    </w:p>
    <w:p w14:paraId="67DC3CC6" w14:textId="77777777" w:rsidR="00A45689" w:rsidRDefault="00A45689" w:rsidP="0061611A">
      <w:pPr>
        <w:pStyle w:val="SingleTxtG"/>
        <w:rPr>
          <w:rStyle w:val="SingleTxtGChar"/>
          <w:lang w:val="en-GB"/>
        </w:rPr>
      </w:pPr>
      <w:r>
        <w:rPr>
          <w:rStyle w:val="SingleTxtGChar"/>
          <w:lang w:val="en-GB"/>
        </w:rPr>
        <w:t xml:space="preserve">Some countries have </w:t>
      </w:r>
      <w:proofErr w:type="gramStart"/>
      <w:r>
        <w:rPr>
          <w:rStyle w:val="SingleTxtGChar"/>
          <w:lang w:val="en-GB"/>
        </w:rPr>
        <w:t>taken into account</w:t>
      </w:r>
      <w:proofErr w:type="gramEnd"/>
      <w:r>
        <w:rPr>
          <w:rStyle w:val="SingleTxtGChar"/>
          <w:lang w:val="en-GB"/>
        </w:rPr>
        <w:t xml:space="preserve"> private terminals while others might only have included areas available to commercial traffic. Irrespective of this, we believe that any estimation that has been done and shared, gives valuable input about the situation. In the end, the most important thing is that the driver knows where to stop and that such stops are actually available when it is time for the driver’s required rest. Of course, if that place also meets an acceptable level of safety, security </w:t>
      </w:r>
      <w:r w:rsidRPr="00EB771A">
        <w:rPr>
          <w:rStyle w:val="SingleTxtGChar"/>
          <w:i/>
          <w:lang w:val="en-GB"/>
        </w:rPr>
        <w:t>and</w:t>
      </w:r>
      <w:r>
        <w:rPr>
          <w:rStyle w:val="SingleTxtGChar"/>
          <w:lang w:val="en-GB"/>
        </w:rPr>
        <w:t xml:space="preserve"> service, this would be the best possible situation.</w:t>
      </w:r>
    </w:p>
    <w:p w14:paraId="0714585E" w14:textId="1335AD10" w:rsidR="00A45689" w:rsidRDefault="00A45689" w:rsidP="0061611A">
      <w:pPr>
        <w:pStyle w:val="SingleTxtG"/>
        <w:rPr>
          <w:rStyle w:val="SingleTxtGChar"/>
          <w:lang w:val="en-GB"/>
        </w:rPr>
      </w:pPr>
      <w:r>
        <w:rPr>
          <w:rStyle w:val="SingleTxtGChar"/>
          <w:lang w:val="en-GB"/>
        </w:rPr>
        <w:t xml:space="preserve">As far as we are concerned, the questions did not require any confidential information. On the contrary, it is probably in each country’s interest to have this information ready available to whoever it may concern. Nevertheless, since we cannot ascertain that its content is read and understood in the correct or same way, </w:t>
      </w:r>
      <w:r w:rsidR="00955557">
        <w:rPr>
          <w:rStyle w:val="SingleTxtGChar"/>
          <w:lang w:val="en-GB"/>
        </w:rPr>
        <w:t xml:space="preserve">e.g. </w:t>
      </w:r>
      <w:r>
        <w:rPr>
          <w:rStyle w:val="SingleTxtGChar"/>
          <w:lang w:val="en-GB"/>
        </w:rPr>
        <w:t xml:space="preserve">by persons unaware of the foregoing discussions, we have chosen to leave out the </w:t>
      </w:r>
      <w:r w:rsidR="0022544A">
        <w:rPr>
          <w:rStyle w:val="SingleTxtGChar"/>
          <w:lang w:val="en-GB"/>
        </w:rPr>
        <w:t xml:space="preserve">complete </w:t>
      </w:r>
      <w:r>
        <w:rPr>
          <w:rStyle w:val="SingleTxtGChar"/>
          <w:lang w:val="en-GB"/>
        </w:rPr>
        <w:t>answers in this informal paper. For the same reason, we have decided to not specify which country that has given a certain information</w:t>
      </w:r>
      <w:r w:rsidR="002E38A9">
        <w:rPr>
          <w:rStyle w:val="SingleTxtGChar"/>
          <w:lang w:val="en-GB"/>
        </w:rPr>
        <w:t xml:space="preserve"> (except for the estimated number of parking areas)</w:t>
      </w:r>
      <w:r>
        <w:rPr>
          <w:rStyle w:val="SingleTxtGChar"/>
          <w:lang w:val="en-GB"/>
        </w:rPr>
        <w:t>, but instead present a de-identified result. However, if agreed by the Contracting Parties, the answers could of course be sent out via email to the same recipients as the questionnaire.</w:t>
      </w:r>
    </w:p>
    <w:p w14:paraId="623CD203" w14:textId="77777777" w:rsidR="0002463E" w:rsidRDefault="00CA12F5" w:rsidP="00CA12F5">
      <w:pPr>
        <w:pStyle w:val="HChG"/>
      </w:pPr>
      <w:r>
        <w:tab/>
      </w:r>
      <w:r>
        <w:tab/>
      </w:r>
    </w:p>
    <w:p w14:paraId="2159CB9B" w14:textId="77777777" w:rsidR="0002463E" w:rsidRDefault="0002463E">
      <w:pPr>
        <w:suppressAutoHyphens w:val="0"/>
        <w:spacing w:line="240" w:lineRule="auto"/>
        <w:rPr>
          <w:b/>
          <w:sz w:val="28"/>
          <w:lang w:val="x-none"/>
        </w:rPr>
      </w:pPr>
      <w:r>
        <w:br w:type="page"/>
      </w:r>
    </w:p>
    <w:p w14:paraId="328EB8DC" w14:textId="556048B8" w:rsidR="00CA12F5" w:rsidRPr="00CA12F5" w:rsidRDefault="0002463E" w:rsidP="00CA12F5">
      <w:pPr>
        <w:pStyle w:val="HChG"/>
      </w:pPr>
      <w:r>
        <w:rPr>
          <w:lang w:val="en-GB"/>
        </w:rPr>
        <w:lastRenderedPageBreak/>
        <w:tab/>
      </w:r>
      <w:r>
        <w:rPr>
          <w:lang w:val="en-GB"/>
        </w:rPr>
        <w:tab/>
      </w:r>
      <w:r w:rsidR="00CA12F5" w:rsidRPr="00815C2A">
        <w:rPr>
          <w:lang w:val="en-GB"/>
        </w:rPr>
        <w:t xml:space="preserve">Questionnaire - </w:t>
      </w:r>
      <w:r w:rsidR="00EA73E0">
        <w:t>p</w:t>
      </w:r>
      <w:r w:rsidR="00CA12F5" w:rsidRPr="00CA12F5">
        <w:t>resentation of the result</w:t>
      </w:r>
    </w:p>
    <w:p w14:paraId="285697EE" w14:textId="77777777" w:rsidR="001645C6" w:rsidRDefault="000117EC" w:rsidP="004A0C32">
      <w:pPr>
        <w:pStyle w:val="SingleTxtG"/>
        <w:jc w:val="left"/>
        <w:rPr>
          <w:rStyle w:val="SingleTxtGChar"/>
          <w:lang w:val="en-GB"/>
        </w:rPr>
      </w:pPr>
      <w:r>
        <w:rPr>
          <w:rStyle w:val="SingleTxtGChar"/>
          <w:lang w:val="en-GB"/>
        </w:rPr>
        <w:t xml:space="preserve">The </w:t>
      </w:r>
      <w:r w:rsidR="00CA12F5" w:rsidRPr="00CA12F5">
        <w:rPr>
          <w:rStyle w:val="SingleTxtGChar"/>
          <w:lang w:val="en-GB"/>
        </w:rPr>
        <w:t xml:space="preserve">answers </w:t>
      </w:r>
      <w:r w:rsidR="001645C6">
        <w:rPr>
          <w:rStyle w:val="SingleTxtGChar"/>
          <w:lang w:val="en-GB"/>
        </w:rPr>
        <w:t>received</w:t>
      </w:r>
      <w:r w:rsidR="00CA12F5">
        <w:rPr>
          <w:rStyle w:val="SingleTxtGChar"/>
          <w:lang w:val="en-GB"/>
        </w:rPr>
        <w:t xml:space="preserve"> on the questionnaire</w:t>
      </w:r>
      <w:r>
        <w:rPr>
          <w:rStyle w:val="SingleTxtGChar"/>
          <w:lang w:val="en-GB"/>
        </w:rPr>
        <w:t xml:space="preserve"> </w:t>
      </w:r>
      <w:r w:rsidR="00567F94">
        <w:rPr>
          <w:rStyle w:val="SingleTxtGChar"/>
          <w:lang w:val="en-GB"/>
        </w:rPr>
        <w:t xml:space="preserve">are </w:t>
      </w:r>
      <w:r>
        <w:rPr>
          <w:rStyle w:val="SingleTxtGChar"/>
          <w:lang w:val="en-GB"/>
        </w:rPr>
        <w:t>presented</w:t>
      </w:r>
      <w:r w:rsidR="00DB7ED0">
        <w:rPr>
          <w:rStyle w:val="SingleTxtGChar"/>
          <w:lang w:val="en-GB"/>
        </w:rPr>
        <w:t xml:space="preserve"> as fo</w:t>
      </w:r>
      <w:r>
        <w:rPr>
          <w:rStyle w:val="SingleTxtGChar"/>
          <w:lang w:val="en-GB"/>
        </w:rPr>
        <w:t>llow</w:t>
      </w:r>
      <w:r w:rsidR="00DB7ED0">
        <w:rPr>
          <w:rStyle w:val="SingleTxtGChar"/>
          <w:lang w:val="en-GB"/>
        </w:rPr>
        <w:t>s</w:t>
      </w:r>
      <w:r w:rsidR="00E019E0">
        <w:rPr>
          <w:rStyle w:val="SingleTxtGChar"/>
          <w:lang w:val="en-GB"/>
        </w:rPr>
        <w:t>:</w:t>
      </w:r>
      <w:r>
        <w:rPr>
          <w:rStyle w:val="SingleTxtGChar"/>
          <w:lang w:val="en-GB"/>
        </w:rPr>
        <w:t xml:space="preserve"> </w:t>
      </w:r>
    </w:p>
    <w:p w14:paraId="1D0F4E4B" w14:textId="7D047BD0" w:rsidR="001645C6" w:rsidRPr="000572A1" w:rsidRDefault="0061611A" w:rsidP="0061611A">
      <w:pPr>
        <w:pStyle w:val="SingleTxtG"/>
        <w:rPr>
          <w:rStyle w:val="SingleTxtGChar"/>
          <w:lang w:val="en-GB"/>
        </w:rPr>
      </w:pPr>
      <w:r>
        <w:rPr>
          <w:rStyle w:val="SingleTxtGChar"/>
          <w:lang w:val="en-GB"/>
        </w:rPr>
        <w:tab/>
      </w:r>
      <w:r>
        <w:rPr>
          <w:rStyle w:val="SingleTxtGChar"/>
          <w:lang w:val="en-GB"/>
        </w:rPr>
        <w:tab/>
        <w:t>-</w:t>
      </w:r>
      <w:r>
        <w:rPr>
          <w:rStyle w:val="SingleTxtGChar"/>
          <w:lang w:val="en-GB"/>
        </w:rPr>
        <w:tab/>
      </w:r>
      <w:r w:rsidR="000572A1" w:rsidRPr="000572A1">
        <w:rPr>
          <w:rStyle w:val="SingleTxtGChar"/>
          <w:lang w:val="en-GB"/>
        </w:rPr>
        <w:t>The c</w:t>
      </w:r>
      <w:r w:rsidR="00CA12F5" w:rsidRPr="000572A1">
        <w:rPr>
          <w:rStyle w:val="SingleTxtGChar"/>
          <w:lang w:val="en-GB"/>
        </w:rPr>
        <w:t>ircle diagram</w:t>
      </w:r>
      <w:r w:rsidR="000C00DB" w:rsidRPr="000572A1">
        <w:rPr>
          <w:rStyle w:val="SingleTxtGChar"/>
          <w:lang w:val="en-GB"/>
        </w:rPr>
        <w:t xml:space="preserve">s </w:t>
      </w:r>
      <w:r w:rsidR="00356868" w:rsidRPr="000572A1">
        <w:rPr>
          <w:rStyle w:val="SingleTxtGChar"/>
          <w:lang w:val="en-GB"/>
        </w:rPr>
        <w:t>are based on the number of received answers</w:t>
      </w:r>
      <w:r w:rsidR="00DB7ED0" w:rsidRPr="000572A1">
        <w:rPr>
          <w:rStyle w:val="SingleTxtGChar"/>
          <w:lang w:val="en-GB"/>
        </w:rPr>
        <w:t xml:space="preserve"> (20 countries)</w:t>
      </w:r>
      <w:r w:rsidR="000572A1" w:rsidRPr="000572A1">
        <w:rPr>
          <w:rStyle w:val="SingleTxtGChar"/>
          <w:lang w:val="en-GB"/>
        </w:rPr>
        <w:t>.</w:t>
      </w:r>
      <w:r w:rsidR="0068608F">
        <w:rPr>
          <w:rStyle w:val="SingleTxtGChar"/>
          <w:lang w:val="en-GB"/>
        </w:rPr>
        <w:t xml:space="preserve"> However, all countries have not answered all questions why the sum in some diagrams might be less than 20 (100 %).  </w:t>
      </w:r>
    </w:p>
    <w:p w14:paraId="6F3B5C00" w14:textId="300EC8DC" w:rsidR="00377E04" w:rsidRDefault="0061611A" w:rsidP="0061611A">
      <w:pPr>
        <w:pStyle w:val="SingleTxtG"/>
        <w:rPr>
          <w:rStyle w:val="SingleTxtGChar"/>
          <w:lang w:val="en-GB"/>
        </w:rPr>
      </w:pPr>
      <w:r>
        <w:rPr>
          <w:rStyle w:val="SingleTxtGChar"/>
          <w:lang w:val="en-GB"/>
        </w:rPr>
        <w:tab/>
      </w:r>
      <w:r>
        <w:rPr>
          <w:rStyle w:val="SingleTxtGChar"/>
          <w:lang w:val="en-GB"/>
        </w:rPr>
        <w:tab/>
        <w:t>-</w:t>
      </w:r>
      <w:r>
        <w:rPr>
          <w:rStyle w:val="SingleTxtGChar"/>
          <w:lang w:val="en-GB"/>
        </w:rPr>
        <w:tab/>
      </w:r>
      <w:r w:rsidR="00CA12F5">
        <w:rPr>
          <w:rStyle w:val="SingleTxtGChar"/>
          <w:lang w:val="en-GB"/>
        </w:rPr>
        <w:t>T</w:t>
      </w:r>
      <w:r w:rsidR="001645C6">
        <w:rPr>
          <w:rStyle w:val="SingleTxtGChar"/>
          <w:lang w:val="en-GB"/>
        </w:rPr>
        <w:t xml:space="preserve">o keep down the </w:t>
      </w:r>
      <w:r w:rsidR="001645C6" w:rsidRPr="00377E04">
        <w:rPr>
          <w:rStyle w:val="SingleTxtGChar"/>
          <w:lang w:val="en-GB"/>
        </w:rPr>
        <w:t xml:space="preserve">volume of this document, we have </w:t>
      </w:r>
      <w:r w:rsidR="00F832CF" w:rsidRPr="00377E04">
        <w:rPr>
          <w:rStyle w:val="SingleTxtGChar"/>
          <w:lang w:val="en-GB"/>
        </w:rPr>
        <w:t xml:space="preserve">chosen not to reproduce all </w:t>
      </w:r>
      <w:r w:rsidR="00356868" w:rsidRPr="00377E04">
        <w:rPr>
          <w:rStyle w:val="SingleTxtGChar"/>
          <w:lang w:val="en-GB"/>
        </w:rPr>
        <w:t xml:space="preserve">the </w:t>
      </w:r>
      <w:r w:rsidR="00F832CF" w:rsidRPr="00377E04">
        <w:rPr>
          <w:rStyle w:val="SingleTxtGChar"/>
          <w:lang w:val="en-GB"/>
        </w:rPr>
        <w:t xml:space="preserve">individual comments. However, </w:t>
      </w:r>
      <w:r w:rsidR="00F832CF" w:rsidRPr="0034247C">
        <w:rPr>
          <w:rStyle w:val="SingleTxtGChar"/>
          <w:lang w:val="en-GB"/>
        </w:rPr>
        <w:t xml:space="preserve">some comparable comments have been </w:t>
      </w:r>
      <w:r w:rsidR="0034247C">
        <w:rPr>
          <w:rStyle w:val="SingleTxtGChar"/>
          <w:lang w:val="en-GB"/>
        </w:rPr>
        <w:t>reflected</w:t>
      </w:r>
      <w:r w:rsidR="00F832CF" w:rsidRPr="0034247C">
        <w:rPr>
          <w:rStyle w:val="SingleTxtGChar"/>
          <w:lang w:val="en-GB"/>
        </w:rPr>
        <w:t xml:space="preserve"> to </w:t>
      </w:r>
      <w:r w:rsidR="000C00DB" w:rsidRPr="0034247C">
        <w:rPr>
          <w:rStyle w:val="SingleTxtGChar"/>
          <w:lang w:val="en-GB"/>
        </w:rPr>
        <w:t>give an overview of how the situation looks in general.</w:t>
      </w:r>
    </w:p>
    <w:p w14:paraId="53455426" w14:textId="423A6085" w:rsidR="007F528D" w:rsidRDefault="0061611A" w:rsidP="0061611A">
      <w:pPr>
        <w:pStyle w:val="SingleTxtG"/>
        <w:rPr>
          <w:rStyle w:val="SingleTxtGChar"/>
          <w:lang w:val="en-GB"/>
        </w:rPr>
      </w:pPr>
      <w:r>
        <w:rPr>
          <w:rStyle w:val="SingleTxtGChar"/>
          <w:lang w:val="en-GB"/>
        </w:rPr>
        <w:tab/>
      </w:r>
      <w:r>
        <w:rPr>
          <w:rStyle w:val="SingleTxtGChar"/>
          <w:lang w:val="en-GB"/>
        </w:rPr>
        <w:tab/>
        <w:t>-</w:t>
      </w:r>
      <w:r>
        <w:rPr>
          <w:rStyle w:val="SingleTxtGChar"/>
          <w:lang w:val="en-GB"/>
        </w:rPr>
        <w:tab/>
      </w:r>
      <w:r w:rsidR="007F528D" w:rsidRPr="00DD63C5">
        <w:rPr>
          <w:rStyle w:val="SingleTxtGChar"/>
          <w:lang w:val="en-GB"/>
        </w:rPr>
        <w:t>Information from the EU-Commission as well as from organizations are presented separately.</w:t>
      </w:r>
    </w:p>
    <w:p w14:paraId="145369AB" w14:textId="6C23BDB3" w:rsidR="004616DB" w:rsidRDefault="004616DB" w:rsidP="004616DB">
      <w:pPr>
        <w:pStyle w:val="SingleTxtG"/>
        <w:ind w:left="993"/>
        <w:jc w:val="left"/>
        <w:rPr>
          <w:rStyle w:val="SingleTxtGChar"/>
          <w:lang w:val="en-GB"/>
        </w:rPr>
      </w:pPr>
      <w:r>
        <w:rPr>
          <w:noProof/>
          <w:lang w:val="sv-SE" w:eastAsia="sv-SE"/>
        </w:rPr>
        <w:drawing>
          <wp:inline distT="0" distB="0" distL="0" distR="0" wp14:anchorId="2D8D02D3" wp14:editId="6CBCE563">
            <wp:extent cx="4839536" cy="2654490"/>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92858" cy="2683737"/>
                    </a:xfrm>
                    <a:prstGeom prst="rect">
                      <a:avLst/>
                    </a:prstGeom>
                  </pic:spPr>
                </pic:pic>
              </a:graphicData>
            </a:graphic>
          </wp:inline>
        </w:drawing>
      </w:r>
    </w:p>
    <w:p w14:paraId="323173D7" w14:textId="7E5110F7" w:rsidR="004616DB" w:rsidRDefault="004616DB" w:rsidP="004616DB">
      <w:pPr>
        <w:pStyle w:val="SingleTxtG"/>
        <w:ind w:left="993"/>
        <w:jc w:val="left"/>
        <w:rPr>
          <w:rStyle w:val="SingleTxtGChar"/>
          <w:lang w:val="en-GB"/>
        </w:rPr>
      </w:pPr>
    </w:p>
    <w:p w14:paraId="0704D13D" w14:textId="77777777" w:rsidR="004616DB" w:rsidRPr="00DD63C5" w:rsidRDefault="004616DB" w:rsidP="004616DB">
      <w:pPr>
        <w:pStyle w:val="SingleTxtG"/>
        <w:ind w:left="993"/>
        <w:jc w:val="left"/>
        <w:rPr>
          <w:rStyle w:val="SingleTxtGChar"/>
          <w:lang w:val="en-GB"/>
        </w:rPr>
      </w:pPr>
    </w:p>
    <w:tbl>
      <w:tblPr>
        <w:tblStyle w:val="TableGrid"/>
        <w:tblW w:w="0" w:type="auto"/>
        <w:tblInd w:w="1134" w:type="dxa"/>
        <w:tblLook w:val="04A0" w:firstRow="1" w:lastRow="0" w:firstColumn="1" w:lastColumn="0" w:noHBand="0" w:noVBand="1"/>
      </w:tblPr>
      <w:tblGrid>
        <w:gridCol w:w="8495"/>
      </w:tblGrid>
      <w:tr w:rsidR="000B0237" w14:paraId="5449D0A2" w14:textId="77777777" w:rsidTr="00137512">
        <w:tc>
          <w:tcPr>
            <w:tcW w:w="8495" w:type="dxa"/>
            <w:tcBorders>
              <w:top w:val="nil"/>
              <w:left w:val="nil"/>
              <w:bottom w:val="nil"/>
              <w:right w:val="nil"/>
            </w:tcBorders>
          </w:tcPr>
          <w:p w14:paraId="04A103E9" w14:textId="77777777" w:rsidR="000B0237" w:rsidRDefault="004616DB" w:rsidP="004616DB">
            <w:pPr>
              <w:suppressAutoHyphens w:val="0"/>
              <w:spacing w:line="240" w:lineRule="auto"/>
              <w:ind w:left="-112"/>
              <w:rPr>
                <w:b/>
              </w:rPr>
            </w:pPr>
            <w:r>
              <w:rPr>
                <w:noProof/>
                <w:lang w:val="sv-SE" w:eastAsia="sv-SE"/>
              </w:rPr>
              <w:drawing>
                <wp:inline distT="0" distB="0" distL="0" distR="0" wp14:anchorId="3DC2774A" wp14:editId="4CDE8464">
                  <wp:extent cx="5213189" cy="2702594"/>
                  <wp:effectExtent l="0" t="0" r="6985"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6252" cy="2714550"/>
                          </a:xfrm>
                          <a:prstGeom prst="rect">
                            <a:avLst/>
                          </a:prstGeom>
                        </pic:spPr>
                      </pic:pic>
                    </a:graphicData>
                  </a:graphic>
                </wp:inline>
              </w:drawing>
            </w:r>
          </w:p>
          <w:p w14:paraId="2D114A5A" w14:textId="77777777" w:rsidR="004616DB" w:rsidRDefault="004616DB" w:rsidP="004616DB">
            <w:pPr>
              <w:suppressAutoHyphens w:val="0"/>
              <w:spacing w:line="240" w:lineRule="auto"/>
              <w:rPr>
                <w:b/>
              </w:rPr>
            </w:pPr>
          </w:p>
          <w:p w14:paraId="17AFF4AA" w14:textId="223A2E5C" w:rsidR="004616DB" w:rsidRDefault="004616DB" w:rsidP="004616DB">
            <w:pPr>
              <w:suppressAutoHyphens w:val="0"/>
              <w:spacing w:line="240" w:lineRule="auto"/>
              <w:rPr>
                <w:b/>
              </w:rPr>
            </w:pPr>
          </w:p>
        </w:tc>
      </w:tr>
    </w:tbl>
    <w:p w14:paraId="2ED5BD81" w14:textId="77777777" w:rsidR="00DB7ED0" w:rsidRPr="00D9146B" w:rsidRDefault="00DB7ED0" w:rsidP="00B70F09">
      <w:pPr>
        <w:ind w:left="1134"/>
        <w:rPr>
          <w:b/>
          <w:lang w:val="sv-SE"/>
        </w:rPr>
      </w:pPr>
    </w:p>
    <w:p w14:paraId="544089BB" w14:textId="79EB9880" w:rsidR="00F97D14" w:rsidRDefault="004616DB" w:rsidP="003A3908">
      <w:pPr>
        <w:suppressAutoHyphens w:val="0"/>
        <w:spacing w:line="240" w:lineRule="auto"/>
        <w:ind w:left="1134"/>
        <w:rPr>
          <w:rStyle w:val="SingleTxtGChar"/>
        </w:rPr>
      </w:pPr>
      <w:r>
        <w:rPr>
          <w:b/>
        </w:rPr>
        <w:br w:type="page"/>
      </w:r>
      <w:r>
        <w:rPr>
          <w:noProof/>
          <w:lang w:val="sv-SE" w:eastAsia="sv-SE"/>
        </w:rPr>
        <w:lastRenderedPageBreak/>
        <w:drawing>
          <wp:inline distT="0" distB="0" distL="0" distR="0" wp14:anchorId="02118046" wp14:editId="68CB2852">
            <wp:extent cx="4080680" cy="2518697"/>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01172" cy="2531345"/>
                    </a:xfrm>
                    <a:prstGeom prst="rect">
                      <a:avLst/>
                    </a:prstGeom>
                  </pic:spPr>
                </pic:pic>
              </a:graphicData>
            </a:graphic>
          </wp:inline>
        </w:drawing>
      </w:r>
    </w:p>
    <w:p w14:paraId="4AF0A24D" w14:textId="77777777" w:rsidR="00CB3C2D" w:rsidRDefault="00CB3C2D" w:rsidP="00C243B3">
      <w:pPr>
        <w:ind w:left="567" w:firstLine="567"/>
        <w:rPr>
          <w:b/>
        </w:rPr>
      </w:pPr>
    </w:p>
    <w:p w14:paraId="6D1273F1" w14:textId="77777777" w:rsidR="00CD1E1D" w:rsidRDefault="00CD1E1D" w:rsidP="00C243B3">
      <w:pPr>
        <w:ind w:left="567" w:firstLine="567"/>
        <w:rPr>
          <w:b/>
        </w:rPr>
      </w:pPr>
    </w:p>
    <w:p w14:paraId="77F6CCC6" w14:textId="77777777" w:rsidR="00CD1E1D" w:rsidRDefault="00CD1E1D" w:rsidP="00C243B3">
      <w:pPr>
        <w:ind w:left="567" w:firstLine="567"/>
        <w:rPr>
          <w:b/>
        </w:rPr>
      </w:pPr>
    </w:p>
    <w:p w14:paraId="521ABB3E" w14:textId="4E107B2C" w:rsidR="00CD1E1D" w:rsidRDefault="004616DB" w:rsidP="00C243B3">
      <w:pPr>
        <w:ind w:left="567" w:firstLine="567"/>
        <w:rPr>
          <w:b/>
        </w:rPr>
      </w:pPr>
      <w:r>
        <w:rPr>
          <w:noProof/>
          <w:lang w:val="sv-SE" w:eastAsia="sv-SE"/>
        </w:rPr>
        <w:drawing>
          <wp:inline distT="0" distB="0" distL="0" distR="0" wp14:anchorId="2646ED94" wp14:editId="7AD0A262">
            <wp:extent cx="4469642" cy="2343560"/>
            <wp:effectExtent l="0" t="0" r="762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89225" cy="2353828"/>
                    </a:xfrm>
                    <a:prstGeom prst="rect">
                      <a:avLst/>
                    </a:prstGeom>
                  </pic:spPr>
                </pic:pic>
              </a:graphicData>
            </a:graphic>
          </wp:inline>
        </w:drawing>
      </w:r>
    </w:p>
    <w:p w14:paraId="668E2857" w14:textId="77777777" w:rsidR="00CD1E1D" w:rsidRPr="002B76A3" w:rsidRDefault="00CD1E1D" w:rsidP="00C243B3">
      <w:pPr>
        <w:ind w:left="567" w:firstLine="567"/>
        <w:rPr>
          <w:b/>
          <w:sz w:val="28"/>
        </w:rPr>
      </w:pPr>
    </w:p>
    <w:p w14:paraId="76AE843E" w14:textId="5CBD44BE" w:rsidR="00D93534" w:rsidRPr="00D93534" w:rsidRDefault="00FC6A89" w:rsidP="0061611A">
      <w:pPr>
        <w:pStyle w:val="SingleTxtG"/>
        <w:rPr>
          <w:rStyle w:val="SingleTxtGChar"/>
        </w:rPr>
      </w:pPr>
      <w:r w:rsidRPr="00D93534">
        <w:rPr>
          <w:rStyle w:val="SingleTxtGChar"/>
          <w:i/>
          <w:lang w:val="en-GB"/>
        </w:rPr>
        <w:t>Comment:</w:t>
      </w:r>
      <w:r w:rsidR="00D93534">
        <w:rPr>
          <w:rStyle w:val="SingleTxtGChar"/>
          <w:i/>
          <w:lang w:val="en-GB"/>
        </w:rPr>
        <w:t xml:space="preserve"> </w:t>
      </w:r>
      <w:r w:rsidR="00D93534" w:rsidRPr="00D93534">
        <w:rPr>
          <w:rStyle w:val="SingleTxtGChar"/>
          <w:lang w:val="en-GB"/>
        </w:rPr>
        <w:t xml:space="preserve">The EU-Commission has provided the following information: </w:t>
      </w:r>
      <w:r w:rsidR="00D93534">
        <w:rPr>
          <w:rStyle w:val="SingleTxtGChar"/>
          <w:lang w:val="en-GB"/>
        </w:rPr>
        <w:t>“</w:t>
      </w:r>
      <w:r w:rsidR="00D93534" w:rsidRPr="00D93534">
        <w:rPr>
          <w:rStyle w:val="SingleTxtGChar"/>
        </w:rPr>
        <w:t>The option that the driver must see the vehicle at all times is not acceptable from the point of view of the coherence with t</w:t>
      </w:r>
      <w:r w:rsidR="001F5F78">
        <w:rPr>
          <w:rStyle w:val="SingleTxtGChar"/>
        </w:rPr>
        <w:t>he applicable social rules. Art</w:t>
      </w:r>
      <w:r w:rsidR="001F5F78">
        <w:rPr>
          <w:rStyle w:val="SingleTxtGChar"/>
          <w:lang w:val="fr-CH"/>
        </w:rPr>
        <w:t>icle</w:t>
      </w:r>
      <w:r w:rsidR="00D93534" w:rsidRPr="00D93534">
        <w:rPr>
          <w:rStyle w:val="SingleTxtGChar"/>
        </w:rPr>
        <w:t xml:space="preserve"> 4 (d) stipulates that ”‘break’ means any period during which a driver may not carry out any driving or any other work and which is used exclusively for recuperation”.</w:t>
      </w:r>
      <w:r w:rsidR="00D93534" w:rsidRPr="00D93534">
        <w:rPr>
          <w:rStyle w:val="SingleTxtGChar"/>
          <w:lang w:val="en-GB"/>
        </w:rPr>
        <w:t xml:space="preserve"> The EU-Commission also included references to the </w:t>
      </w:r>
      <w:r w:rsidR="00D93534" w:rsidRPr="00D93534">
        <w:rPr>
          <w:rStyle w:val="SingleTxtGChar"/>
        </w:rPr>
        <w:t xml:space="preserve">EU social legislation in road transport, in particular Regulation (EC) No 561/2006 and Directive 2002/15/EC lays down the minimum requirements for driving and working times of professional drivers, as well as breaks at work and daily and weekly rest periods. </w:t>
      </w:r>
    </w:p>
    <w:p w14:paraId="20143B48" w14:textId="77777777" w:rsidR="00D93534" w:rsidRPr="00D93534" w:rsidRDefault="00D93534" w:rsidP="00D93534">
      <w:pPr>
        <w:pStyle w:val="SingleTxtG"/>
        <w:jc w:val="left"/>
        <w:rPr>
          <w:rStyle w:val="SingleTxtGChar"/>
        </w:rPr>
      </w:pPr>
      <w:r w:rsidRPr="00D93534">
        <w:rPr>
          <w:rStyle w:val="SingleTxtGChar"/>
        </w:rPr>
        <w:t xml:space="preserve">Regulation 561/2006 also provides clear definitions of “break” and “rest”. </w:t>
      </w:r>
    </w:p>
    <w:p w14:paraId="4332FD44" w14:textId="77777777" w:rsidR="00D93534" w:rsidRPr="00D93534" w:rsidRDefault="00D93534" w:rsidP="00D93534">
      <w:pPr>
        <w:pStyle w:val="SingleTxtG"/>
        <w:jc w:val="left"/>
        <w:rPr>
          <w:rStyle w:val="SingleTxtGChar"/>
        </w:rPr>
      </w:pPr>
      <w:r w:rsidRPr="00D93534">
        <w:rPr>
          <w:rStyle w:val="SingleTxtGChar"/>
        </w:rPr>
        <w:t>“Break” is defined in Article 4(d) as any period during which a driver may not carry out any driving or any other work and which is used exclusively for recuperation.</w:t>
      </w:r>
    </w:p>
    <w:p w14:paraId="162AF7D1" w14:textId="77777777" w:rsidR="00EB6500" w:rsidRDefault="00D93534" w:rsidP="0061611A">
      <w:pPr>
        <w:pStyle w:val="SingleTxtG"/>
        <w:rPr>
          <w:rStyle w:val="SingleTxtGChar"/>
        </w:rPr>
      </w:pPr>
      <w:r w:rsidRPr="00D93534">
        <w:rPr>
          <w:rStyle w:val="SingleTxtGChar"/>
        </w:rPr>
        <w:t xml:space="preserve"> “Rest” is defined in Article 4(f) as any uninterrupted period during which a driver may freely dispose of his time.  It follows from these definitions that during break or rest periods drivers may not be involved in monitoring a vehicle or its cargo, as these activities are part of the working time as defined in  Article 3(a) of Directive 2002/15 on the </w:t>
      </w:r>
      <w:proofErr w:type="spellStart"/>
      <w:r w:rsidRPr="00D93534">
        <w:rPr>
          <w:rStyle w:val="SingleTxtGChar"/>
        </w:rPr>
        <w:t>organisation</w:t>
      </w:r>
      <w:proofErr w:type="spellEnd"/>
      <w:r w:rsidRPr="00D93534">
        <w:rPr>
          <w:rStyle w:val="SingleTxtGChar"/>
        </w:rPr>
        <w:t xml:space="preserve"> of the working time of</w:t>
      </w:r>
      <w:r>
        <w:rPr>
          <w:rStyle w:val="SingleTxtGChar"/>
        </w:rPr>
        <w:t xml:space="preserve"> road transport mobile workers.”</w:t>
      </w:r>
    </w:p>
    <w:p w14:paraId="0971C5CD" w14:textId="77777777" w:rsidR="00D93534" w:rsidRDefault="00D93534" w:rsidP="00D93534">
      <w:pPr>
        <w:pStyle w:val="SingleTxtG"/>
        <w:jc w:val="left"/>
        <w:rPr>
          <w:b/>
          <w:sz w:val="22"/>
        </w:rPr>
      </w:pPr>
    </w:p>
    <w:p w14:paraId="6CBDF7C7" w14:textId="77777777" w:rsidR="00070988" w:rsidRPr="00735DA3" w:rsidRDefault="00070988" w:rsidP="00070988">
      <w:pPr>
        <w:ind w:left="567" w:firstLine="567"/>
        <w:rPr>
          <w:b/>
          <w:sz w:val="22"/>
        </w:rPr>
      </w:pPr>
      <w:r w:rsidRPr="00735DA3">
        <w:rPr>
          <w:b/>
          <w:sz w:val="24"/>
        </w:rPr>
        <w:lastRenderedPageBreak/>
        <w:t>General questions related to all kind of breaks and rests</w:t>
      </w:r>
      <w:r w:rsidRPr="00735DA3">
        <w:rPr>
          <w:b/>
          <w:sz w:val="22"/>
        </w:rPr>
        <w:br/>
      </w:r>
    </w:p>
    <w:p w14:paraId="3A120449" w14:textId="77777777" w:rsidR="0065420F" w:rsidRDefault="0065420F" w:rsidP="00070988">
      <w:pPr>
        <w:ind w:left="1134"/>
        <w:rPr>
          <w:b/>
        </w:rPr>
      </w:pPr>
    </w:p>
    <w:p w14:paraId="603B4639" w14:textId="4814F612" w:rsidR="002E14E9" w:rsidRPr="00D9146B" w:rsidRDefault="004616DB" w:rsidP="009D7DBD">
      <w:pPr>
        <w:pStyle w:val="SingleTxtG"/>
        <w:jc w:val="center"/>
        <w:rPr>
          <w:rStyle w:val="SingleTxtGChar"/>
          <w:u w:val="single"/>
          <w:lang w:val="en-GB"/>
        </w:rPr>
      </w:pPr>
      <w:r>
        <w:rPr>
          <w:noProof/>
          <w:lang w:val="sv-SE" w:eastAsia="sv-SE"/>
        </w:rPr>
        <w:drawing>
          <wp:inline distT="0" distB="0" distL="0" distR="0" wp14:anchorId="350F4EA9" wp14:editId="7523EA34">
            <wp:extent cx="5136770" cy="2552131"/>
            <wp:effectExtent l="0" t="0" r="6985" b="635"/>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68549" cy="2567920"/>
                    </a:xfrm>
                    <a:prstGeom prst="rect">
                      <a:avLst/>
                    </a:prstGeom>
                  </pic:spPr>
                </pic:pic>
              </a:graphicData>
            </a:graphic>
          </wp:inline>
        </w:drawing>
      </w:r>
    </w:p>
    <w:p w14:paraId="5D01F383" w14:textId="376F54EA" w:rsidR="00091AA5" w:rsidRPr="00091AA5" w:rsidRDefault="004616DB" w:rsidP="0061611A">
      <w:pPr>
        <w:pStyle w:val="SingleTxtG"/>
        <w:rPr>
          <w:rStyle w:val="SingleTxtGChar"/>
          <w:lang w:val="en-GB"/>
        </w:rPr>
      </w:pPr>
      <w:r>
        <w:rPr>
          <w:rStyle w:val="SingleTxtGChar"/>
          <w:i/>
          <w:lang w:val="en-GB"/>
        </w:rPr>
        <w:br/>
      </w:r>
      <w:r w:rsidR="007277B2" w:rsidRPr="007277B2">
        <w:rPr>
          <w:rStyle w:val="SingleTxtGChar"/>
          <w:i/>
          <w:lang w:val="en-GB"/>
        </w:rPr>
        <w:t>Comment</w:t>
      </w:r>
      <w:r w:rsidR="0065420F" w:rsidRPr="007277B2">
        <w:rPr>
          <w:rStyle w:val="SingleTxtGChar"/>
          <w:lang w:val="en-GB"/>
        </w:rPr>
        <w:t>:</w:t>
      </w:r>
      <w:r w:rsidR="0065420F" w:rsidRPr="00091AA5">
        <w:rPr>
          <w:rStyle w:val="SingleTxtGChar"/>
          <w:lang w:val="en-GB"/>
        </w:rPr>
        <w:t xml:space="preserve"> </w:t>
      </w:r>
      <w:r w:rsidR="00091AA5">
        <w:rPr>
          <w:rStyle w:val="SingleTxtGChar"/>
          <w:lang w:val="en-GB"/>
        </w:rPr>
        <w:t xml:space="preserve">The result indicates that it </w:t>
      </w:r>
      <w:r w:rsidR="007277B2">
        <w:rPr>
          <w:rStyle w:val="SingleTxtGChar"/>
          <w:lang w:val="en-GB"/>
        </w:rPr>
        <w:t>would</w:t>
      </w:r>
      <w:r w:rsidR="00091AA5">
        <w:rPr>
          <w:rStyle w:val="SingleTxtGChar"/>
          <w:lang w:val="en-GB"/>
        </w:rPr>
        <w:t xml:space="preserve"> </w:t>
      </w:r>
      <w:r w:rsidR="00091AA5" w:rsidRPr="007277B2">
        <w:rPr>
          <w:rStyle w:val="SingleTxtGChar"/>
          <w:lang w:val="en-GB"/>
        </w:rPr>
        <w:t xml:space="preserve">be problematic to </w:t>
      </w:r>
      <w:r w:rsidR="007277B2" w:rsidRPr="007277B2">
        <w:rPr>
          <w:rStyle w:val="SingleTxtGChar"/>
          <w:lang w:val="en-GB"/>
        </w:rPr>
        <w:t>introduce</w:t>
      </w:r>
      <w:r w:rsidR="00091AA5" w:rsidRPr="007277B2">
        <w:rPr>
          <w:rStyle w:val="SingleTxtGChar"/>
          <w:lang w:val="en-GB"/>
        </w:rPr>
        <w:t xml:space="preserve"> requirements </w:t>
      </w:r>
      <w:r w:rsidR="007277B2" w:rsidRPr="007277B2">
        <w:rPr>
          <w:rStyle w:val="SingleTxtGChar"/>
          <w:lang w:val="en-GB"/>
        </w:rPr>
        <w:t xml:space="preserve">related to camera surveillance </w:t>
      </w:r>
      <w:r w:rsidR="00091AA5" w:rsidRPr="007277B2">
        <w:rPr>
          <w:rStyle w:val="SingleTxtGChar"/>
          <w:lang w:val="en-GB"/>
        </w:rPr>
        <w:t>in ADR</w:t>
      </w:r>
      <w:r w:rsidR="00A0515C">
        <w:rPr>
          <w:rStyle w:val="SingleTxtGChar"/>
          <w:lang w:val="en-GB"/>
        </w:rPr>
        <w:t xml:space="preserve"> since such p</w:t>
      </w:r>
      <w:r w:rsidR="007277B2">
        <w:rPr>
          <w:rStyle w:val="SingleTxtGChar"/>
          <w:lang w:val="en-GB"/>
        </w:rPr>
        <w:t xml:space="preserve">arking areas are still very few within </w:t>
      </w:r>
      <w:r w:rsidR="0070457B">
        <w:rPr>
          <w:rStyle w:val="SingleTxtGChar"/>
          <w:lang w:val="en-GB"/>
        </w:rPr>
        <w:t xml:space="preserve">the </w:t>
      </w:r>
      <w:r w:rsidR="007277B2">
        <w:rPr>
          <w:rStyle w:val="SingleTxtGChar"/>
          <w:lang w:val="en-GB"/>
        </w:rPr>
        <w:t>countries</w:t>
      </w:r>
      <w:r w:rsidR="0070457B">
        <w:rPr>
          <w:rStyle w:val="SingleTxtGChar"/>
          <w:lang w:val="en-GB"/>
        </w:rPr>
        <w:t>.</w:t>
      </w:r>
      <w:r w:rsidR="00A0515C">
        <w:rPr>
          <w:rStyle w:val="SingleTxtGChar"/>
          <w:lang w:val="en-GB"/>
        </w:rPr>
        <w:t xml:space="preserve"> Furthermore, t</w:t>
      </w:r>
      <w:r w:rsidR="007277B2">
        <w:rPr>
          <w:rStyle w:val="SingleTxtGChar"/>
          <w:lang w:val="en-GB"/>
        </w:rPr>
        <w:t xml:space="preserve">here are </w:t>
      </w:r>
      <w:r w:rsidR="00A0515C">
        <w:rPr>
          <w:rStyle w:val="SingleTxtGChar"/>
          <w:lang w:val="en-GB"/>
        </w:rPr>
        <w:t xml:space="preserve">some </w:t>
      </w:r>
      <w:r w:rsidR="007277B2">
        <w:rPr>
          <w:rStyle w:val="SingleTxtGChar"/>
          <w:lang w:val="en-GB"/>
        </w:rPr>
        <w:t>difficulties</w:t>
      </w:r>
      <w:r w:rsidR="00091AA5" w:rsidRPr="007277B2">
        <w:rPr>
          <w:rStyle w:val="SingleTxtGChar"/>
          <w:lang w:val="en-GB"/>
        </w:rPr>
        <w:t xml:space="preserve"> regarding the establishment of such sites. </w:t>
      </w:r>
      <w:r w:rsidR="001F5F78">
        <w:rPr>
          <w:rStyle w:val="SingleTxtGChar"/>
          <w:lang w:val="en-GB"/>
        </w:rPr>
        <w:t>(</w:t>
      </w:r>
      <w:r w:rsidR="00091AA5" w:rsidRPr="007277B2">
        <w:rPr>
          <w:rStyle w:val="SingleTxtGChar"/>
          <w:lang w:val="en-GB"/>
        </w:rPr>
        <w:t>GDPR</w:t>
      </w:r>
      <w:r w:rsidR="001F5F78">
        <w:rPr>
          <w:rStyle w:val="SingleTxtGChar"/>
          <w:lang w:val="en-GB"/>
        </w:rPr>
        <w:t xml:space="preserve">) </w:t>
      </w:r>
      <w:r w:rsidR="00D040D8">
        <w:rPr>
          <w:rStyle w:val="SingleTxtGChar"/>
          <w:lang w:val="en-GB"/>
        </w:rPr>
        <w:t>Gen</w:t>
      </w:r>
      <w:r w:rsidR="001F5F78">
        <w:rPr>
          <w:rStyle w:val="SingleTxtGChar"/>
          <w:lang w:val="en-GB"/>
        </w:rPr>
        <w:t>eral Data Protection Regulation</w:t>
      </w:r>
      <w:r w:rsidR="00091AA5" w:rsidRPr="007277B2">
        <w:rPr>
          <w:rStyle w:val="SingleTxtGChar"/>
          <w:lang w:val="en-GB"/>
        </w:rPr>
        <w:t xml:space="preserve"> </w:t>
      </w:r>
      <w:r w:rsidR="007277B2">
        <w:rPr>
          <w:rStyle w:val="SingleTxtGChar"/>
          <w:lang w:val="en-GB"/>
        </w:rPr>
        <w:t xml:space="preserve">as well as </w:t>
      </w:r>
      <w:r w:rsidR="00091AA5" w:rsidRPr="007277B2">
        <w:rPr>
          <w:rStyle w:val="SingleTxtGChar"/>
          <w:lang w:val="en-GB"/>
        </w:rPr>
        <w:t xml:space="preserve">other provisions </w:t>
      </w:r>
      <w:r w:rsidR="007277B2">
        <w:rPr>
          <w:rStyle w:val="SingleTxtGChar"/>
          <w:lang w:val="en-GB"/>
        </w:rPr>
        <w:t>makes the development of camera surveiled parking areas challenging.</w:t>
      </w:r>
    </w:p>
    <w:p w14:paraId="2EE7DDA1" w14:textId="77777777" w:rsidR="00070988" w:rsidRPr="00D9146B" w:rsidRDefault="00070988" w:rsidP="005F1822">
      <w:pPr>
        <w:pStyle w:val="SingleTxtG"/>
        <w:jc w:val="left"/>
        <w:rPr>
          <w:rStyle w:val="SingleTxtGChar"/>
          <w:lang w:val="en-GB"/>
        </w:rPr>
      </w:pPr>
    </w:p>
    <w:p w14:paraId="5841918D" w14:textId="40D00447" w:rsidR="009D7DBD" w:rsidRDefault="004616DB" w:rsidP="009D7DBD">
      <w:pPr>
        <w:pStyle w:val="SingleTxtG"/>
        <w:jc w:val="center"/>
        <w:rPr>
          <w:b/>
          <w:lang w:val="en-GB"/>
        </w:rPr>
      </w:pPr>
      <w:r>
        <w:rPr>
          <w:noProof/>
          <w:lang w:val="sv-SE" w:eastAsia="sv-SE"/>
        </w:rPr>
        <w:drawing>
          <wp:inline distT="0" distB="0" distL="0" distR="0" wp14:anchorId="6292DFEA" wp14:editId="742D3520">
            <wp:extent cx="4701654" cy="2561789"/>
            <wp:effectExtent l="0" t="0" r="381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53399" cy="2589983"/>
                    </a:xfrm>
                    <a:prstGeom prst="rect">
                      <a:avLst/>
                    </a:prstGeom>
                  </pic:spPr>
                </pic:pic>
              </a:graphicData>
            </a:graphic>
          </wp:inline>
        </w:drawing>
      </w:r>
    </w:p>
    <w:p w14:paraId="6595AF72" w14:textId="63F1B967" w:rsidR="00070988" w:rsidRDefault="00EB6500" w:rsidP="0061611A">
      <w:pPr>
        <w:pStyle w:val="SingleTxtG"/>
        <w:rPr>
          <w:sz w:val="12"/>
          <w:lang w:val="en-GB"/>
        </w:rPr>
      </w:pPr>
      <w:r w:rsidRPr="007277B2">
        <w:rPr>
          <w:rStyle w:val="SingleTxtGChar"/>
          <w:i/>
          <w:lang w:val="en-GB"/>
        </w:rPr>
        <w:t>Comment</w:t>
      </w:r>
      <w:r w:rsidRPr="007277B2">
        <w:rPr>
          <w:rStyle w:val="SingleTxtGChar"/>
          <w:lang w:val="en-GB"/>
        </w:rPr>
        <w:t>:</w:t>
      </w:r>
      <w:r w:rsidRPr="00091AA5">
        <w:rPr>
          <w:rStyle w:val="SingleTxtGChar"/>
          <w:lang w:val="en-GB"/>
        </w:rPr>
        <w:t xml:space="preserve"> </w:t>
      </w:r>
      <w:r>
        <w:rPr>
          <w:rStyle w:val="SingleTxtGChar"/>
          <w:lang w:val="en-GB"/>
        </w:rPr>
        <w:t xml:space="preserve">Many countries have indicated that, even though they do not have any national regulations, EU Regulation 561/2006 has to be applied. Sweden has also received </w:t>
      </w:r>
      <w:r w:rsidR="006662AB">
        <w:rPr>
          <w:rStyle w:val="SingleTxtGChar"/>
          <w:lang w:val="en-GB"/>
        </w:rPr>
        <w:t>i</w:t>
      </w:r>
      <w:r>
        <w:rPr>
          <w:rStyle w:val="SingleTxtGChar"/>
          <w:lang w:val="en-GB"/>
        </w:rPr>
        <w:t>nformation from the Swedish Transp</w:t>
      </w:r>
      <w:r w:rsidR="00214F1C">
        <w:rPr>
          <w:rStyle w:val="SingleTxtGChar"/>
          <w:lang w:val="en-GB"/>
        </w:rPr>
        <w:t xml:space="preserve">ort Agency that according to EU Regulation 561/2006, </w:t>
      </w:r>
      <w:r w:rsidRPr="00214F1C">
        <w:rPr>
          <w:rStyle w:val="SingleTxtGChar"/>
          <w:lang w:val="en-GB"/>
        </w:rPr>
        <w:t>only shorter rests are allowed in a moving vehicle</w:t>
      </w:r>
      <w:r w:rsidR="006662AB">
        <w:rPr>
          <w:rStyle w:val="SingleTxtGChar"/>
          <w:lang w:val="en-GB"/>
        </w:rPr>
        <w:t xml:space="preserve">. This means that </w:t>
      </w:r>
      <w:r>
        <w:rPr>
          <w:rStyle w:val="SingleTxtGChar"/>
          <w:lang w:val="en-GB"/>
        </w:rPr>
        <w:t xml:space="preserve">a two-driver system would not be </w:t>
      </w:r>
      <w:r w:rsidR="006662AB">
        <w:rPr>
          <w:rStyle w:val="SingleTxtGChar"/>
          <w:lang w:val="en-GB"/>
        </w:rPr>
        <w:t xml:space="preserve">a </w:t>
      </w:r>
      <w:r>
        <w:rPr>
          <w:rStyle w:val="SingleTxtGChar"/>
          <w:lang w:val="en-GB"/>
        </w:rPr>
        <w:t xml:space="preserve">sufficient </w:t>
      </w:r>
      <w:r w:rsidR="006662AB">
        <w:rPr>
          <w:rStyle w:val="SingleTxtGChar"/>
          <w:lang w:val="en-GB"/>
        </w:rPr>
        <w:t xml:space="preserve">solution </w:t>
      </w:r>
      <w:r>
        <w:rPr>
          <w:rStyle w:val="SingleTxtGChar"/>
          <w:lang w:val="en-GB"/>
        </w:rPr>
        <w:t>during night breaks.</w:t>
      </w:r>
    </w:p>
    <w:p w14:paraId="3A789BE1" w14:textId="77777777" w:rsidR="0070457B" w:rsidRPr="00D93534" w:rsidRDefault="00D9146B" w:rsidP="00335C89">
      <w:pPr>
        <w:rPr>
          <w:sz w:val="12"/>
        </w:rPr>
      </w:pPr>
      <w:r w:rsidRPr="00D93534">
        <w:rPr>
          <w:color w:val="1F497D"/>
        </w:rPr>
        <w:t> </w:t>
      </w:r>
    </w:p>
    <w:p w14:paraId="7C2D4583" w14:textId="730191F5" w:rsidR="00070988" w:rsidRDefault="00F4172D" w:rsidP="00F4172D">
      <w:pPr>
        <w:pStyle w:val="SingleTxtG"/>
        <w:ind w:left="709"/>
        <w:jc w:val="center"/>
        <w:rPr>
          <w:rStyle w:val="SingleTxtGChar"/>
          <w:lang w:val="en-GB"/>
        </w:rPr>
      </w:pPr>
      <w:r>
        <w:rPr>
          <w:noProof/>
          <w:lang w:val="sv-SE" w:eastAsia="sv-SE"/>
        </w:rPr>
        <w:lastRenderedPageBreak/>
        <w:drawing>
          <wp:inline distT="0" distB="0" distL="0" distR="0" wp14:anchorId="1E495A05" wp14:editId="441470D7">
            <wp:extent cx="4387499" cy="2670553"/>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21167" cy="2691046"/>
                    </a:xfrm>
                    <a:prstGeom prst="rect">
                      <a:avLst/>
                    </a:prstGeom>
                  </pic:spPr>
                </pic:pic>
              </a:graphicData>
            </a:graphic>
          </wp:inline>
        </w:drawing>
      </w:r>
    </w:p>
    <w:p w14:paraId="6FD0B437" w14:textId="777C7B60" w:rsidR="00896777" w:rsidRDefault="00735DA3" w:rsidP="0061611A">
      <w:pPr>
        <w:pStyle w:val="SingleTxtG"/>
        <w:rPr>
          <w:rStyle w:val="SingleTxtGChar"/>
          <w:lang w:val="en-GB"/>
        </w:rPr>
      </w:pPr>
      <w:r w:rsidRPr="00735DA3">
        <w:rPr>
          <w:rStyle w:val="SingleTxtGChar"/>
          <w:i/>
          <w:lang w:val="en-GB"/>
        </w:rPr>
        <w:t>Comment</w:t>
      </w:r>
      <w:r>
        <w:rPr>
          <w:rStyle w:val="SingleTxtGChar"/>
          <w:lang w:val="en-GB"/>
        </w:rPr>
        <w:t xml:space="preserve">: </w:t>
      </w:r>
      <w:r w:rsidR="00162CFD">
        <w:rPr>
          <w:rStyle w:val="SingleTxtGChar"/>
          <w:lang w:val="en-GB"/>
        </w:rPr>
        <w:t>Among the</w:t>
      </w:r>
      <w:r>
        <w:rPr>
          <w:rStyle w:val="SingleTxtGChar"/>
          <w:lang w:val="en-GB"/>
        </w:rPr>
        <w:t xml:space="preserve"> countries</w:t>
      </w:r>
      <w:r w:rsidR="00162CFD">
        <w:rPr>
          <w:rStyle w:val="SingleTxtGChar"/>
          <w:lang w:val="en-GB"/>
        </w:rPr>
        <w:t xml:space="preserve"> who have answered the questionnaire but are not listed in the diagram above </w:t>
      </w:r>
      <w:r>
        <w:rPr>
          <w:rStyle w:val="SingleTxtGChar"/>
          <w:lang w:val="en-GB"/>
        </w:rPr>
        <w:t xml:space="preserve">(Spain, Latvia, Germany, France, Denmark, Czech Republic, Austria, Russia, Romania, Finland, Ireland and Sweden) </w:t>
      </w:r>
      <w:r w:rsidR="00162CFD">
        <w:rPr>
          <w:rStyle w:val="SingleTxtGChar"/>
          <w:lang w:val="en-GB"/>
        </w:rPr>
        <w:t xml:space="preserve">the majority have answered </w:t>
      </w:r>
      <w:r>
        <w:rPr>
          <w:rStyle w:val="SingleTxtGChar"/>
          <w:lang w:val="en-GB"/>
        </w:rPr>
        <w:t>that the</w:t>
      </w:r>
      <w:r w:rsidR="00D32127">
        <w:rPr>
          <w:rStyle w:val="SingleTxtGChar"/>
          <w:lang w:val="en-GB"/>
        </w:rPr>
        <w:t>y</w:t>
      </w:r>
      <w:r>
        <w:rPr>
          <w:rStyle w:val="SingleTxtGChar"/>
          <w:lang w:val="en-GB"/>
        </w:rPr>
        <w:t xml:space="preserve"> do have safe</w:t>
      </w:r>
      <w:r w:rsidR="001D17B6">
        <w:rPr>
          <w:rStyle w:val="SingleTxtGChar"/>
          <w:lang w:val="en-GB"/>
        </w:rPr>
        <w:t xml:space="preserve"> </w:t>
      </w:r>
      <w:r>
        <w:rPr>
          <w:rStyle w:val="SingleTxtGChar"/>
          <w:lang w:val="en-GB"/>
        </w:rPr>
        <w:t>and/or secure parking areas, but that the number is unkno</w:t>
      </w:r>
      <w:r w:rsidR="004C25B9">
        <w:rPr>
          <w:rStyle w:val="SingleTxtGChar"/>
          <w:lang w:val="en-GB"/>
        </w:rPr>
        <w:t>wn or too uncertain to estimate.</w:t>
      </w:r>
    </w:p>
    <w:p w14:paraId="349E851D" w14:textId="77777777" w:rsidR="001446F9" w:rsidRPr="001446F9" w:rsidRDefault="001446F9" w:rsidP="0061611A">
      <w:pPr>
        <w:pStyle w:val="SingleTxtG"/>
        <w:rPr>
          <w:rStyle w:val="SingleTxtGChar"/>
          <w:lang w:val="en-GB"/>
        </w:rPr>
      </w:pPr>
      <w:r>
        <w:rPr>
          <w:rStyle w:val="SingleTxtGChar"/>
          <w:lang w:val="en-GB"/>
        </w:rPr>
        <w:t xml:space="preserve">The EU-Commission has provided information that </w:t>
      </w:r>
      <w:r w:rsidRPr="001446F9">
        <w:rPr>
          <w:rStyle w:val="SingleTxtGChar"/>
          <w:lang w:val="en-GB"/>
        </w:rPr>
        <w:t>a</w:t>
      </w:r>
      <w:r w:rsidRPr="001446F9">
        <w:rPr>
          <w:rStyle w:val="SingleTxtGChar"/>
        </w:rPr>
        <w:t xml:space="preserve"> study on “Safe and Secure Parking Areas” is currently being draft</w:t>
      </w:r>
      <w:r>
        <w:rPr>
          <w:rStyle w:val="SingleTxtGChar"/>
        </w:rPr>
        <w:t xml:space="preserve">ed at the Commission’s request. </w:t>
      </w:r>
      <w:r w:rsidRPr="001446F9">
        <w:rPr>
          <w:rStyle w:val="SingleTxtGChar"/>
        </w:rPr>
        <w:t xml:space="preserve">The outcome is expected by the end of this year. EU Member States </w:t>
      </w:r>
      <w:r w:rsidRPr="001446F9">
        <w:rPr>
          <w:rStyle w:val="SingleTxtGChar"/>
          <w:lang w:val="en-GB"/>
        </w:rPr>
        <w:t xml:space="preserve">will be informed </w:t>
      </w:r>
      <w:r w:rsidRPr="001446F9">
        <w:rPr>
          <w:rStyle w:val="SingleTxtGChar"/>
        </w:rPr>
        <w:t xml:space="preserve">accordingly as soon as information is available. </w:t>
      </w:r>
      <w:r w:rsidRPr="001446F9">
        <w:rPr>
          <w:rStyle w:val="SingleTxtGChar"/>
          <w:lang w:val="en-GB"/>
        </w:rPr>
        <w:t xml:space="preserve">For information on this topic, please visit: </w:t>
      </w:r>
      <w:hyperlink r:id="rId15" w:history="1">
        <w:r w:rsidRPr="00152A43">
          <w:rPr>
            <w:rStyle w:val="Hyperlink"/>
            <w:lang w:val="en-GB"/>
          </w:rPr>
          <w:t>https://ec.europa.eu/transport/themes/its/road/action_plan/intelligent-truck-parking_en</w:t>
        </w:r>
      </w:hyperlink>
    </w:p>
    <w:p w14:paraId="40656900" w14:textId="77777777" w:rsidR="001446F9" w:rsidRDefault="001446F9" w:rsidP="00D040D8">
      <w:pPr>
        <w:pStyle w:val="SingleTxtG"/>
        <w:jc w:val="center"/>
        <w:rPr>
          <w:b/>
          <w:lang w:val="en-GB"/>
        </w:rPr>
      </w:pPr>
    </w:p>
    <w:p w14:paraId="0D79F913" w14:textId="3F8C8AD9" w:rsidR="00E909ED" w:rsidRPr="001D17B6" w:rsidRDefault="00F4172D" w:rsidP="0061611A">
      <w:pPr>
        <w:pStyle w:val="SingleTxtG"/>
        <w:jc w:val="left"/>
        <w:rPr>
          <w:b/>
          <w:lang w:val="en-GB"/>
        </w:rPr>
      </w:pPr>
      <w:r>
        <w:rPr>
          <w:noProof/>
          <w:lang w:val="sv-SE" w:eastAsia="sv-SE"/>
        </w:rPr>
        <w:drawing>
          <wp:inline distT="0" distB="0" distL="0" distR="0" wp14:anchorId="0DB78552" wp14:editId="3A78C9F1">
            <wp:extent cx="4727094" cy="3002507"/>
            <wp:effectExtent l="0" t="0" r="0" b="762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81304" cy="3036940"/>
                    </a:xfrm>
                    <a:prstGeom prst="rect">
                      <a:avLst/>
                    </a:prstGeom>
                  </pic:spPr>
                </pic:pic>
              </a:graphicData>
            </a:graphic>
          </wp:inline>
        </w:drawing>
      </w:r>
      <w:r w:rsidR="001D17B6" w:rsidRPr="001D17B6">
        <w:rPr>
          <w:noProof/>
          <w:lang w:val="en-GB" w:eastAsia="sv-SE"/>
        </w:rPr>
        <w:t xml:space="preserve"> </w:t>
      </w:r>
    </w:p>
    <w:p w14:paraId="71BEAECE" w14:textId="77777777" w:rsidR="00F4172D" w:rsidRDefault="00F4172D" w:rsidP="005F1822">
      <w:pPr>
        <w:pStyle w:val="SingleTxtG"/>
        <w:jc w:val="left"/>
        <w:rPr>
          <w:i/>
          <w:lang w:val="en-GB"/>
        </w:rPr>
      </w:pPr>
    </w:p>
    <w:p w14:paraId="1B54F9BD" w14:textId="7D082C0D" w:rsidR="00E909ED" w:rsidRDefault="00F4172D" w:rsidP="0061611A">
      <w:pPr>
        <w:pStyle w:val="SingleTxtG"/>
        <w:rPr>
          <w:lang w:val="en-GB"/>
        </w:rPr>
      </w:pPr>
      <w:r>
        <w:rPr>
          <w:i/>
          <w:lang w:val="en-GB"/>
        </w:rPr>
        <w:t>C</w:t>
      </w:r>
      <w:r w:rsidR="00683AD2" w:rsidRPr="00493B3E">
        <w:rPr>
          <w:i/>
          <w:lang w:val="en-GB"/>
        </w:rPr>
        <w:t>omment</w:t>
      </w:r>
      <w:r w:rsidR="00740F76">
        <w:rPr>
          <w:lang w:val="en-GB"/>
        </w:rPr>
        <w:t>:</w:t>
      </w:r>
      <w:r w:rsidR="00683AD2">
        <w:rPr>
          <w:lang w:val="en-GB"/>
        </w:rPr>
        <w:t xml:space="preserve"> This question has been an</w:t>
      </w:r>
      <w:r w:rsidR="00D040D8">
        <w:rPr>
          <w:lang w:val="en-GB"/>
        </w:rPr>
        <w:t>swered in different ways.</w:t>
      </w:r>
      <w:r w:rsidR="00683AD2">
        <w:rPr>
          <w:lang w:val="en-GB"/>
        </w:rPr>
        <w:t xml:space="preserve"> Some countries have not given any answer wh</w:t>
      </w:r>
      <w:r w:rsidR="00EF0769">
        <w:rPr>
          <w:lang w:val="en-GB"/>
        </w:rPr>
        <w:t>ile</w:t>
      </w:r>
      <w:r w:rsidR="00683AD2">
        <w:rPr>
          <w:lang w:val="en-GB"/>
        </w:rPr>
        <w:t xml:space="preserve"> </w:t>
      </w:r>
      <w:r>
        <w:rPr>
          <w:lang w:val="en-GB"/>
        </w:rPr>
        <w:t>others</w:t>
      </w:r>
      <w:r w:rsidR="00683AD2">
        <w:rPr>
          <w:lang w:val="en-GB"/>
        </w:rPr>
        <w:t xml:space="preserve"> have marked more than one alternative but </w:t>
      </w:r>
      <w:r w:rsidR="00493B3E">
        <w:rPr>
          <w:lang w:val="en-GB"/>
        </w:rPr>
        <w:t>in relation</w:t>
      </w:r>
      <w:r w:rsidR="00683AD2">
        <w:rPr>
          <w:lang w:val="en-GB"/>
        </w:rPr>
        <w:t xml:space="preserve"> to different dangerous goods classes. Several countries have also pointed out that locking the vehicles cab might not always be feasible</w:t>
      </w:r>
      <w:r w:rsidR="00493B3E">
        <w:rPr>
          <w:lang w:val="en-GB"/>
        </w:rPr>
        <w:t xml:space="preserve"> or beneficial</w:t>
      </w:r>
      <w:r w:rsidR="00683AD2">
        <w:rPr>
          <w:lang w:val="en-GB"/>
        </w:rPr>
        <w:t xml:space="preserve">. During loading and unloading of some goods, </w:t>
      </w:r>
      <w:r w:rsidR="00683AD2">
        <w:rPr>
          <w:lang w:val="en-GB"/>
        </w:rPr>
        <w:lastRenderedPageBreak/>
        <w:t xml:space="preserve">quick access to </w:t>
      </w:r>
      <w:r w:rsidR="00493B3E">
        <w:rPr>
          <w:lang w:val="en-GB"/>
        </w:rPr>
        <w:t>control panels in the</w:t>
      </w:r>
      <w:r w:rsidR="00683AD2">
        <w:rPr>
          <w:lang w:val="en-GB"/>
        </w:rPr>
        <w:t xml:space="preserve"> cab</w:t>
      </w:r>
      <w:r w:rsidR="00493B3E">
        <w:rPr>
          <w:lang w:val="en-GB"/>
        </w:rPr>
        <w:t xml:space="preserve"> </w:t>
      </w:r>
      <w:r w:rsidR="00683AD2">
        <w:rPr>
          <w:lang w:val="en-GB"/>
        </w:rPr>
        <w:t>is highly recommended f</w:t>
      </w:r>
      <w:r w:rsidR="00493B3E">
        <w:rPr>
          <w:lang w:val="en-GB"/>
        </w:rPr>
        <w:t xml:space="preserve">or the safety of the operation. Another comment expressed by several countries is that for such transports where locking of the vehicles’ cab would promote safety and/or security, this should </w:t>
      </w:r>
      <w:r w:rsidR="00D040D8">
        <w:rPr>
          <w:lang w:val="en-GB"/>
        </w:rPr>
        <w:t>rather</w:t>
      </w:r>
      <w:r w:rsidR="00493B3E">
        <w:rPr>
          <w:lang w:val="en-GB"/>
        </w:rPr>
        <w:t xml:space="preserve"> be covered by the security plan, required in sub-section 1.10.3.2.</w:t>
      </w:r>
    </w:p>
    <w:p w14:paraId="09E80E31" w14:textId="77777777" w:rsidR="001117EC" w:rsidRPr="001117EC" w:rsidRDefault="001117EC" w:rsidP="005F1822">
      <w:pPr>
        <w:pStyle w:val="SingleTxtG"/>
        <w:jc w:val="left"/>
        <w:rPr>
          <w:b/>
          <w:lang w:val="en-GB"/>
        </w:rPr>
      </w:pPr>
      <w:r w:rsidRPr="001117EC">
        <w:rPr>
          <w:b/>
          <w:lang w:val="en-GB"/>
        </w:rPr>
        <w:t>Information received by organizations</w:t>
      </w:r>
    </w:p>
    <w:p w14:paraId="267515D0" w14:textId="7530967F" w:rsidR="001117EC" w:rsidRDefault="00F91A69" w:rsidP="005F1822">
      <w:pPr>
        <w:pStyle w:val="SingleTxtG"/>
        <w:jc w:val="left"/>
        <w:rPr>
          <w:lang w:val="en-GB"/>
        </w:rPr>
      </w:pPr>
      <w:r>
        <w:rPr>
          <w:lang w:val="en-GB"/>
        </w:rPr>
        <w:t>Below follows a</w:t>
      </w:r>
      <w:r w:rsidR="00914287">
        <w:rPr>
          <w:lang w:val="en-GB"/>
        </w:rPr>
        <w:t>n extract</w:t>
      </w:r>
      <w:r>
        <w:rPr>
          <w:lang w:val="en-GB"/>
        </w:rPr>
        <w:t xml:space="preserve"> of the answers received from </w:t>
      </w:r>
      <w:r w:rsidR="001117EC">
        <w:rPr>
          <w:lang w:val="en-GB"/>
        </w:rPr>
        <w:t xml:space="preserve">FIATA </w:t>
      </w:r>
      <w:r>
        <w:rPr>
          <w:lang w:val="en-GB"/>
        </w:rPr>
        <w:t>and CEFIC</w:t>
      </w:r>
      <w:r w:rsidR="001117EC">
        <w:rPr>
          <w:lang w:val="en-GB"/>
        </w:rPr>
        <w:t>:</w:t>
      </w:r>
    </w:p>
    <w:p w14:paraId="74D2A640" w14:textId="77777777" w:rsidR="001117EC" w:rsidRDefault="00B057BC" w:rsidP="0061611A">
      <w:pPr>
        <w:pStyle w:val="SingleTxtG"/>
        <w:rPr>
          <w:lang w:val="en-GB"/>
        </w:rPr>
      </w:pPr>
      <w:r>
        <w:rPr>
          <w:u w:val="single"/>
          <w:lang w:val="en-GB"/>
        </w:rPr>
        <w:t xml:space="preserve">FIATA </w:t>
      </w:r>
      <w:r w:rsidR="001117EC" w:rsidRPr="000F4B0A">
        <w:rPr>
          <w:u w:val="single"/>
          <w:lang w:val="en-GB"/>
        </w:rPr>
        <w:t>Slovakia</w:t>
      </w:r>
      <w:r w:rsidR="001117EC">
        <w:rPr>
          <w:lang w:val="en-GB"/>
        </w:rPr>
        <w:t xml:space="preserve">: </w:t>
      </w:r>
      <w:r w:rsidR="000F4B0A">
        <w:rPr>
          <w:lang w:val="en-GB"/>
        </w:rPr>
        <w:t>There are no national provisions or recommendations in Slovakia concerning supervision of a vehicle loaded with dangerous goods. Precautions to be taken to minimize theft or misuse of dangerous goods are covered by the security plan according to 1.10.3.2 fulfilling all requirements of Chapters 8.4 and 8.5. The estimated number of safe and/or secure parking areas is 300, based on consultation by the Ministry of Transport, National Highway Society. Regarding the question whether it would be appropriate to introduce a requirement that the driver’s cab must be locked during loading and unloading, they find this sufficient for high consequence dangerous goods according to Chapter 1.10.</w:t>
      </w:r>
    </w:p>
    <w:p w14:paraId="5040CF59" w14:textId="77777777" w:rsidR="00941E4E" w:rsidRDefault="00B057BC" w:rsidP="0061611A">
      <w:pPr>
        <w:pStyle w:val="SingleTxtG"/>
        <w:rPr>
          <w:lang w:val="en-GB"/>
        </w:rPr>
      </w:pPr>
      <w:r>
        <w:rPr>
          <w:u w:val="single"/>
          <w:lang w:val="en-GB"/>
        </w:rPr>
        <w:t xml:space="preserve">FIATA </w:t>
      </w:r>
      <w:r w:rsidR="00941E4E">
        <w:rPr>
          <w:u w:val="single"/>
          <w:lang w:val="en-GB"/>
        </w:rPr>
        <w:t>UK</w:t>
      </w:r>
      <w:r w:rsidR="00941E4E">
        <w:rPr>
          <w:lang w:val="en-GB"/>
        </w:rPr>
        <w:t xml:space="preserve">: There is no definition of “supervision”. </w:t>
      </w:r>
      <w:r w:rsidR="00276AC6">
        <w:rPr>
          <w:lang w:val="en-GB"/>
        </w:rPr>
        <w:t xml:space="preserve">However, various Insurance Companies may specify certain conditions. </w:t>
      </w:r>
      <w:r w:rsidR="00941E4E">
        <w:rPr>
          <w:lang w:val="en-GB"/>
        </w:rPr>
        <w:t xml:space="preserve">The events listed as A-G (the list of different measures to be taken during shorter stops and breaks) have no practical </w:t>
      </w:r>
      <w:r w:rsidR="000F557F">
        <w:rPr>
          <w:lang w:val="en-GB"/>
        </w:rPr>
        <w:t>application</w:t>
      </w:r>
      <w:r w:rsidR="00941E4E">
        <w:rPr>
          <w:lang w:val="en-GB"/>
        </w:rPr>
        <w:t xml:space="preserve"> in the transport chain.</w:t>
      </w:r>
      <w:r w:rsidR="006632AE">
        <w:rPr>
          <w:lang w:val="en-GB"/>
        </w:rPr>
        <w:t xml:space="preserve"> Regarding the question whether it would be appropriate to introduce a requirement that the driver’s cab must be locked during loading and unloading, they do not consider this appropriate for other Classes than Class 1.</w:t>
      </w:r>
    </w:p>
    <w:p w14:paraId="615F6AF6" w14:textId="0A99C6DF" w:rsidR="00B057BC" w:rsidRDefault="00B057BC" w:rsidP="0061611A">
      <w:pPr>
        <w:pStyle w:val="SingleTxtG"/>
        <w:rPr>
          <w:lang w:val="en-GB"/>
        </w:rPr>
      </w:pPr>
      <w:r>
        <w:rPr>
          <w:u w:val="single"/>
          <w:lang w:val="en-GB"/>
        </w:rPr>
        <w:t>FIATA Germany</w:t>
      </w:r>
      <w:r>
        <w:rPr>
          <w:lang w:val="en-GB"/>
        </w:rPr>
        <w:t>:</w:t>
      </w:r>
      <w:r w:rsidR="008C10F2">
        <w:rPr>
          <w:lang w:val="en-GB"/>
        </w:rPr>
        <w:t xml:space="preserve"> </w:t>
      </w:r>
      <w:r w:rsidR="00F91A69">
        <w:rPr>
          <w:lang w:val="en-GB"/>
        </w:rPr>
        <w:t xml:space="preserve">On the question what </w:t>
      </w:r>
      <w:proofErr w:type="gramStart"/>
      <w:r w:rsidR="00F91A69">
        <w:rPr>
          <w:lang w:val="en-GB"/>
        </w:rPr>
        <w:t>is an acceptable level</w:t>
      </w:r>
      <w:proofErr w:type="gramEnd"/>
      <w:r w:rsidR="00F91A69">
        <w:rPr>
          <w:lang w:val="en-GB"/>
        </w:rPr>
        <w:t xml:space="preserve"> to fulfil the provisions on supervision during shorter stops, all alternatives but “G Other measures” have been marked. </w:t>
      </w:r>
      <w:r w:rsidR="00121993">
        <w:rPr>
          <w:lang w:val="en-GB"/>
        </w:rPr>
        <w:t>A</w:t>
      </w:r>
      <w:r w:rsidR="00F91A69">
        <w:rPr>
          <w:lang w:val="en-GB"/>
        </w:rPr>
        <w:t>ddition</w:t>
      </w:r>
      <w:r w:rsidR="00121993">
        <w:rPr>
          <w:lang w:val="en-GB"/>
        </w:rPr>
        <w:t xml:space="preserve">al </w:t>
      </w:r>
      <w:r w:rsidR="00F91A69">
        <w:rPr>
          <w:lang w:val="en-GB"/>
        </w:rPr>
        <w:t xml:space="preserve">information is given that </w:t>
      </w:r>
      <w:r w:rsidR="00121993">
        <w:rPr>
          <w:lang w:val="en-GB"/>
        </w:rPr>
        <w:t>it should be considered that the driver may diverge from the vehicle for a short time (e.g. to buy food) but that the vehicle should be locked in such cases. Other opportunities for supervision are parking at closed compound or, if not closed compound, electronic immobilizers and an alarm equipment with a connection to the mobile. All the alternatives listed in the questionnaire but “A” (The driver must see the vehicle at all times) has been marked as an acceptable level of supervision during night break. “Other measure” is that the driver is present in the driver-cabin. Regarding the question whether it would be appropriate to introduce a requirement that the driver’s cab must be locked during loading and unloading, they do not consider this appropriate</w:t>
      </w:r>
    </w:p>
    <w:p w14:paraId="5C5FEB0C" w14:textId="467F6258" w:rsidR="00B057BC" w:rsidRPr="00941E4E" w:rsidRDefault="00B057BC" w:rsidP="0061611A">
      <w:pPr>
        <w:pStyle w:val="SingleTxtG"/>
        <w:rPr>
          <w:lang w:val="en-GB"/>
        </w:rPr>
      </w:pPr>
      <w:r w:rsidRPr="00DD63C5">
        <w:rPr>
          <w:u w:val="single"/>
          <w:lang w:val="en-GB"/>
        </w:rPr>
        <w:t>CEFIC</w:t>
      </w:r>
      <w:r>
        <w:rPr>
          <w:lang w:val="en-GB"/>
        </w:rPr>
        <w:t>:</w:t>
      </w:r>
      <w:r w:rsidR="00B3147C">
        <w:rPr>
          <w:lang w:val="en-GB"/>
        </w:rPr>
        <w:t xml:space="preserve"> CEFIC has had an exchange of views among CEFIC members. A majority was of the view that current national requirements have to be listed by the Competent Authorities. On the question what is an acceptable level to fulfil the provisions on supervision during shorter stops, they have stated that the vehicle must be locked and alarmed.</w:t>
      </w:r>
    </w:p>
    <w:p w14:paraId="451250C5" w14:textId="77777777" w:rsidR="00BC2BCC" w:rsidRDefault="00390C1D" w:rsidP="00D06AC5">
      <w:pPr>
        <w:pStyle w:val="HChG"/>
        <w:rPr>
          <w:lang w:val="en-GB"/>
        </w:rPr>
      </w:pPr>
      <w:r w:rsidRPr="00683AD2">
        <w:rPr>
          <w:lang w:val="en-GB"/>
        </w:rPr>
        <w:tab/>
      </w:r>
      <w:r w:rsidRPr="00683AD2">
        <w:rPr>
          <w:lang w:val="en-GB"/>
        </w:rPr>
        <w:tab/>
      </w:r>
    </w:p>
    <w:p w14:paraId="33E09C65" w14:textId="77777777" w:rsidR="00BC2BCC" w:rsidRDefault="00BC2BCC">
      <w:pPr>
        <w:suppressAutoHyphens w:val="0"/>
        <w:spacing w:line="240" w:lineRule="auto"/>
        <w:rPr>
          <w:b/>
          <w:sz w:val="28"/>
        </w:rPr>
      </w:pPr>
      <w:r>
        <w:br w:type="page"/>
      </w:r>
    </w:p>
    <w:p w14:paraId="66C9208C" w14:textId="0F1D65D8" w:rsidR="00D06AC5" w:rsidRPr="00BD24F4" w:rsidRDefault="00BC2BCC" w:rsidP="00D06AC5">
      <w:pPr>
        <w:pStyle w:val="HChG"/>
        <w:rPr>
          <w:lang w:val="en-GB"/>
        </w:rPr>
      </w:pPr>
      <w:r>
        <w:rPr>
          <w:lang w:val="en-GB"/>
        </w:rPr>
        <w:lastRenderedPageBreak/>
        <w:tab/>
      </w:r>
      <w:r>
        <w:rPr>
          <w:lang w:val="en-GB"/>
        </w:rPr>
        <w:tab/>
      </w:r>
      <w:r w:rsidR="00B072D7">
        <w:rPr>
          <w:lang w:val="en-GB"/>
        </w:rPr>
        <w:t>Discussion</w:t>
      </w:r>
    </w:p>
    <w:p w14:paraId="4CF277FF" w14:textId="7C2D4A94" w:rsidR="00D06AC5" w:rsidRPr="00BD24F4" w:rsidRDefault="00D06AC5" w:rsidP="00D06AC5">
      <w:pPr>
        <w:pStyle w:val="SingleTxtG"/>
        <w:rPr>
          <w:lang w:val="en-GB"/>
        </w:rPr>
      </w:pPr>
      <w:r w:rsidRPr="00BD24F4">
        <w:rPr>
          <w:lang w:val="en-GB"/>
        </w:rPr>
        <w:t xml:space="preserve">Since the threat level within each country is different, </w:t>
      </w:r>
      <w:r w:rsidR="005C67B8">
        <w:rPr>
          <w:lang w:val="en-GB"/>
        </w:rPr>
        <w:t xml:space="preserve">specifying </w:t>
      </w:r>
      <w:r w:rsidRPr="00BD24F4">
        <w:rPr>
          <w:lang w:val="en-GB"/>
        </w:rPr>
        <w:t xml:space="preserve">a minimum level of safety and security might be the most suitable solution. It should be kept in mind that each country, in addition, always has the possibility to introduce (or maintain) national provisions on security. </w:t>
      </w:r>
      <w:r w:rsidR="005C67B8">
        <w:rPr>
          <w:lang w:val="en-GB"/>
        </w:rPr>
        <w:t>C</w:t>
      </w:r>
      <w:r w:rsidRPr="00BD24F4">
        <w:rPr>
          <w:lang w:val="en-GB"/>
        </w:rPr>
        <w:t>onsidering the result of the questionnaire, Sweden believes that this further ind</w:t>
      </w:r>
      <w:r w:rsidR="00B32796">
        <w:rPr>
          <w:lang w:val="en-GB"/>
        </w:rPr>
        <w:t>icates that a clarification of “</w:t>
      </w:r>
      <w:r w:rsidRPr="00BD24F4">
        <w:rPr>
          <w:lang w:val="en-GB"/>
        </w:rPr>
        <w:t xml:space="preserve">supervision” stating the minimum required level </w:t>
      </w:r>
      <w:r>
        <w:rPr>
          <w:lang w:val="en-GB"/>
        </w:rPr>
        <w:t>is</w:t>
      </w:r>
      <w:r w:rsidRPr="00BD24F4">
        <w:rPr>
          <w:lang w:val="en-GB"/>
        </w:rPr>
        <w:t xml:space="preserve"> </w:t>
      </w:r>
      <w:r>
        <w:rPr>
          <w:lang w:val="en-GB"/>
        </w:rPr>
        <w:t xml:space="preserve">necessary and </w:t>
      </w:r>
      <w:r w:rsidRPr="00BD24F4">
        <w:rPr>
          <w:lang w:val="en-GB"/>
        </w:rPr>
        <w:t>a step in the right direction.</w:t>
      </w:r>
    </w:p>
    <w:p w14:paraId="4E278362" w14:textId="6FC4FD95" w:rsidR="00B630CA" w:rsidRPr="000D559E" w:rsidRDefault="00D06AC5" w:rsidP="00BC2BCC">
      <w:pPr>
        <w:pStyle w:val="SingleTxtG"/>
        <w:rPr>
          <w:b/>
          <w:lang w:val="en-GB"/>
        </w:rPr>
      </w:pPr>
      <w:r w:rsidRPr="00BD24F4">
        <w:rPr>
          <w:lang w:val="en-GB"/>
        </w:rPr>
        <w:t>To facilitate the discussion, we would like to hear the meetings</w:t>
      </w:r>
      <w:r>
        <w:rPr>
          <w:lang w:val="en-GB"/>
        </w:rPr>
        <w:t>’</w:t>
      </w:r>
      <w:r w:rsidRPr="00BD24F4">
        <w:rPr>
          <w:lang w:val="en-GB"/>
        </w:rPr>
        <w:t xml:space="preserve"> view on the following:</w:t>
      </w:r>
    </w:p>
    <w:p w14:paraId="66BC2404" w14:textId="58018A67" w:rsidR="00D06AC5" w:rsidRPr="00E8006D" w:rsidRDefault="00D06AC5" w:rsidP="00D06AC5">
      <w:pPr>
        <w:pStyle w:val="SingleTxtG"/>
        <w:rPr>
          <w:b/>
          <w:lang w:val="sv-SE"/>
        </w:rPr>
      </w:pPr>
      <w:r w:rsidRPr="00E8006D">
        <w:rPr>
          <w:b/>
          <w:lang w:val="sv-SE"/>
        </w:rPr>
        <w:t>For shorter stops;</w:t>
      </w:r>
    </w:p>
    <w:p w14:paraId="2C8CBCE9" w14:textId="618DD4B7" w:rsidR="00B072D7" w:rsidRDefault="00B072D7" w:rsidP="00B072D7">
      <w:pPr>
        <w:pStyle w:val="SingleTxtG"/>
      </w:pPr>
      <w:r>
        <w:tab/>
      </w:r>
      <w:r>
        <w:tab/>
        <w:t>1.</w:t>
      </w:r>
      <w:r>
        <w:tab/>
      </w:r>
      <w:r w:rsidR="00D06AC5" w:rsidRPr="00B072D7">
        <w:t>Would it be an acceptable minimum level of supervision if the driver can see the vehicle at all times during the stop (visually or via camera)?</w:t>
      </w:r>
    </w:p>
    <w:p w14:paraId="5ABE9E12" w14:textId="350BB72E" w:rsidR="00D06AC5" w:rsidRPr="00B072D7" w:rsidRDefault="00D06AC5" w:rsidP="00B072D7">
      <w:pPr>
        <w:pStyle w:val="SingleTxtG"/>
      </w:pPr>
      <w:proofErr w:type="spellStart"/>
      <w:r w:rsidRPr="00B072D7">
        <w:t>Attendent</w:t>
      </w:r>
      <w:proofErr w:type="spellEnd"/>
      <w:r w:rsidRPr="00B072D7">
        <w:t xml:space="preserve"> question: If another person would be appointed by the driver/the carrier to supervise the vehicle, would this require that this person is trained in accordance with Chapter 1.3?</w:t>
      </w:r>
    </w:p>
    <w:p w14:paraId="5DC2F29A" w14:textId="1C31F6C7" w:rsidR="00D06AC5" w:rsidRDefault="00B072D7" w:rsidP="00B072D7">
      <w:pPr>
        <w:pStyle w:val="SingleTxtG"/>
      </w:pPr>
      <w:r>
        <w:tab/>
      </w:r>
      <w:r>
        <w:tab/>
        <w:t>2.</w:t>
      </w:r>
      <w:r>
        <w:tab/>
      </w:r>
      <w:r w:rsidR="00D06AC5" w:rsidRPr="00B072D7">
        <w:t>If neither the driver nor any appointed person can see the vehicle during the rest or part of the rest, would it be an acceptable minimum level of supervision if the vehicle (cab and load compartment) is locked and alarmed?</w:t>
      </w:r>
    </w:p>
    <w:p w14:paraId="1AE1E486" w14:textId="28605A25" w:rsidR="00D06AC5" w:rsidRPr="00B072D7" w:rsidRDefault="00B072D7" w:rsidP="00B072D7">
      <w:pPr>
        <w:pStyle w:val="SingleTxtG"/>
      </w:pPr>
      <w:r>
        <w:tab/>
      </w:r>
      <w:r>
        <w:tab/>
        <w:t>3.</w:t>
      </w:r>
      <w:r>
        <w:tab/>
      </w:r>
      <w:r w:rsidR="00D06AC5" w:rsidRPr="00B072D7">
        <w:t>Would it be appropriate to require that the vehicle’s cab is locked when the driver’s rest does not take place inside the vehicle? Alternatively, would it be reasonable to include a reference to the provisions concerning security plans in sub-section 1.10.3.2 for high consequence dangerous goods? Concerning the locking of load compartments for EX/II- and EX/III-vehicles, see S1(7) in Chapter 8.5.</w:t>
      </w:r>
    </w:p>
    <w:p w14:paraId="6708B5B4" w14:textId="77777777" w:rsidR="00D06AC5" w:rsidRPr="00E8006D" w:rsidRDefault="00D06AC5" w:rsidP="00D06AC5">
      <w:pPr>
        <w:pStyle w:val="SingleTxtG"/>
        <w:jc w:val="left"/>
        <w:rPr>
          <w:b/>
          <w:lang w:val="en-GB"/>
        </w:rPr>
      </w:pPr>
      <w:r w:rsidRPr="00E8006D">
        <w:rPr>
          <w:b/>
          <w:lang w:val="en-GB"/>
        </w:rPr>
        <w:t>For night breaks;</w:t>
      </w:r>
    </w:p>
    <w:p w14:paraId="542FB01A" w14:textId="1B261722" w:rsidR="00D06AC5" w:rsidRPr="00B072D7" w:rsidRDefault="00B072D7" w:rsidP="00B072D7">
      <w:pPr>
        <w:pStyle w:val="SingleTxtG"/>
      </w:pPr>
      <w:r>
        <w:tab/>
      </w:r>
      <w:r>
        <w:tab/>
      </w:r>
      <w:r>
        <w:rPr>
          <w:lang w:val="fr-CH"/>
        </w:rPr>
        <w:t>4.</w:t>
      </w:r>
      <w:r>
        <w:rPr>
          <w:lang w:val="fr-CH"/>
        </w:rPr>
        <w:tab/>
      </w:r>
      <w:r w:rsidR="00D06AC5" w:rsidRPr="00B072D7">
        <w:t xml:space="preserve">Would it be an acceptable minimum level of supervision if the vehicle (cab and load compartment) is </w:t>
      </w:r>
      <w:r w:rsidR="007D3770" w:rsidRPr="00B072D7">
        <w:t xml:space="preserve">locked and/or </w:t>
      </w:r>
      <w:r w:rsidR="00D06AC5" w:rsidRPr="00B072D7">
        <w:t xml:space="preserve">alarmed during night </w:t>
      </w:r>
      <w:proofErr w:type="gramStart"/>
      <w:r w:rsidR="00D06AC5" w:rsidRPr="00B072D7">
        <w:t>break?</w:t>
      </w:r>
      <w:proofErr w:type="gramEnd"/>
      <w:r w:rsidR="00D06AC5" w:rsidRPr="00B072D7">
        <w:t xml:space="preserve"> </w:t>
      </w:r>
    </w:p>
    <w:p w14:paraId="4483BCFF" w14:textId="1C7DA399" w:rsidR="00D06AC5" w:rsidRPr="00B072D7" w:rsidRDefault="00B072D7" w:rsidP="00B072D7">
      <w:pPr>
        <w:pStyle w:val="SingleTxtG"/>
      </w:pPr>
      <w:r>
        <w:tab/>
      </w:r>
      <w:r>
        <w:tab/>
      </w:r>
      <w:r>
        <w:rPr>
          <w:lang w:val="fr-CH"/>
        </w:rPr>
        <w:t>5.</w:t>
      </w:r>
      <w:r>
        <w:rPr>
          <w:lang w:val="fr-CH"/>
        </w:rPr>
        <w:tab/>
      </w:r>
      <w:r w:rsidR="00D06AC5" w:rsidRPr="00B072D7">
        <w:t xml:space="preserve">Would it be reasonable to include a reference to the provisions concerning security plans in sub-section 1.10.3.2 for high consequence dangerous </w:t>
      </w:r>
      <w:proofErr w:type="gramStart"/>
      <w:r w:rsidR="00D06AC5" w:rsidRPr="00B072D7">
        <w:t>goods?</w:t>
      </w:r>
      <w:proofErr w:type="gramEnd"/>
      <w:r w:rsidR="00D06AC5" w:rsidRPr="00B072D7">
        <w:t xml:space="preserve"> Concerning the locking of load compartments for EX/II- and EX/III-vehicles, see S1(7) in Chapter 8.5.</w:t>
      </w:r>
    </w:p>
    <w:p w14:paraId="0CF65D87" w14:textId="73413FE0" w:rsidR="00D06AC5" w:rsidRPr="00471EBE" w:rsidRDefault="00D06AC5" w:rsidP="00D06AC5">
      <w:pPr>
        <w:pStyle w:val="SingleTxtG"/>
        <w:jc w:val="left"/>
        <w:rPr>
          <w:b/>
          <w:lang w:val="en-GB"/>
        </w:rPr>
      </w:pPr>
      <w:r>
        <w:rPr>
          <w:b/>
          <w:lang w:val="en-GB"/>
        </w:rPr>
        <w:t>General question</w:t>
      </w:r>
    </w:p>
    <w:p w14:paraId="626EC42E" w14:textId="77777777" w:rsidR="00D06AC5" w:rsidRDefault="00D06AC5" w:rsidP="00B072D7">
      <w:pPr>
        <w:pStyle w:val="SingleTxtG"/>
        <w:numPr>
          <w:ilvl w:val="0"/>
          <w:numId w:val="48"/>
        </w:numPr>
      </w:pPr>
      <w:r w:rsidRPr="00390C1D">
        <w:t xml:space="preserve">We should also </w:t>
      </w:r>
      <w:r w:rsidRPr="00B500E3">
        <w:rPr>
          <w:lang w:val="en-GB"/>
        </w:rPr>
        <w:t>th</w:t>
      </w:r>
      <w:r>
        <w:rPr>
          <w:lang w:val="en-GB"/>
        </w:rPr>
        <w:t>ink about</w:t>
      </w:r>
      <w:r w:rsidRPr="00390C1D">
        <w:t xml:space="preserve"> how </w:t>
      </w:r>
      <w:r w:rsidRPr="00B500E3">
        <w:rPr>
          <w:lang w:val="en-GB"/>
        </w:rPr>
        <w:t>cl</w:t>
      </w:r>
      <w:r>
        <w:rPr>
          <w:lang w:val="en-GB"/>
        </w:rPr>
        <w:t>arifying</w:t>
      </w:r>
      <w:r w:rsidRPr="00390C1D">
        <w:t xml:space="preserve"> </w:t>
      </w:r>
      <w:r w:rsidRPr="00B500E3">
        <w:rPr>
          <w:lang w:val="en-GB"/>
        </w:rPr>
        <w:t>t</w:t>
      </w:r>
      <w:r>
        <w:rPr>
          <w:lang w:val="en-GB"/>
        </w:rPr>
        <w:t>ext</w:t>
      </w:r>
      <w:r w:rsidRPr="00B500E3">
        <w:rPr>
          <w:lang w:val="en-GB"/>
        </w:rPr>
        <w:t xml:space="preserve"> s</w:t>
      </w:r>
      <w:r>
        <w:rPr>
          <w:lang w:val="en-GB"/>
        </w:rPr>
        <w:t>hould</w:t>
      </w:r>
      <w:r w:rsidRPr="00390C1D">
        <w:t xml:space="preserve"> be </w:t>
      </w:r>
      <w:r w:rsidRPr="00471EBE">
        <w:rPr>
          <w:lang w:val="en-GB"/>
        </w:rPr>
        <w:t>included</w:t>
      </w:r>
      <w:r w:rsidRPr="00390C1D">
        <w:t xml:space="preserve"> in the provisions</w:t>
      </w:r>
      <w:r w:rsidRPr="00B500E3">
        <w:rPr>
          <w:lang w:val="en-GB"/>
        </w:rPr>
        <w:t>, f</w:t>
      </w:r>
      <w:r>
        <w:rPr>
          <w:lang w:val="en-GB"/>
        </w:rPr>
        <w:t>or example</w:t>
      </w:r>
      <w:r w:rsidRPr="00390C1D">
        <w:t xml:space="preserve"> by introducing a definition, a note or by a footnote giving guidance on how this requirement could be fulfilled.</w:t>
      </w:r>
    </w:p>
    <w:p w14:paraId="4E690522" w14:textId="569F38E6" w:rsidR="001033D2" w:rsidRPr="001033D2" w:rsidRDefault="00CF1F49" w:rsidP="00B072D7">
      <w:pPr>
        <w:pStyle w:val="SingleTxtG"/>
        <w:numPr>
          <w:ilvl w:val="0"/>
          <w:numId w:val="48"/>
        </w:numPr>
        <w:rPr>
          <w:lang w:val="en-GB"/>
        </w:rPr>
      </w:pPr>
      <w:r w:rsidRPr="00CF1F49">
        <w:rPr>
          <w:lang w:val="en-GB"/>
        </w:rPr>
        <w:t xml:space="preserve">With the result of the questionnaire as a basis, </w:t>
      </w:r>
      <w:r>
        <w:rPr>
          <w:lang w:val="en-GB"/>
        </w:rPr>
        <w:t xml:space="preserve">Sweden </w:t>
      </w:r>
      <w:r w:rsidR="00185035">
        <w:rPr>
          <w:lang w:val="en-GB"/>
        </w:rPr>
        <w:t>is</w:t>
      </w:r>
      <w:r>
        <w:rPr>
          <w:lang w:val="en-GB"/>
        </w:rPr>
        <w:t xml:space="preserve"> interested to hear the meeting’s</w:t>
      </w:r>
      <w:r w:rsidR="001033D2" w:rsidRPr="001033D2">
        <w:rPr>
          <w:lang w:val="en-GB"/>
        </w:rPr>
        <w:t xml:space="preserve"> view o</w:t>
      </w:r>
      <w:r>
        <w:rPr>
          <w:lang w:val="en-GB"/>
        </w:rPr>
        <w:t xml:space="preserve">n this matter and </w:t>
      </w:r>
      <w:r w:rsidR="001033D2" w:rsidRPr="001033D2">
        <w:rPr>
          <w:lang w:val="en-GB"/>
        </w:rPr>
        <w:t>is</w:t>
      </w:r>
      <w:r w:rsidR="00B17E3F">
        <w:rPr>
          <w:lang w:val="en-GB"/>
        </w:rPr>
        <w:t>, depending on the outcome,</w:t>
      </w:r>
      <w:r w:rsidR="001033D2" w:rsidRPr="001033D2">
        <w:rPr>
          <w:lang w:val="en-GB"/>
        </w:rPr>
        <w:t xml:space="preserve"> willing </w:t>
      </w:r>
      <w:r w:rsidR="00185035">
        <w:rPr>
          <w:lang w:val="en-GB"/>
        </w:rPr>
        <w:t xml:space="preserve">to </w:t>
      </w:r>
      <w:r w:rsidR="001033D2">
        <w:rPr>
          <w:lang w:val="en-GB"/>
        </w:rPr>
        <w:t>prepare a formal pr</w:t>
      </w:r>
      <w:r w:rsidR="00F73BD8">
        <w:rPr>
          <w:lang w:val="en-GB"/>
        </w:rPr>
        <w:t xml:space="preserve">oposal to the next meeting </w:t>
      </w:r>
      <w:bookmarkStart w:id="0" w:name="_GoBack"/>
      <w:bookmarkEnd w:id="0"/>
      <w:r w:rsidR="001F5F78">
        <w:rPr>
          <w:lang w:val="en-GB"/>
        </w:rPr>
        <w:t>of the Working Party</w:t>
      </w:r>
      <w:r w:rsidR="007D63AD">
        <w:rPr>
          <w:lang w:val="en-GB"/>
        </w:rPr>
        <w:t xml:space="preserve"> (</w:t>
      </w:r>
      <w:r w:rsidR="001033D2">
        <w:rPr>
          <w:lang w:val="en-GB"/>
        </w:rPr>
        <w:t>May 2019</w:t>
      </w:r>
      <w:r w:rsidR="007D63AD">
        <w:rPr>
          <w:lang w:val="en-GB"/>
        </w:rPr>
        <w:t>)</w:t>
      </w:r>
      <w:r w:rsidR="001033D2">
        <w:rPr>
          <w:lang w:val="en-GB"/>
        </w:rPr>
        <w:t xml:space="preserve">. </w:t>
      </w:r>
      <w:r>
        <w:rPr>
          <w:lang w:val="en-GB"/>
        </w:rPr>
        <w:t xml:space="preserve">If </w:t>
      </w:r>
      <w:r w:rsidR="004C5CAE">
        <w:rPr>
          <w:lang w:val="en-GB"/>
        </w:rPr>
        <w:t xml:space="preserve">the meeting </w:t>
      </w:r>
      <w:r w:rsidR="00185035">
        <w:rPr>
          <w:lang w:val="en-GB"/>
        </w:rPr>
        <w:t xml:space="preserve">believes it </w:t>
      </w:r>
      <w:r w:rsidR="004C5CAE">
        <w:rPr>
          <w:lang w:val="en-GB"/>
        </w:rPr>
        <w:t xml:space="preserve">would </w:t>
      </w:r>
      <w:r w:rsidR="00185035">
        <w:rPr>
          <w:lang w:val="en-GB"/>
        </w:rPr>
        <w:t>be</w:t>
      </w:r>
      <w:r w:rsidR="004C5CAE">
        <w:rPr>
          <w:lang w:val="en-GB"/>
        </w:rPr>
        <w:t xml:space="preserve"> helpful to take part of </w:t>
      </w:r>
      <w:r w:rsidR="005C094B">
        <w:rPr>
          <w:lang w:val="en-GB"/>
        </w:rPr>
        <w:t>each</w:t>
      </w:r>
      <w:r>
        <w:rPr>
          <w:lang w:val="en-GB"/>
        </w:rPr>
        <w:t xml:space="preserve"> </w:t>
      </w:r>
      <w:r w:rsidR="005C094B">
        <w:rPr>
          <w:lang w:val="en-GB"/>
        </w:rPr>
        <w:t>individual answer</w:t>
      </w:r>
      <w:r>
        <w:rPr>
          <w:lang w:val="en-GB"/>
        </w:rPr>
        <w:t xml:space="preserve"> </w:t>
      </w:r>
      <w:r w:rsidR="00ED22D8">
        <w:rPr>
          <w:lang w:val="en-GB"/>
        </w:rPr>
        <w:t>on the questionnaire, th</w:t>
      </w:r>
      <w:r w:rsidR="00185035">
        <w:rPr>
          <w:lang w:val="en-GB"/>
        </w:rPr>
        <w:t>ese</w:t>
      </w:r>
      <w:r w:rsidR="00ED22D8">
        <w:rPr>
          <w:lang w:val="en-GB"/>
        </w:rPr>
        <w:t xml:space="preserve"> </w:t>
      </w:r>
      <w:r>
        <w:rPr>
          <w:lang w:val="en-GB"/>
        </w:rPr>
        <w:t>c</w:t>
      </w:r>
      <w:r w:rsidR="00B17E3F">
        <w:rPr>
          <w:lang w:val="en-GB"/>
        </w:rPr>
        <w:t>ould</w:t>
      </w:r>
      <w:r>
        <w:rPr>
          <w:lang w:val="en-GB"/>
        </w:rPr>
        <w:t xml:space="preserve"> be </w:t>
      </w:r>
      <w:r w:rsidR="00185035">
        <w:rPr>
          <w:lang w:val="en-GB"/>
        </w:rPr>
        <w:t>forwarded</w:t>
      </w:r>
      <w:r>
        <w:rPr>
          <w:lang w:val="en-GB"/>
        </w:rPr>
        <w:t xml:space="preserve"> via e-mail</w:t>
      </w:r>
      <w:r w:rsidR="00ED22D8">
        <w:rPr>
          <w:lang w:val="en-GB"/>
        </w:rPr>
        <w:t xml:space="preserve"> after the meeting.</w:t>
      </w:r>
    </w:p>
    <w:p w14:paraId="6DB6AB76" w14:textId="77777777" w:rsidR="00D06AC5" w:rsidRDefault="00D06AC5" w:rsidP="00D06AC5">
      <w:pPr>
        <w:pStyle w:val="HChG"/>
      </w:pPr>
      <w:r>
        <w:tab/>
      </w:r>
      <w:r>
        <w:tab/>
      </w:r>
      <w:r w:rsidRPr="00EA706A">
        <w:t>Justification</w:t>
      </w:r>
    </w:p>
    <w:p w14:paraId="13DCD2A5" w14:textId="66B6DEC2" w:rsidR="00D06AC5" w:rsidRDefault="00D06AC5" w:rsidP="00B072D7">
      <w:pPr>
        <w:pStyle w:val="SingleTxtG"/>
      </w:pPr>
      <w:r w:rsidRPr="00120847">
        <w:tab/>
      </w:r>
      <w:r w:rsidRPr="00047E55">
        <w:t xml:space="preserve">The driver has no choice but to meet the provisions concerning supervision </w:t>
      </w:r>
      <w:r w:rsidR="00B630CA">
        <w:t xml:space="preserve">in Chapter 8.5 </w:t>
      </w:r>
      <w:r w:rsidRPr="00047E55">
        <w:t>as well as any other regulation surrounding the transport.</w:t>
      </w:r>
      <w:r>
        <w:t xml:space="preserve"> </w:t>
      </w:r>
      <w:r w:rsidRPr="00047E55">
        <w:t>For this reason, we find it necessa</w:t>
      </w:r>
      <w:r w:rsidR="001F5F78">
        <w:t xml:space="preserve">ry to specify what is meant by </w:t>
      </w:r>
      <w:r w:rsidR="001F5F78">
        <w:rPr>
          <w:lang w:val="fr-CH"/>
        </w:rPr>
        <w:t>« </w:t>
      </w:r>
      <w:r w:rsidR="001F5F78">
        <w:t>supervision</w:t>
      </w:r>
      <w:r w:rsidR="001F5F78">
        <w:rPr>
          <w:lang w:val="fr-CH"/>
        </w:rPr>
        <w:t> »</w:t>
      </w:r>
      <w:r w:rsidRPr="00047E55">
        <w:t xml:space="preserve"> in ADR, and agree on a minimum level of safety and security that we find acceptable.</w:t>
      </w:r>
      <w:r>
        <w:t xml:space="preserve"> </w:t>
      </w:r>
    </w:p>
    <w:p w14:paraId="528ADE56" w14:textId="77777777" w:rsidR="00D06AC5" w:rsidRDefault="00D06AC5" w:rsidP="00B072D7">
      <w:pPr>
        <w:pStyle w:val="SingleTxtG"/>
        <w:rPr>
          <w:lang w:val="en-GB"/>
        </w:rPr>
      </w:pPr>
      <w:r>
        <w:rPr>
          <w:lang w:val="en-GB"/>
        </w:rPr>
        <w:t xml:space="preserve">Naturally, an </w:t>
      </w:r>
      <w:r w:rsidRPr="008337CA">
        <w:rPr>
          <w:lang w:val="en-GB"/>
        </w:rPr>
        <w:t>introduc</w:t>
      </w:r>
      <w:r>
        <w:rPr>
          <w:lang w:val="en-GB"/>
        </w:rPr>
        <w:t xml:space="preserve">tion of </w:t>
      </w:r>
      <w:r w:rsidRPr="008337CA">
        <w:rPr>
          <w:lang w:val="en-GB"/>
        </w:rPr>
        <w:t xml:space="preserve">requirements on e.g. </w:t>
      </w:r>
      <w:r>
        <w:rPr>
          <w:lang w:val="en-GB"/>
        </w:rPr>
        <w:t xml:space="preserve">alarm or locking of vehicles is not likely to prevent the more advanced or goal-oriented perpetrators from stealing the load or high </w:t>
      </w:r>
      <w:r>
        <w:rPr>
          <w:lang w:val="en-GB"/>
        </w:rPr>
        <w:lastRenderedPageBreak/>
        <w:t>jacking the vehicle, but it might prevent the more impulsive or less advanced criminals. It might also contribute to delaying the crime process.</w:t>
      </w:r>
    </w:p>
    <w:p w14:paraId="34806E52" w14:textId="570F0770" w:rsidR="00D06AC5" w:rsidRDefault="00D06AC5" w:rsidP="00B072D7">
      <w:pPr>
        <w:pStyle w:val="SingleTxtG"/>
        <w:rPr>
          <w:rStyle w:val="SingleTxtGChar"/>
        </w:rPr>
      </w:pPr>
      <w:r>
        <w:rPr>
          <w:lang w:val="en-GB"/>
        </w:rPr>
        <w:t xml:space="preserve">In any case, since </w:t>
      </w:r>
      <w:r w:rsidR="00871918">
        <w:rPr>
          <w:lang w:val="en-GB"/>
        </w:rPr>
        <w:t xml:space="preserve">Chapter 8.5 in </w:t>
      </w:r>
      <w:r>
        <w:rPr>
          <w:lang w:val="en-GB"/>
        </w:rPr>
        <w:t xml:space="preserve">ADR requires supervision, it must be clear how this should be fulfilled. Otherwise the requirement does not fulfil a purpose and should be removed. </w:t>
      </w:r>
      <w:r w:rsidRPr="003C01AC">
        <w:rPr>
          <w:rStyle w:val="SingleTxtGChar"/>
        </w:rPr>
        <w:t>Clarif</w:t>
      </w:r>
      <w:r w:rsidRPr="003C01AC">
        <w:rPr>
          <w:rStyle w:val="SingleTxtGChar"/>
          <w:lang w:val="en-GB"/>
        </w:rPr>
        <w:t xml:space="preserve">ying </w:t>
      </w:r>
      <w:r w:rsidRPr="003C01AC">
        <w:rPr>
          <w:rStyle w:val="SingleTxtGChar"/>
        </w:rPr>
        <w:t xml:space="preserve">what is required by “supervision” in Chapter 8.5 would help drivers </w:t>
      </w:r>
      <w:r w:rsidRPr="008D2BCE">
        <w:rPr>
          <w:rStyle w:val="SingleTxtGChar"/>
          <w:lang w:val="en-GB"/>
        </w:rPr>
        <w:t>an</w:t>
      </w:r>
      <w:r>
        <w:rPr>
          <w:rStyle w:val="SingleTxtGChar"/>
          <w:lang w:val="en-GB"/>
        </w:rPr>
        <w:t xml:space="preserve">d others involved in the transport process </w:t>
      </w:r>
      <w:r w:rsidRPr="003C01AC">
        <w:rPr>
          <w:rStyle w:val="SingleTxtGChar"/>
        </w:rPr>
        <w:t>to apply the provision, which might also lead to a generally higher level of safety and security.</w:t>
      </w:r>
    </w:p>
    <w:p w14:paraId="4AB5E4F6" w14:textId="77777777" w:rsidR="00D06AC5" w:rsidRPr="00D06AC5" w:rsidRDefault="00D06AC5" w:rsidP="00D06AC5">
      <w:pPr>
        <w:pStyle w:val="SingleTxtG"/>
        <w:jc w:val="center"/>
        <w:rPr>
          <w:lang w:val="sv-SE"/>
        </w:rPr>
      </w:pPr>
      <w:r>
        <w:rPr>
          <w:rStyle w:val="SingleTxtGChar"/>
          <w:lang w:val="sv-SE"/>
        </w:rPr>
        <w:t>___________________</w:t>
      </w:r>
    </w:p>
    <w:sectPr w:rsidR="00D06AC5" w:rsidRPr="00D06AC5" w:rsidSect="00BC2B98">
      <w:headerReference w:type="even" r:id="rId17"/>
      <w:headerReference w:type="default" r:id="rId18"/>
      <w:footerReference w:type="even" r:id="rId19"/>
      <w:footerReference w:type="default" r:id="rId20"/>
      <w:footnotePr>
        <w:numStart w:val="2"/>
      </w:footnotePr>
      <w:endnotePr>
        <w:numFmt w:val="decimal"/>
      </w:endnotePr>
      <w:type w:val="continuous"/>
      <w:pgSz w:w="11907" w:h="16840" w:code="9"/>
      <w:pgMar w:top="1701" w:right="1134" w:bottom="1701" w:left="1134" w:header="1134" w:footer="131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D0037" w14:textId="77777777" w:rsidR="00702D74" w:rsidRDefault="00702D74"/>
  </w:endnote>
  <w:endnote w:type="continuationSeparator" w:id="0">
    <w:p w14:paraId="5DC3D18F" w14:textId="77777777" w:rsidR="00702D74" w:rsidRDefault="00702D74"/>
  </w:endnote>
  <w:endnote w:type="continuationNotice" w:id="1">
    <w:p w14:paraId="313CC11E" w14:textId="77777777" w:rsidR="00702D74" w:rsidRDefault="00702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D00BF" w14:textId="71F08879" w:rsidR="008C7AFF" w:rsidRPr="009D2A5B" w:rsidRDefault="00CC24B7"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BC2BCC">
      <w:rPr>
        <w:b/>
        <w:noProof/>
        <w:sz w:val="18"/>
      </w:rPr>
      <w:t>8</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8A5D" w14:textId="14096D1B" w:rsidR="008C7AFF" w:rsidRPr="009D2A5B" w:rsidRDefault="008C7AFF" w:rsidP="009D2A5B">
    <w:pPr>
      <w:pStyle w:val="Footer"/>
      <w:tabs>
        <w:tab w:val="right" w:pos="9598"/>
      </w:tabs>
      <w:rPr>
        <w:b/>
        <w:sz w:val="18"/>
      </w:rPr>
    </w:pPr>
    <w:r>
      <w:tab/>
    </w:r>
    <w:r w:rsidR="00CC24B7" w:rsidRPr="009D2A5B">
      <w:rPr>
        <w:b/>
        <w:sz w:val="18"/>
      </w:rPr>
      <w:fldChar w:fldCharType="begin"/>
    </w:r>
    <w:r w:rsidRPr="009D2A5B">
      <w:rPr>
        <w:b/>
        <w:sz w:val="18"/>
      </w:rPr>
      <w:instrText xml:space="preserve"> PAGE  \* MERGEFORMAT </w:instrText>
    </w:r>
    <w:r w:rsidR="00CC24B7" w:rsidRPr="009D2A5B">
      <w:rPr>
        <w:b/>
        <w:sz w:val="18"/>
      </w:rPr>
      <w:fldChar w:fldCharType="separate"/>
    </w:r>
    <w:r w:rsidR="00BC2BCC">
      <w:rPr>
        <w:b/>
        <w:noProof/>
        <w:sz w:val="18"/>
      </w:rPr>
      <w:t>7</w:t>
    </w:r>
    <w:r w:rsidR="00CC24B7"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0BB8F" w14:textId="77777777" w:rsidR="00702D74" w:rsidRPr="000B175B" w:rsidRDefault="00702D74" w:rsidP="000B175B">
      <w:pPr>
        <w:tabs>
          <w:tab w:val="right" w:pos="2155"/>
        </w:tabs>
        <w:spacing w:after="80"/>
        <w:ind w:left="680"/>
        <w:rPr>
          <w:u w:val="single"/>
        </w:rPr>
      </w:pPr>
      <w:r>
        <w:rPr>
          <w:u w:val="single"/>
        </w:rPr>
        <w:tab/>
      </w:r>
    </w:p>
  </w:footnote>
  <w:footnote w:type="continuationSeparator" w:id="0">
    <w:p w14:paraId="4576DC6D" w14:textId="77777777" w:rsidR="00702D74" w:rsidRPr="00FC68B7" w:rsidRDefault="00702D74" w:rsidP="00FC68B7">
      <w:pPr>
        <w:tabs>
          <w:tab w:val="left" w:pos="2155"/>
        </w:tabs>
        <w:spacing w:after="80"/>
        <w:ind w:left="680"/>
        <w:rPr>
          <w:u w:val="single"/>
        </w:rPr>
      </w:pPr>
      <w:r>
        <w:rPr>
          <w:u w:val="single"/>
        </w:rPr>
        <w:tab/>
      </w:r>
    </w:p>
  </w:footnote>
  <w:footnote w:type="continuationNotice" w:id="1">
    <w:p w14:paraId="391441FD" w14:textId="77777777" w:rsidR="00702D74" w:rsidRDefault="00702D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6E64" w14:textId="49D2AFF6" w:rsidR="008C7AFF" w:rsidRPr="00FA7F6B" w:rsidRDefault="008C7AFF" w:rsidP="009D2A5B">
    <w:pPr>
      <w:pStyle w:val="Header"/>
      <w:rPr>
        <w:szCs w:val="18"/>
        <w:lang w:val="fr-CH"/>
      </w:rPr>
    </w:pPr>
    <w:r w:rsidRPr="00FA7F6B">
      <w:rPr>
        <w:szCs w:val="18"/>
        <w:lang w:val="fr-CH"/>
      </w:rPr>
      <w:t>INF.</w:t>
    </w:r>
    <w:r w:rsidR="0061611A">
      <w:rPr>
        <w:szCs w:val="18"/>
        <w:lang w:val="fr-CH"/>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5917" w14:textId="50821FFE" w:rsidR="008C7AFF" w:rsidRPr="00CD57D2" w:rsidRDefault="008C7AFF" w:rsidP="009D2A5B">
    <w:pPr>
      <w:pStyle w:val="Header"/>
      <w:jc w:val="right"/>
      <w:rPr>
        <w:lang w:val="fr-CH"/>
      </w:rPr>
    </w:pPr>
    <w:r>
      <w:rPr>
        <w:lang w:val="fr-CH"/>
      </w:rPr>
      <w:t>INF.</w:t>
    </w:r>
    <w:r w:rsidR="0061611A">
      <w:rPr>
        <w:lang w:val="fr-CH"/>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D27EC"/>
    <w:multiLevelType w:val="hybridMultilevel"/>
    <w:tmpl w:val="78EE9DFE"/>
    <w:lvl w:ilvl="0" w:tplc="78B2B274">
      <w:start w:val="1"/>
      <w:numFmt w:val="decimal"/>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8C5F87"/>
    <w:multiLevelType w:val="hybridMultilevel"/>
    <w:tmpl w:val="FBD84848"/>
    <w:lvl w:ilvl="0" w:tplc="78B2B274">
      <w:start w:val="1"/>
      <w:numFmt w:val="decimal"/>
      <w:lvlText w:val="%1."/>
      <w:lvlJc w:val="left"/>
      <w:pPr>
        <w:ind w:left="3474" w:hanging="360"/>
      </w:pPr>
      <w:rPr>
        <w:rFonts w:hint="default"/>
      </w:rPr>
    </w:lvl>
    <w:lvl w:ilvl="1" w:tplc="041D0019" w:tentative="1">
      <w:start w:val="1"/>
      <w:numFmt w:val="lowerLetter"/>
      <w:lvlText w:val="%2."/>
      <w:lvlJc w:val="left"/>
      <w:pPr>
        <w:ind w:left="3060" w:hanging="360"/>
      </w:pPr>
    </w:lvl>
    <w:lvl w:ilvl="2" w:tplc="041D001B">
      <w:start w:val="1"/>
      <w:numFmt w:val="lowerRoman"/>
      <w:lvlText w:val="%3."/>
      <w:lvlJc w:val="right"/>
      <w:pPr>
        <w:ind w:left="3780" w:hanging="180"/>
      </w:pPr>
    </w:lvl>
    <w:lvl w:ilvl="3" w:tplc="041D000F" w:tentative="1">
      <w:start w:val="1"/>
      <w:numFmt w:val="decimal"/>
      <w:lvlText w:val="%4."/>
      <w:lvlJc w:val="left"/>
      <w:pPr>
        <w:ind w:left="4500" w:hanging="360"/>
      </w:pPr>
    </w:lvl>
    <w:lvl w:ilvl="4" w:tplc="041D0019" w:tentative="1">
      <w:start w:val="1"/>
      <w:numFmt w:val="lowerLetter"/>
      <w:lvlText w:val="%5."/>
      <w:lvlJc w:val="left"/>
      <w:pPr>
        <w:ind w:left="5220" w:hanging="360"/>
      </w:pPr>
    </w:lvl>
    <w:lvl w:ilvl="5" w:tplc="041D001B" w:tentative="1">
      <w:start w:val="1"/>
      <w:numFmt w:val="lowerRoman"/>
      <w:lvlText w:val="%6."/>
      <w:lvlJc w:val="right"/>
      <w:pPr>
        <w:ind w:left="5940" w:hanging="180"/>
      </w:pPr>
    </w:lvl>
    <w:lvl w:ilvl="6" w:tplc="041D000F" w:tentative="1">
      <w:start w:val="1"/>
      <w:numFmt w:val="decimal"/>
      <w:lvlText w:val="%7."/>
      <w:lvlJc w:val="left"/>
      <w:pPr>
        <w:ind w:left="6660" w:hanging="360"/>
      </w:pPr>
    </w:lvl>
    <w:lvl w:ilvl="7" w:tplc="041D0019" w:tentative="1">
      <w:start w:val="1"/>
      <w:numFmt w:val="lowerLetter"/>
      <w:lvlText w:val="%8."/>
      <w:lvlJc w:val="left"/>
      <w:pPr>
        <w:ind w:left="7380" w:hanging="360"/>
      </w:pPr>
    </w:lvl>
    <w:lvl w:ilvl="8" w:tplc="041D001B" w:tentative="1">
      <w:start w:val="1"/>
      <w:numFmt w:val="lowerRoman"/>
      <w:lvlText w:val="%9."/>
      <w:lvlJc w:val="right"/>
      <w:pPr>
        <w:ind w:left="8100" w:hanging="180"/>
      </w:pPr>
    </w:lvl>
  </w:abstractNum>
  <w:abstractNum w:abstractNumId="13" w15:restartNumberingAfterBreak="0">
    <w:nsid w:val="02C901EF"/>
    <w:multiLevelType w:val="hybridMultilevel"/>
    <w:tmpl w:val="0A20F2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2E3750C"/>
    <w:multiLevelType w:val="hybridMultilevel"/>
    <w:tmpl w:val="0AB63A70"/>
    <w:lvl w:ilvl="0" w:tplc="41885FA8">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5" w15:restartNumberingAfterBreak="0">
    <w:nsid w:val="033A6981"/>
    <w:multiLevelType w:val="hybridMultilevel"/>
    <w:tmpl w:val="8EF855FE"/>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6"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0C62DA9"/>
    <w:multiLevelType w:val="hybridMultilevel"/>
    <w:tmpl w:val="B3D0B8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4150BCC"/>
    <w:multiLevelType w:val="hybridMultilevel"/>
    <w:tmpl w:val="B6264074"/>
    <w:lvl w:ilvl="0" w:tplc="CFA814B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9" w15:restartNumberingAfterBreak="0">
    <w:nsid w:val="14512144"/>
    <w:multiLevelType w:val="hybridMultilevel"/>
    <w:tmpl w:val="E07EF7AC"/>
    <w:lvl w:ilvl="0" w:tplc="041D0001">
      <w:start w:val="1"/>
      <w:numFmt w:val="bullet"/>
      <w:lvlText w:val=""/>
      <w:lvlJc w:val="left"/>
      <w:pPr>
        <w:ind w:left="2574" w:hanging="360"/>
      </w:pPr>
      <w:rPr>
        <w:rFonts w:ascii="Symbol" w:hAnsi="Symbol" w:hint="default"/>
      </w:rPr>
    </w:lvl>
    <w:lvl w:ilvl="1" w:tplc="041D0003" w:tentative="1">
      <w:start w:val="1"/>
      <w:numFmt w:val="bullet"/>
      <w:lvlText w:val="o"/>
      <w:lvlJc w:val="left"/>
      <w:pPr>
        <w:ind w:left="3294" w:hanging="360"/>
      </w:pPr>
      <w:rPr>
        <w:rFonts w:ascii="Courier New" w:hAnsi="Courier New" w:cs="Courier New" w:hint="default"/>
      </w:rPr>
    </w:lvl>
    <w:lvl w:ilvl="2" w:tplc="041D0005" w:tentative="1">
      <w:start w:val="1"/>
      <w:numFmt w:val="bullet"/>
      <w:lvlText w:val=""/>
      <w:lvlJc w:val="left"/>
      <w:pPr>
        <w:ind w:left="4014" w:hanging="360"/>
      </w:pPr>
      <w:rPr>
        <w:rFonts w:ascii="Wingdings" w:hAnsi="Wingdings" w:hint="default"/>
      </w:rPr>
    </w:lvl>
    <w:lvl w:ilvl="3" w:tplc="041D0001" w:tentative="1">
      <w:start w:val="1"/>
      <w:numFmt w:val="bullet"/>
      <w:lvlText w:val=""/>
      <w:lvlJc w:val="left"/>
      <w:pPr>
        <w:ind w:left="4734" w:hanging="360"/>
      </w:pPr>
      <w:rPr>
        <w:rFonts w:ascii="Symbol" w:hAnsi="Symbol" w:hint="default"/>
      </w:rPr>
    </w:lvl>
    <w:lvl w:ilvl="4" w:tplc="041D0003" w:tentative="1">
      <w:start w:val="1"/>
      <w:numFmt w:val="bullet"/>
      <w:lvlText w:val="o"/>
      <w:lvlJc w:val="left"/>
      <w:pPr>
        <w:ind w:left="5454" w:hanging="360"/>
      </w:pPr>
      <w:rPr>
        <w:rFonts w:ascii="Courier New" w:hAnsi="Courier New" w:cs="Courier New" w:hint="default"/>
      </w:rPr>
    </w:lvl>
    <w:lvl w:ilvl="5" w:tplc="041D0005" w:tentative="1">
      <w:start w:val="1"/>
      <w:numFmt w:val="bullet"/>
      <w:lvlText w:val=""/>
      <w:lvlJc w:val="left"/>
      <w:pPr>
        <w:ind w:left="6174" w:hanging="360"/>
      </w:pPr>
      <w:rPr>
        <w:rFonts w:ascii="Wingdings" w:hAnsi="Wingdings" w:hint="default"/>
      </w:rPr>
    </w:lvl>
    <w:lvl w:ilvl="6" w:tplc="041D0001" w:tentative="1">
      <w:start w:val="1"/>
      <w:numFmt w:val="bullet"/>
      <w:lvlText w:val=""/>
      <w:lvlJc w:val="left"/>
      <w:pPr>
        <w:ind w:left="6894" w:hanging="360"/>
      </w:pPr>
      <w:rPr>
        <w:rFonts w:ascii="Symbol" w:hAnsi="Symbol" w:hint="default"/>
      </w:rPr>
    </w:lvl>
    <w:lvl w:ilvl="7" w:tplc="041D0003" w:tentative="1">
      <w:start w:val="1"/>
      <w:numFmt w:val="bullet"/>
      <w:lvlText w:val="o"/>
      <w:lvlJc w:val="left"/>
      <w:pPr>
        <w:ind w:left="7614" w:hanging="360"/>
      </w:pPr>
      <w:rPr>
        <w:rFonts w:ascii="Courier New" w:hAnsi="Courier New" w:cs="Courier New" w:hint="default"/>
      </w:rPr>
    </w:lvl>
    <w:lvl w:ilvl="8" w:tplc="041D0005" w:tentative="1">
      <w:start w:val="1"/>
      <w:numFmt w:val="bullet"/>
      <w:lvlText w:val=""/>
      <w:lvlJc w:val="left"/>
      <w:pPr>
        <w:ind w:left="8334" w:hanging="360"/>
      </w:pPr>
      <w:rPr>
        <w:rFonts w:ascii="Wingdings" w:hAnsi="Wingdings" w:hint="default"/>
      </w:rPr>
    </w:lvl>
  </w:abstractNum>
  <w:abstractNum w:abstractNumId="2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62B1293"/>
    <w:multiLevelType w:val="hybridMultilevel"/>
    <w:tmpl w:val="4B7E74B8"/>
    <w:lvl w:ilvl="0" w:tplc="BC6AD7F4">
      <w:start w:val="2"/>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2" w15:restartNumberingAfterBreak="0">
    <w:nsid w:val="17386926"/>
    <w:multiLevelType w:val="hybridMultilevel"/>
    <w:tmpl w:val="518CC8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1891255B"/>
    <w:multiLevelType w:val="hybridMultilevel"/>
    <w:tmpl w:val="A02074E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DB0BF1"/>
    <w:multiLevelType w:val="hybridMultilevel"/>
    <w:tmpl w:val="91AA93E8"/>
    <w:lvl w:ilvl="0" w:tplc="041D0001">
      <w:start w:val="1"/>
      <w:numFmt w:val="bullet"/>
      <w:lvlText w:val=""/>
      <w:lvlJc w:val="left"/>
      <w:pPr>
        <w:ind w:left="2574" w:hanging="360"/>
      </w:pPr>
      <w:rPr>
        <w:rFonts w:ascii="Symbol" w:hAnsi="Symbol" w:hint="default"/>
      </w:rPr>
    </w:lvl>
    <w:lvl w:ilvl="1" w:tplc="041D0003" w:tentative="1">
      <w:start w:val="1"/>
      <w:numFmt w:val="bullet"/>
      <w:lvlText w:val="o"/>
      <w:lvlJc w:val="left"/>
      <w:pPr>
        <w:ind w:left="3294" w:hanging="360"/>
      </w:pPr>
      <w:rPr>
        <w:rFonts w:ascii="Courier New" w:hAnsi="Courier New" w:cs="Courier New" w:hint="default"/>
      </w:rPr>
    </w:lvl>
    <w:lvl w:ilvl="2" w:tplc="041D0005" w:tentative="1">
      <w:start w:val="1"/>
      <w:numFmt w:val="bullet"/>
      <w:lvlText w:val=""/>
      <w:lvlJc w:val="left"/>
      <w:pPr>
        <w:ind w:left="4014" w:hanging="360"/>
      </w:pPr>
      <w:rPr>
        <w:rFonts w:ascii="Wingdings" w:hAnsi="Wingdings" w:hint="default"/>
      </w:rPr>
    </w:lvl>
    <w:lvl w:ilvl="3" w:tplc="041D0001" w:tentative="1">
      <w:start w:val="1"/>
      <w:numFmt w:val="bullet"/>
      <w:lvlText w:val=""/>
      <w:lvlJc w:val="left"/>
      <w:pPr>
        <w:ind w:left="4734" w:hanging="360"/>
      </w:pPr>
      <w:rPr>
        <w:rFonts w:ascii="Symbol" w:hAnsi="Symbol" w:hint="default"/>
      </w:rPr>
    </w:lvl>
    <w:lvl w:ilvl="4" w:tplc="041D0003" w:tentative="1">
      <w:start w:val="1"/>
      <w:numFmt w:val="bullet"/>
      <w:lvlText w:val="o"/>
      <w:lvlJc w:val="left"/>
      <w:pPr>
        <w:ind w:left="5454" w:hanging="360"/>
      </w:pPr>
      <w:rPr>
        <w:rFonts w:ascii="Courier New" w:hAnsi="Courier New" w:cs="Courier New" w:hint="default"/>
      </w:rPr>
    </w:lvl>
    <w:lvl w:ilvl="5" w:tplc="041D0005" w:tentative="1">
      <w:start w:val="1"/>
      <w:numFmt w:val="bullet"/>
      <w:lvlText w:val=""/>
      <w:lvlJc w:val="left"/>
      <w:pPr>
        <w:ind w:left="6174" w:hanging="360"/>
      </w:pPr>
      <w:rPr>
        <w:rFonts w:ascii="Wingdings" w:hAnsi="Wingdings" w:hint="default"/>
      </w:rPr>
    </w:lvl>
    <w:lvl w:ilvl="6" w:tplc="041D0001" w:tentative="1">
      <w:start w:val="1"/>
      <w:numFmt w:val="bullet"/>
      <w:lvlText w:val=""/>
      <w:lvlJc w:val="left"/>
      <w:pPr>
        <w:ind w:left="6894" w:hanging="360"/>
      </w:pPr>
      <w:rPr>
        <w:rFonts w:ascii="Symbol" w:hAnsi="Symbol" w:hint="default"/>
      </w:rPr>
    </w:lvl>
    <w:lvl w:ilvl="7" w:tplc="041D0003" w:tentative="1">
      <w:start w:val="1"/>
      <w:numFmt w:val="bullet"/>
      <w:lvlText w:val="o"/>
      <w:lvlJc w:val="left"/>
      <w:pPr>
        <w:ind w:left="7614" w:hanging="360"/>
      </w:pPr>
      <w:rPr>
        <w:rFonts w:ascii="Courier New" w:hAnsi="Courier New" w:cs="Courier New" w:hint="default"/>
      </w:rPr>
    </w:lvl>
    <w:lvl w:ilvl="8" w:tplc="041D0005" w:tentative="1">
      <w:start w:val="1"/>
      <w:numFmt w:val="bullet"/>
      <w:lvlText w:val=""/>
      <w:lvlJc w:val="left"/>
      <w:pPr>
        <w:ind w:left="8334" w:hanging="360"/>
      </w:pPr>
      <w:rPr>
        <w:rFonts w:ascii="Wingdings" w:hAnsi="Wingdings" w:hint="default"/>
      </w:rPr>
    </w:lvl>
  </w:abstractNum>
  <w:abstractNum w:abstractNumId="26" w15:restartNumberingAfterBreak="0">
    <w:nsid w:val="2CBD0E8F"/>
    <w:multiLevelType w:val="hybridMultilevel"/>
    <w:tmpl w:val="5A2A965A"/>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866CA5"/>
    <w:multiLevelType w:val="hybridMultilevel"/>
    <w:tmpl w:val="F13E8478"/>
    <w:lvl w:ilvl="0" w:tplc="CFA814B4">
      <w:start w:val="1"/>
      <w:numFmt w:val="decimal"/>
      <w:lvlText w:val="%1."/>
      <w:lvlJc w:val="left"/>
      <w:pPr>
        <w:ind w:left="2826" w:hanging="360"/>
      </w:pPr>
      <w:rPr>
        <w:rFonts w:hint="default"/>
      </w:rPr>
    </w:lvl>
    <w:lvl w:ilvl="1" w:tplc="041D0019" w:tentative="1">
      <w:start w:val="1"/>
      <w:numFmt w:val="lowerLetter"/>
      <w:lvlText w:val="%2."/>
      <w:lvlJc w:val="left"/>
      <w:pPr>
        <w:ind w:left="3546" w:hanging="360"/>
      </w:pPr>
    </w:lvl>
    <w:lvl w:ilvl="2" w:tplc="041D001B" w:tentative="1">
      <w:start w:val="1"/>
      <w:numFmt w:val="lowerRoman"/>
      <w:lvlText w:val="%3."/>
      <w:lvlJc w:val="right"/>
      <w:pPr>
        <w:ind w:left="4266" w:hanging="180"/>
      </w:pPr>
    </w:lvl>
    <w:lvl w:ilvl="3" w:tplc="041D000F" w:tentative="1">
      <w:start w:val="1"/>
      <w:numFmt w:val="decimal"/>
      <w:lvlText w:val="%4."/>
      <w:lvlJc w:val="left"/>
      <w:pPr>
        <w:ind w:left="4986" w:hanging="360"/>
      </w:pPr>
    </w:lvl>
    <w:lvl w:ilvl="4" w:tplc="041D0019" w:tentative="1">
      <w:start w:val="1"/>
      <w:numFmt w:val="lowerLetter"/>
      <w:lvlText w:val="%5."/>
      <w:lvlJc w:val="left"/>
      <w:pPr>
        <w:ind w:left="5706" w:hanging="360"/>
      </w:pPr>
    </w:lvl>
    <w:lvl w:ilvl="5" w:tplc="041D001B" w:tentative="1">
      <w:start w:val="1"/>
      <w:numFmt w:val="lowerRoman"/>
      <w:lvlText w:val="%6."/>
      <w:lvlJc w:val="right"/>
      <w:pPr>
        <w:ind w:left="6426" w:hanging="180"/>
      </w:pPr>
    </w:lvl>
    <w:lvl w:ilvl="6" w:tplc="041D000F" w:tentative="1">
      <w:start w:val="1"/>
      <w:numFmt w:val="decimal"/>
      <w:lvlText w:val="%7."/>
      <w:lvlJc w:val="left"/>
      <w:pPr>
        <w:ind w:left="7146" w:hanging="360"/>
      </w:pPr>
    </w:lvl>
    <w:lvl w:ilvl="7" w:tplc="041D0019" w:tentative="1">
      <w:start w:val="1"/>
      <w:numFmt w:val="lowerLetter"/>
      <w:lvlText w:val="%8."/>
      <w:lvlJc w:val="left"/>
      <w:pPr>
        <w:ind w:left="7866" w:hanging="360"/>
      </w:pPr>
    </w:lvl>
    <w:lvl w:ilvl="8" w:tplc="041D001B" w:tentative="1">
      <w:start w:val="1"/>
      <w:numFmt w:val="lowerRoman"/>
      <w:lvlText w:val="%9."/>
      <w:lvlJc w:val="right"/>
      <w:pPr>
        <w:ind w:left="8586" w:hanging="180"/>
      </w:pPr>
    </w:lvl>
  </w:abstractNum>
  <w:abstractNum w:abstractNumId="29" w15:restartNumberingAfterBreak="0">
    <w:nsid w:val="34210E76"/>
    <w:multiLevelType w:val="hybridMultilevel"/>
    <w:tmpl w:val="F0882CD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0" w15:restartNumberingAfterBreak="0">
    <w:nsid w:val="348F221C"/>
    <w:multiLevelType w:val="hybridMultilevel"/>
    <w:tmpl w:val="7FE60012"/>
    <w:lvl w:ilvl="0" w:tplc="78B2B274">
      <w:start w:val="1"/>
      <w:numFmt w:val="decimal"/>
      <w:lvlText w:val="%1."/>
      <w:lvlJc w:val="left"/>
      <w:pPr>
        <w:ind w:left="2988" w:hanging="360"/>
      </w:pPr>
      <w:rPr>
        <w:rFonts w:hint="default"/>
      </w:rPr>
    </w:lvl>
    <w:lvl w:ilvl="1" w:tplc="041D0019" w:tentative="1">
      <w:start w:val="1"/>
      <w:numFmt w:val="lowerLetter"/>
      <w:lvlText w:val="%2."/>
      <w:lvlJc w:val="left"/>
      <w:pPr>
        <w:ind w:left="2574" w:hanging="360"/>
      </w:pPr>
    </w:lvl>
    <w:lvl w:ilvl="2" w:tplc="041D001B">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31" w15:restartNumberingAfterBreak="0">
    <w:nsid w:val="34945609"/>
    <w:multiLevelType w:val="hybridMultilevel"/>
    <w:tmpl w:val="8D5466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CFB3C6D"/>
    <w:multiLevelType w:val="hybridMultilevel"/>
    <w:tmpl w:val="3B3839D4"/>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3"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4" w15:restartNumberingAfterBreak="0">
    <w:nsid w:val="48011DD7"/>
    <w:multiLevelType w:val="multilevel"/>
    <w:tmpl w:val="0409001D"/>
    <w:numStyleLink w:val="1ai"/>
  </w:abstractNum>
  <w:abstractNum w:abstractNumId="35" w15:restartNumberingAfterBreak="0">
    <w:nsid w:val="4D7F4507"/>
    <w:multiLevelType w:val="hybridMultilevel"/>
    <w:tmpl w:val="D55CBCD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6" w15:restartNumberingAfterBreak="0">
    <w:nsid w:val="50192006"/>
    <w:multiLevelType w:val="hybridMultilevel"/>
    <w:tmpl w:val="5D68EF0A"/>
    <w:lvl w:ilvl="0" w:tplc="041D000F">
      <w:start w:val="1"/>
      <w:numFmt w:val="decimal"/>
      <w:lvlText w:val="%1."/>
      <w:lvlJc w:val="left"/>
      <w:pPr>
        <w:ind w:left="2574" w:hanging="360"/>
      </w:pPr>
    </w:lvl>
    <w:lvl w:ilvl="1" w:tplc="041D0019" w:tentative="1">
      <w:start w:val="1"/>
      <w:numFmt w:val="lowerLetter"/>
      <w:lvlText w:val="%2."/>
      <w:lvlJc w:val="left"/>
      <w:pPr>
        <w:ind w:left="3294" w:hanging="360"/>
      </w:pPr>
    </w:lvl>
    <w:lvl w:ilvl="2" w:tplc="041D001B" w:tentative="1">
      <w:start w:val="1"/>
      <w:numFmt w:val="lowerRoman"/>
      <w:lvlText w:val="%3."/>
      <w:lvlJc w:val="right"/>
      <w:pPr>
        <w:ind w:left="4014" w:hanging="180"/>
      </w:pPr>
    </w:lvl>
    <w:lvl w:ilvl="3" w:tplc="041D000F" w:tentative="1">
      <w:start w:val="1"/>
      <w:numFmt w:val="decimal"/>
      <w:lvlText w:val="%4."/>
      <w:lvlJc w:val="left"/>
      <w:pPr>
        <w:ind w:left="4734" w:hanging="360"/>
      </w:pPr>
    </w:lvl>
    <w:lvl w:ilvl="4" w:tplc="041D0019" w:tentative="1">
      <w:start w:val="1"/>
      <w:numFmt w:val="lowerLetter"/>
      <w:lvlText w:val="%5."/>
      <w:lvlJc w:val="left"/>
      <w:pPr>
        <w:ind w:left="5454" w:hanging="360"/>
      </w:pPr>
    </w:lvl>
    <w:lvl w:ilvl="5" w:tplc="041D001B" w:tentative="1">
      <w:start w:val="1"/>
      <w:numFmt w:val="lowerRoman"/>
      <w:lvlText w:val="%6."/>
      <w:lvlJc w:val="right"/>
      <w:pPr>
        <w:ind w:left="6174" w:hanging="180"/>
      </w:pPr>
    </w:lvl>
    <w:lvl w:ilvl="6" w:tplc="041D000F" w:tentative="1">
      <w:start w:val="1"/>
      <w:numFmt w:val="decimal"/>
      <w:lvlText w:val="%7."/>
      <w:lvlJc w:val="left"/>
      <w:pPr>
        <w:ind w:left="6894" w:hanging="360"/>
      </w:pPr>
    </w:lvl>
    <w:lvl w:ilvl="7" w:tplc="041D0019" w:tentative="1">
      <w:start w:val="1"/>
      <w:numFmt w:val="lowerLetter"/>
      <w:lvlText w:val="%8."/>
      <w:lvlJc w:val="left"/>
      <w:pPr>
        <w:ind w:left="7614" w:hanging="360"/>
      </w:pPr>
    </w:lvl>
    <w:lvl w:ilvl="8" w:tplc="041D001B" w:tentative="1">
      <w:start w:val="1"/>
      <w:numFmt w:val="lowerRoman"/>
      <w:lvlText w:val="%9."/>
      <w:lvlJc w:val="right"/>
      <w:pPr>
        <w:ind w:left="8334" w:hanging="180"/>
      </w:pPr>
    </w:lvl>
  </w:abstractNum>
  <w:abstractNum w:abstractNumId="37" w15:restartNumberingAfterBreak="0">
    <w:nsid w:val="5D275C1F"/>
    <w:multiLevelType w:val="hybridMultilevel"/>
    <w:tmpl w:val="9696A2D4"/>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8" w15:restartNumberingAfterBreak="0">
    <w:nsid w:val="5E2034D1"/>
    <w:multiLevelType w:val="hybridMultilevel"/>
    <w:tmpl w:val="754689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0B4288D"/>
    <w:multiLevelType w:val="hybridMultilevel"/>
    <w:tmpl w:val="DC36A9BA"/>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4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3738F1"/>
    <w:multiLevelType w:val="hybridMultilevel"/>
    <w:tmpl w:val="C1DA4264"/>
    <w:lvl w:ilvl="0" w:tplc="49AEF8FE">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3" w15:restartNumberingAfterBreak="0">
    <w:nsid w:val="6CA3031C"/>
    <w:multiLevelType w:val="hybridMultilevel"/>
    <w:tmpl w:val="04B885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3205E84"/>
    <w:multiLevelType w:val="hybridMultilevel"/>
    <w:tmpl w:val="A844B41C"/>
    <w:lvl w:ilvl="0" w:tplc="041D000F">
      <w:start w:val="1"/>
      <w:numFmt w:val="decimal"/>
      <w:lvlText w:val="%1."/>
      <w:lvlJc w:val="left"/>
      <w:pPr>
        <w:ind w:left="2771" w:hanging="360"/>
      </w:pPr>
    </w:lvl>
    <w:lvl w:ilvl="1" w:tplc="041D0019" w:tentative="1">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45" w15:restartNumberingAfterBreak="0">
    <w:nsid w:val="76590285"/>
    <w:multiLevelType w:val="hybridMultilevel"/>
    <w:tmpl w:val="A65C88B8"/>
    <w:lvl w:ilvl="0" w:tplc="041D000F">
      <w:start w:val="1"/>
      <w:numFmt w:val="decimal"/>
      <w:lvlText w:val="%1."/>
      <w:lvlJc w:val="left"/>
      <w:pPr>
        <w:ind w:left="2574" w:hanging="360"/>
      </w:pPr>
    </w:lvl>
    <w:lvl w:ilvl="1" w:tplc="041D0019" w:tentative="1">
      <w:start w:val="1"/>
      <w:numFmt w:val="lowerLetter"/>
      <w:lvlText w:val="%2."/>
      <w:lvlJc w:val="left"/>
      <w:pPr>
        <w:ind w:left="3294" w:hanging="360"/>
      </w:pPr>
    </w:lvl>
    <w:lvl w:ilvl="2" w:tplc="041D001B" w:tentative="1">
      <w:start w:val="1"/>
      <w:numFmt w:val="lowerRoman"/>
      <w:lvlText w:val="%3."/>
      <w:lvlJc w:val="right"/>
      <w:pPr>
        <w:ind w:left="4014" w:hanging="180"/>
      </w:pPr>
    </w:lvl>
    <w:lvl w:ilvl="3" w:tplc="041D000F" w:tentative="1">
      <w:start w:val="1"/>
      <w:numFmt w:val="decimal"/>
      <w:lvlText w:val="%4."/>
      <w:lvlJc w:val="left"/>
      <w:pPr>
        <w:ind w:left="4734" w:hanging="360"/>
      </w:pPr>
    </w:lvl>
    <w:lvl w:ilvl="4" w:tplc="041D0019" w:tentative="1">
      <w:start w:val="1"/>
      <w:numFmt w:val="lowerLetter"/>
      <w:lvlText w:val="%5."/>
      <w:lvlJc w:val="left"/>
      <w:pPr>
        <w:ind w:left="5454" w:hanging="360"/>
      </w:pPr>
    </w:lvl>
    <w:lvl w:ilvl="5" w:tplc="041D001B" w:tentative="1">
      <w:start w:val="1"/>
      <w:numFmt w:val="lowerRoman"/>
      <w:lvlText w:val="%6."/>
      <w:lvlJc w:val="right"/>
      <w:pPr>
        <w:ind w:left="6174" w:hanging="180"/>
      </w:pPr>
    </w:lvl>
    <w:lvl w:ilvl="6" w:tplc="041D000F" w:tentative="1">
      <w:start w:val="1"/>
      <w:numFmt w:val="decimal"/>
      <w:lvlText w:val="%7."/>
      <w:lvlJc w:val="left"/>
      <w:pPr>
        <w:ind w:left="6894" w:hanging="360"/>
      </w:pPr>
    </w:lvl>
    <w:lvl w:ilvl="7" w:tplc="041D0019" w:tentative="1">
      <w:start w:val="1"/>
      <w:numFmt w:val="lowerLetter"/>
      <w:lvlText w:val="%8."/>
      <w:lvlJc w:val="left"/>
      <w:pPr>
        <w:ind w:left="7614" w:hanging="360"/>
      </w:pPr>
    </w:lvl>
    <w:lvl w:ilvl="8" w:tplc="041D001B" w:tentative="1">
      <w:start w:val="1"/>
      <w:numFmt w:val="lowerRoman"/>
      <w:lvlText w:val="%9."/>
      <w:lvlJc w:val="right"/>
      <w:pPr>
        <w:ind w:left="8334" w:hanging="180"/>
      </w:pPr>
    </w:lvl>
  </w:abstractNum>
  <w:abstractNum w:abstractNumId="46" w15:restartNumberingAfterBreak="0">
    <w:nsid w:val="78B33ECA"/>
    <w:multiLevelType w:val="hybridMultilevel"/>
    <w:tmpl w:val="FDF2BA0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47"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542612"/>
    <w:multiLevelType w:val="hybridMultilevel"/>
    <w:tmpl w:val="747AF606"/>
    <w:lvl w:ilvl="0" w:tplc="52FAD72C">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24"/>
  </w:num>
  <w:num w:numId="13">
    <w:abstractNumId w:val="11"/>
  </w:num>
  <w:num w:numId="14">
    <w:abstractNumId w:val="39"/>
  </w:num>
  <w:num w:numId="15">
    <w:abstractNumId w:val="20"/>
  </w:num>
  <w:num w:numId="16">
    <w:abstractNumId w:val="16"/>
  </w:num>
  <w:num w:numId="17">
    <w:abstractNumId w:val="47"/>
  </w:num>
  <w:num w:numId="18">
    <w:abstractNumId w:val="41"/>
  </w:num>
  <w:num w:numId="19">
    <w:abstractNumId w:val="33"/>
  </w:num>
  <w:num w:numId="20">
    <w:abstractNumId w:val="35"/>
  </w:num>
  <w:num w:numId="21">
    <w:abstractNumId w:val="44"/>
  </w:num>
  <w:num w:numId="22">
    <w:abstractNumId w:val="34"/>
  </w:num>
  <w:num w:numId="23">
    <w:abstractNumId w:val="18"/>
  </w:num>
  <w:num w:numId="24">
    <w:abstractNumId w:val="10"/>
  </w:num>
  <w:num w:numId="25">
    <w:abstractNumId w:val="30"/>
  </w:num>
  <w:num w:numId="26">
    <w:abstractNumId w:val="12"/>
  </w:num>
  <w:num w:numId="27">
    <w:abstractNumId w:val="28"/>
  </w:num>
  <w:num w:numId="28">
    <w:abstractNumId w:val="21"/>
  </w:num>
  <w:num w:numId="29">
    <w:abstractNumId w:val="26"/>
  </w:num>
  <w:num w:numId="30">
    <w:abstractNumId w:val="46"/>
  </w:num>
  <w:num w:numId="31">
    <w:abstractNumId w:val="32"/>
  </w:num>
  <w:num w:numId="32">
    <w:abstractNumId w:val="48"/>
  </w:num>
  <w:num w:numId="33">
    <w:abstractNumId w:val="37"/>
  </w:num>
  <w:num w:numId="34">
    <w:abstractNumId w:val="14"/>
  </w:num>
  <w:num w:numId="35">
    <w:abstractNumId w:val="23"/>
  </w:num>
  <w:num w:numId="36">
    <w:abstractNumId w:val="15"/>
  </w:num>
  <w:num w:numId="37">
    <w:abstractNumId w:val="31"/>
  </w:num>
  <w:num w:numId="38">
    <w:abstractNumId w:val="13"/>
  </w:num>
  <w:num w:numId="39">
    <w:abstractNumId w:val="17"/>
  </w:num>
  <w:num w:numId="40">
    <w:abstractNumId w:val="22"/>
  </w:num>
  <w:num w:numId="41">
    <w:abstractNumId w:val="38"/>
  </w:num>
  <w:num w:numId="42">
    <w:abstractNumId w:val="19"/>
  </w:num>
  <w:num w:numId="43">
    <w:abstractNumId w:val="36"/>
  </w:num>
  <w:num w:numId="44">
    <w:abstractNumId w:val="45"/>
  </w:num>
  <w:num w:numId="45">
    <w:abstractNumId w:val="25"/>
  </w:num>
  <w:num w:numId="46">
    <w:abstractNumId w:val="42"/>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4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fr-CH" w:vendorID="64" w:dllVersion="6" w:nlCheck="1" w:checkStyle="0"/>
  <w:activeWritingStyle w:appName="MSWord" w:lang="fr-FR" w:vendorID="64" w:dllVersion="6" w:nlCheck="1" w:checkStyle="0"/>
  <w:activeWritingStyle w:appName="MSWord" w:lang="de-DE" w:vendorID="64" w:dllVersion="6" w:nlCheck="1" w:checkStyle="0"/>
  <w:activeWritingStyle w:appName="MSWord" w:lang="de-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0D25"/>
    <w:rsid w:val="000020A2"/>
    <w:rsid w:val="000035B8"/>
    <w:rsid w:val="00006543"/>
    <w:rsid w:val="000074DE"/>
    <w:rsid w:val="000117EC"/>
    <w:rsid w:val="00012C0B"/>
    <w:rsid w:val="00013E97"/>
    <w:rsid w:val="000149A1"/>
    <w:rsid w:val="0001765A"/>
    <w:rsid w:val="000218B5"/>
    <w:rsid w:val="0002463E"/>
    <w:rsid w:val="000255C4"/>
    <w:rsid w:val="000260EE"/>
    <w:rsid w:val="000375AD"/>
    <w:rsid w:val="00037A0A"/>
    <w:rsid w:val="00037F90"/>
    <w:rsid w:val="00042C00"/>
    <w:rsid w:val="00046B0A"/>
    <w:rsid w:val="00046B1F"/>
    <w:rsid w:val="000470B0"/>
    <w:rsid w:val="00047E55"/>
    <w:rsid w:val="00047EB7"/>
    <w:rsid w:val="00050F6B"/>
    <w:rsid w:val="000572A1"/>
    <w:rsid w:val="00057E97"/>
    <w:rsid w:val="00061528"/>
    <w:rsid w:val="0006361C"/>
    <w:rsid w:val="00067232"/>
    <w:rsid w:val="00070988"/>
    <w:rsid w:val="00072C8C"/>
    <w:rsid w:val="000733B5"/>
    <w:rsid w:val="00081815"/>
    <w:rsid w:val="0008342E"/>
    <w:rsid w:val="000836EB"/>
    <w:rsid w:val="00085917"/>
    <w:rsid w:val="00091557"/>
    <w:rsid w:val="00091AA5"/>
    <w:rsid w:val="000931C0"/>
    <w:rsid w:val="00093840"/>
    <w:rsid w:val="00096262"/>
    <w:rsid w:val="0009761A"/>
    <w:rsid w:val="000A0FD0"/>
    <w:rsid w:val="000A1247"/>
    <w:rsid w:val="000A1785"/>
    <w:rsid w:val="000A3752"/>
    <w:rsid w:val="000A58D8"/>
    <w:rsid w:val="000A5CF8"/>
    <w:rsid w:val="000A77BB"/>
    <w:rsid w:val="000B0237"/>
    <w:rsid w:val="000B0595"/>
    <w:rsid w:val="000B175B"/>
    <w:rsid w:val="000B363D"/>
    <w:rsid w:val="000B3A0F"/>
    <w:rsid w:val="000B4EF7"/>
    <w:rsid w:val="000B633F"/>
    <w:rsid w:val="000B7AA1"/>
    <w:rsid w:val="000B7EDC"/>
    <w:rsid w:val="000C00DB"/>
    <w:rsid w:val="000C125A"/>
    <w:rsid w:val="000C2C03"/>
    <w:rsid w:val="000C2D2E"/>
    <w:rsid w:val="000C2F83"/>
    <w:rsid w:val="000C3305"/>
    <w:rsid w:val="000C3328"/>
    <w:rsid w:val="000C4D51"/>
    <w:rsid w:val="000C7F79"/>
    <w:rsid w:val="000D080C"/>
    <w:rsid w:val="000D1E89"/>
    <w:rsid w:val="000D3D97"/>
    <w:rsid w:val="000D559E"/>
    <w:rsid w:val="000D7449"/>
    <w:rsid w:val="000D7C1A"/>
    <w:rsid w:val="000E0415"/>
    <w:rsid w:val="000E300C"/>
    <w:rsid w:val="000E5C70"/>
    <w:rsid w:val="000E6237"/>
    <w:rsid w:val="000F0284"/>
    <w:rsid w:val="000F4B0A"/>
    <w:rsid w:val="000F557F"/>
    <w:rsid w:val="00101931"/>
    <w:rsid w:val="00101DB8"/>
    <w:rsid w:val="00102AA6"/>
    <w:rsid w:val="001033D2"/>
    <w:rsid w:val="00103CC1"/>
    <w:rsid w:val="00104CDA"/>
    <w:rsid w:val="001103AA"/>
    <w:rsid w:val="0011119B"/>
    <w:rsid w:val="001117EC"/>
    <w:rsid w:val="00114FCE"/>
    <w:rsid w:val="0011666B"/>
    <w:rsid w:val="00120847"/>
    <w:rsid w:val="0012118B"/>
    <w:rsid w:val="001211F5"/>
    <w:rsid w:val="00121993"/>
    <w:rsid w:val="001362A8"/>
    <w:rsid w:val="00137512"/>
    <w:rsid w:val="00141383"/>
    <w:rsid w:val="00142AB2"/>
    <w:rsid w:val="00144665"/>
    <w:rsid w:val="001446F9"/>
    <w:rsid w:val="00154657"/>
    <w:rsid w:val="00155068"/>
    <w:rsid w:val="00162CFD"/>
    <w:rsid w:val="001644E3"/>
    <w:rsid w:val="001645C6"/>
    <w:rsid w:val="001657E7"/>
    <w:rsid w:val="00165F3A"/>
    <w:rsid w:val="00172E32"/>
    <w:rsid w:val="00177CE8"/>
    <w:rsid w:val="0018210E"/>
    <w:rsid w:val="00183769"/>
    <w:rsid w:val="00185035"/>
    <w:rsid w:val="00186D7B"/>
    <w:rsid w:val="00193CA7"/>
    <w:rsid w:val="0019451E"/>
    <w:rsid w:val="001963E6"/>
    <w:rsid w:val="0019698C"/>
    <w:rsid w:val="001A1DCF"/>
    <w:rsid w:val="001A6E55"/>
    <w:rsid w:val="001B08A2"/>
    <w:rsid w:val="001B13A5"/>
    <w:rsid w:val="001B4B04"/>
    <w:rsid w:val="001C0026"/>
    <w:rsid w:val="001C03F9"/>
    <w:rsid w:val="001C0917"/>
    <w:rsid w:val="001C46D0"/>
    <w:rsid w:val="001C5A58"/>
    <w:rsid w:val="001C6027"/>
    <w:rsid w:val="001C6663"/>
    <w:rsid w:val="001C7895"/>
    <w:rsid w:val="001D0C8C"/>
    <w:rsid w:val="001D1419"/>
    <w:rsid w:val="001D17B6"/>
    <w:rsid w:val="001D26DF"/>
    <w:rsid w:val="001D3A03"/>
    <w:rsid w:val="001E0632"/>
    <w:rsid w:val="001E0B9E"/>
    <w:rsid w:val="001E29E7"/>
    <w:rsid w:val="001E36B4"/>
    <w:rsid w:val="001E5415"/>
    <w:rsid w:val="001E7451"/>
    <w:rsid w:val="001E7B67"/>
    <w:rsid w:val="001F1377"/>
    <w:rsid w:val="001F5F78"/>
    <w:rsid w:val="001F679D"/>
    <w:rsid w:val="001F7435"/>
    <w:rsid w:val="002027A3"/>
    <w:rsid w:val="00202DA8"/>
    <w:rsid w:val="00206B67"/>
    <w:rsid w:val="0021157B"/>
    <w:rsid w:val="00211E0B"/>
    <w:rsid w:val="00214F1C"/>
    <w:rsid w:val="002172A4"/>
    <w:rsid w:val="002221AA"/>
    <w:rsid w:val="0022321E"/>
    <w:rsid w:val="0022544A"/>
    <w:rsid w:val="00225730"/>
    <w:rsid w:val="00226BF6"/>
    <w:rsid w:val="002325EF"/>
    <w:rsid w:val="00233955"/>
    <w:rsid w:val="0023539C"/>
    <w:rsid w:val="00236A96"/>
    <w:rsid w:val="0023771B"/>
    <w:rsid w:val="0024023A"/>
    <w:rsid w:val="00243217"/>
    <w:rsid w:val="00246079"/>
    <w:rsid w:val="00246DAC"/>
    <w:rsid w:val="0024745E"/>
    <w:rsid w:val="00247BDC"/>
    <w:rsid w:val="00250A58"/>
    <w:rsid w:val="00252290"/>
    <w:rsid w:val="00252EEE"/>
    <w:rsid w:val="00255335"/>
    <w:rsid w:val="002637BE"/>
    <w:rsid w:val="00267F5F"/>
    <w:rsid w:val="00273478"/>
    <w:rsid w:val="00276AC6"/>
    <w:rsid w:val="00280A1D"/>
    <w:rsid w:val="002820E6"/>
    <w:rsid w:val="00282853"/>
    <w:rsid w:val="002834C5"/>
    <w:rsid w:val="00284DBC"/>
    <w:rsid w:val="00286343"/>
    <w:rsid w:val="00286B4D"/>
    <w:rsid w:val="00287DCC"/>
    <w:rsid w:val="00291E09"/>
    <w:rsid w:val="00292ACF"/>
    <w:rsid w:val="00295EAD"/>
    <w:rsid w:val="002970CF"/>
    <w:rsid w:val="002A0CC5"/>
    <w:rsid w:val="002A3C85"/>
    <w:rsid w:val="002A603B"/>
    <w:rsid w:val="002A6EFA"/>
    <w:rsid w:val="002B46EB"/>
    <w:rsid w:val="002B65D8"/>
    <w:rsid w:val="002B742C"/>
    <w:rsid w:val="002C63B0"/>
    <w:rsid w:val="002D0CE4"/>
    <w:rsid w:val="002D13E9"/>
    <w:rsid w:val="002D27F5"/>
    <w:rsid w:val="002D2E24"/>
    <w:rsid w:val="002D4643"/>
    <w:rsid w:val="002D4B6C"/>
    <w:rsid w:val="002D5825"/>
    <w:rsid w:val="002E14E9"/>
    <w:rsid w:val="002E20D5"/>
    <w:rsid w:val="002E38A9"/>
    <w:rsid w:val="002F175C"/>
    <w:rsid w:val="002F3C64"/>
    <w:rsid w:val="00301D76"/>
    <w:rsid w:val="00301E1D"/>
    <w:rsid w:val="00302E18"/>
    <w:rsid w:val="0030606F"/>
    <w:rsid w:val="00311A6C"/>
    <w:rsid w:val="00312976"/>
    <w:rsid w:val="003173A5"/>
    <w:rsid w:val="00320086"/>
    <w:rsid w:val="00320FDD"/>
    <w:rsid w:val="003229D8"/>
    <w:rsid w:val="00324058"/>
    <w:rsid w:val="00325AC3"/>
    <w:rsid w:val="0033230E"/>
    <w:rsid w:val="003358CF"/>
    <w:rsid w:val="00335C89"/>
    <w:rsid w:val="00335D02"/>
    <w:rsid w:val="0034247C"/>
    <w:rsid w:val="0034605E"/>
    <w:rsid w:val="00350BA2"/>
    <w:rsid w:val="00352709"/>
    <w:rsid w:val="00354ED9"/>
    <w:rsid w:val="00355612"/>
    <w:rsid w:val="00356868"/>
    <w:rsid w:val="0035741C"/>
    <w:rsid w:val="0036340C"/>
    <w:rsid w:val="003706D8"/>
    <w:rsid w:val="0037107E"/>
    <w:rsid w:val="00371178"/>
    <w:rsid w:val="003754FC"/>
    <w:rsid w:val="00375B70"/>
    <w:rsid w:val="00377E04"/>
    <w:rsid w:val="00381A13"/>
    <w:rsid w:val="0038452A"/>
    <w:rsid w:val="00390C1D"/>
    <w:rsid w:val="003915D3"/>
    <w:rsid w:val="00393A3C"/>
    <w:rsid w:val="00397298"/>
    <w:rsid w:val="003A10AC"/>
    <w:rsid w:val="003A30E1"/>
    <w:rsid w:val="003A3908"/>
    <w:rsid w:val="003A4ED4"/>
    <w:rsid w:val="003A6498"/>
    <w:rsid w:val="003A6728"/>
    <w:rsid w:val="003A6810"/>
    <w:rsid w:val="003A7C69"/>
    <w:rsid w:val="003B2697"/>
    <w:rsid w:val="003B36D1"/>
    <w:rsid w:val="003B7418"/>
    <w:rsid w:val="003C01AC"/>
    <w:rsid w:val="003C2CC4"/>
    <w:rsid w:val="003C74DD"/>
    <w:rsid w:val="003D17F2"/>
    <w:rsid w:val="003D30B0"/>
    <w:rsid w:val="003D3380"/>
    <w:rsid w:val="003D4B23"/>
    <w:rsid w:val="003E01B4"/>
    <w:rsid w:val="003E0B6D"/>
    <w:rsid w:val="003E47CA"/>
    <w:rsid w:val="003F310D"/>
    <w:rsid w:val="003F7107"/>
    <w:rsid w:val="003F710A"/>
    <w:rsid w:val="004002CE"/>
    <w:rsid w:val="00406D5C"/>
    <w:rsid w:val="00410C89"/>
    <w:rsid w:val="0041397F"/>
    <w:rsid w:val="0041539A"/>
    <w:rsid w:val="00422B52"/>
    <w:rsid w:val="00422E03"/>
    <w:rsid w:val="00426B9B"/>
    <w:rsid w:val="004306DC"/>
    <w:rsid w:val="004325CB"/>
    <w:rsid w:val="004356D2"/>
    <w:rsid w:val="004428E6"/>
    <w:rsid w:val="00442A83"/>
    <w:rsid w:val="0044530F"/>
    <w:rsid w:val="00446D76"/>
    <w:rsid w:val="004505C1"/>
    <w:rsid w:val="0045495B"/>
    <w:rsid w:val="00454D98"/>
    <w:rsid w:val="00456890"/>
    <w:rsid w:val="0045737E"/>
    <w:rsid w:val="004575A7"/>
    <w:rsid w:val="004616DB"/>
    <w:rsid w:val="00463984"/>
    <w:rsid w:val="00463B7B"/>
    <w:rsid w:val="004643FE"/>
    <w:rsid w:val="00470310"/>
    <w:rsid w:val="00471330"/>
    <w:rsid w:val="00471EBE"/>
    <w:rsid w:val="004757DA"/>
    <w:rsid w:val="0048014F"/>
    <w:rsid w:val="00482DA4"/>
    <w:rsid w:val="0048397A"/>
    <w:rsid w:val="00485C67"/>
    <w:rsid w:val="00493B3E"/>
    <w:rsid w:val="00494D03"/>
    <w:rsid w:val="004A0C32"/>
    <w:rsid w:val="004A12F2"/>
    <w:rsid w:val="004A27B3"/>
    <w:rsid w:val="004C1464"/>
    <w:rsid w:val="004C2461"/>
    <w:rsid w:val="004C25B9"/>
    <w:rsid w:val="004C5CAE"/>
    <w:rsid w:val="004C6130"/>
    <w:rsid w:val="004C63B1"/>
    <w:rsid w:val="004C648F"/>
    <w:rsid w:val="004C72BF"/>
    <w:rsid w:val="004C7462"/>
    <w:rsid w:val="004C7936"/>
    <w:rsid w:val="004D4E04"/>
    <w:rsid w:val="004D5426"/>
    <w:rsid w:val="004D71EB"/>
    <w:rsid w:val="004E0C05"/>
    <w:rsid w:val="004E1EFB"/>
    <w:rsid w:val="004E55C6"/>
    <w:rsid w:val="004E77B2"/>
    <w:rsid w:val="004F0CCB"/>
    <w:rsid w:val="004F5695"/>
    <w:rsid w:val="004F68B6"/>
    <w:rsid w:val="004F7A1B"/>
    <w:rsid w:val="0050212C"/>
    <w:rsid w:val="00503DEB"/>
    <w:rsid w:val="00504B2D"/>
    <w:rsid w:val="00507CE8"/>
    <w:rsid w:val="00510E65"/>
    <w:rsid w:val="0051760A"/>
    <w:rsid w:val="0052013D"/>
    <w:rsid w:val="0052136D"/>
    <w:rsid w:val="00522B58"/>
    <w:rsid w:val="0052389F"/>
    <w:rsid w:val="00523CD7"/>
    <w:rsid w:val="00526FF7"/>
    <w:rsid w:val="0052775E"/>
    <w:rsid w:val="00533685"/>
    <w:rsid w:val="005420F2"/>
    <w:rsid w:val="00544169"/>
    <w:rsid w:val="00545721"/>
    <w:rsid w:val="00546993"/>
    <w:rsid w:val="005523E5"/>
    <w:rsid w:val="00553B62"/>
    <w:rsid w:val="00554B47"/>
    <w:rsid w:val="005628B6"/>
    <w:rsid w:val="005651EF"/>
    <w:rsid w:val="005653EB"/>
    <w:rsid w:val="005659C3"/>
    <w:rsid w:val="00566B2D"/>
    <w:rsid w:val="00567F94"/>
    <w:rsid w:val="0057049C"/>
    <w:rsid w:val="00584FAE"/>
    <w:rsid w:val="00586DB8"/>
    <w:rsid w:val="00590F4A"/>
    <w:rsid w:val="005933E3"/>
    <w:rsid w:val="0059363D"/>
    <w:rsid w:val="00596193"/>
    <w:rsid w:val="005A1668"/>
    <w:rsid w:val="005A280E"/>
    <w:rsid w:val="005A6437"/>
    <w:rsid w:val="005B0A84"/>
    <w:rsid w:val="005B3DB3"/>
    <w:rsid w:val="005B4E13"/>
    <w:rsid w:val="005C094B"/>
    <w:rsid w:val="005C167E"/>
    <w:rsid w:val="005C5CC2"/>
    <w:rsid w:val="005C67B8"/>
    <w:rsid w:val="005D01AA"/>
    <w:rsid w:val="005D0201"/>
    <w:rsid w:val="005D2A29"/>
    <w:rsid w:val="005E6A77"/>
    <w:rsid w:val="005F1822"/>
    <w:rsid w:val="005F2C06"/>
    <w:rsid w:val="005F4EF7"/>
    <w:rsid w:val="005F7B75"/>
    <w:rsid w:val="006001EE"/>
    <w:rsid w:val="00600E53"/>
    <w:rsid w:val="00600FA9"/>
    <w:rsid w:val="00603A22"/>
    <w:rsid w:val="00605042"/>
    <w:rsid w:val="00610411"/>
    <w:rsid w:val="00611FC4"/>
    <w:rsid w:val="0061611A"/>
    <w:rsid w:val="006162FB"/>
    <w:rsid w:val="006167E8"/>
    <w:rsid w:val="00616EEB"/>
    <w:rsid w:val="006176FB"/>
    <w:rsid w:val="0062213C"/>
    <w:rsid w:val="006309EF"/>
    <w:rsid w:val="00633CDB"/>
    <w:rsid w:val="00634DD4"/>
    <w:rsid w:val="00640B26"/>
    <w:rsid w:val="00642081"/>
    <w:rsid w:val="00644CD3"/>
    <w:rsid w:val="00651B2F"/>
    <w:rsid w:val="00652D0A"/>
    <w:rsid w:val="0065420F"/>
    <w:rsid w:val="00655EBF"/>
    <w:rsid w:val="0066005F"/>
    <w:rsid w:val="00661C95"/>
    <w:rsid w:val="006623D5"/>
    <w:rsid w:val="00662531"/>
    <w:rsid w:val="00662BB6"/>
    <w:rsid w:val="006632AE"/>
    <w:rsid w:val="006634C7"/>
    <w:rsid w:val="006662AB"/>
    <w:rsid w:val="00667F8F"/>
    <w:rsid w:val="0067091C"/>
    <w:rsid w:val="00670BBE"/>
    <w:rsid w:val="006713A7"/>
    <w:rsid w:val="00671F98"/>
    <w:rsid w:val="00673C44"/>
    <w:rsid w:val="00674897"/>
    <w:rsid w:val="00676B85"/>
    <w:rsid w:val="006774F8"/>
    <w:rsid w:val="00677B1E"/>
    <w:rsid w:val="00680CD8"/>
    <w:rsid w:val="0068180F"/>
    <w:rsid w:val="00683AD2"/>
    <w:rsid w:val="00684C21"/>
    <w:rsid w:val="0068608F"/>
    <w:rsid w:val="00686FF1"/>
    <w:rsid w:val="006A2530"/>
    <w:rsid w:val="006B49F6"/>
    <w:rsid w:val="006B4DDD"/>
    <w:rsid w:val="006B5FBC"/>
    <w:rsid w:val="006C18FA"/>
    <w:rsid w:val="006C1CBF"/>
    <w:rsid w:val="006C3589"/>
    <w:rsid w:val="006C7C55"/>
    <w:rsid w:val="006D03EC"/>
    <w:rsid w:val="006D2B94"/>
    <w:rsid w:val="006D2E2C"/>
    <w:rsid w:val="006D317D"/>
    <w:rsid w:val="006D37AF"/>
    <w:rsid w:val="006D51D0"/>
    <w:rsid w:val="006D75CD"/>
    <w:rsid w:val="006E3B48"/>
    <w:rsid w:val="006E4935"/>
    <w:rsid w:val="006E564B"/>
    <w:rsid w:val="006E58F2"/>
    <w:rsid w:val="006E7191"/>
    <w:rsid w:val="006E73A7"/>
    <w:rsid w:val="006E7A66"/>
    <w:rsid w:val="006F303E"/>
    <w:rsid w:val="006F3CCF"/>
    <w:rsid w:val="00701773"/>
    <w:rsid w:val="00702574"/>
    <w:rsid w:val="00702D74"/>
    <w:rsid w:val="00703577"/>
    <w:rsid w:val="0070457B"/>
    <w:rsid w:val="00705894"/>
    <w:rsid w:val="007112CD"/>
    <w:rsid w:val="007147C3"/>
    <w:rsid w:val="0071793F"/>
    <w:rsid w:val="0072632A"/>
    <w:rsid w:val="007277B2"/>
    <w:rsid w:val="0073117E"/>
    <w:rsid w:val="007327D5"/>
    <w:rsid w:val="00735DA3"/>
    <w:rsid w:val="00740F76"/>
    <w:rsid w:val="00741721"/>
    <w:rsid w:val="007418F1"/>
    <w:rsid w:val="00742EB8"/>
    <w:rsid w:val="00743E81"/>
    <w:rsid w:val="00750A4A"/>
    <w:rsid w:val="00753674"/>
    <w:rsid w:val="00754592"/>
    <w:rsid w:val="007611CF"/>
    <w:rsid w:val="007612FF"/>
    <w:rsid w:val="007629C8"/>
    <w:rsid w:val="00765EC1"/>
    <w:rsid w:val="0077047D"/>
    <w:rsid w:val="00781439"/>
    <w:rsid w:val="007816F1"/>
    <w:rsid w:val="00783407"/>
    <w:rsid w:val="0078507B"/>
    <w:rsid w:val="00791AC2"/>
    <w:rsid w:val="00793939"/>
    <w:rsid w:val="007945EF"/>
    <w:rsid w:val="00796A62"/>
    <w:rsid w:val="00797575"/>
    <w:rsid w:val="007A1179"/>
    <w:rsid w:val="007A787F"/>
    <w:rsid w:val="007B41A4"/>
    <w:rsid w:val="007B5445"/>
    <w:rsid w:val="007B6BA5"/>
    <w:rsid w:val="007B6C1C"/>
    <w:rsid w:val="007C3390"/>
    <w:rsid w:val="007C4F4B"/>
    <w:rsid w:val="007C5966"/>
    <w:rsid w:val="007C6E0C"/>
    <w:rsid w:val="007D3484"/>
    <w:rsid w:val="007D3770"/>
    <w:rsid w:val="007D63AD"/>
    <w:rsid w:val="007E01E9"/>
    <w:rsid w:val="007E26B9"/>
    <w:rsid w:val="007E63F3"/>
    <w:rsid w:val="007F0F4A"/>
    <w:rsid w:val="007F10A1"/>
    <w:rsid w:val="007F23F5"/>
    <w:rsid w:val="007F29A5"/>
    <w:rsid w:val="007F528D"/>
    <w:rsid w:val="007F6611"/>
    <w:rsid w:val="007F70AF"/>
    <w:rsid w:val="007F7106"/>
    <w:rsid w:val="007F7A86"/>
    <w:rsid w:val="007F7AB8"/>
    <w:rsid w:val="00804157"/>
    <w:rsid w:val="00804222"/>
    <w:rsid w:val="008116D7"/>
    <w:rsid w:val="00811920"/>
    <w:rsid w:val="00815AD0"/>
    <w:rsid w:val="00815C2A"/>
    <w:rsid w:val="00815E91"/>
    <w:rsid w:val="008212E9"/>
    <w:rsid w:val="008242D7"/>
    <w:rsid w:val="00824EA3"/>
    <w:rsid w:val="008257B1"/>
    <w:rsid w:val="008268C5"/>
    <w:rsid w:val="008337CA"/>
    <w:rsid w:val="00835C5B"/>
    <w:rsid w:val="00836F65"/>
    <w:rsid w:val="00840043"/>
    <w:rsid w:val="00841EA6"/>
    <w:rsid w:val="00842F17"/>
    <w:rsid w:val="00843767"/>
    <w:rsid w:val="00844141"/>
    <w:rsid w:val="00845E45"/>
    <w:rsid w:val="0085038E"/>
    <w:rsid w:val="008544D5"/>
    <w:rsid w:val="00854501"/>
    <w:rsid w:val="008556FB"/>
    <w:rsid w:val="0085672F"/>
    <w:rsid w:val="00856EB8"/>
    <w:rsid w:val="008679D9"/>
    <w:rsid w:val="00870677"/>
    <w:rsid w:val="008711DC"/>
    <w:rsid w:val="00871389"/>
    <w:rsid w:val="00871918"/>
    <w:rsid w:val="00875C74"/>
    <w:rsid w:val="008767BF"/>
    <w:rsid w:val="008777A4"/>
    <w:rsid w:val="00880848"/>
    <w:rsid w:val="00883999"/>
    <w:rsid w:val="00887652"/>
    <w:rsid w:val="008878DE"/>
    <w:rsid w:val="00896777"/>
    <w:rsid w:val="008978C9"/>
    <w:rsid w:val="008979B1"/>
    <w:rsid w:val="008A3058"/>
    <w:rsid w:val="008A3B54"/>
    <w:rsid w:val="008A6B25"/>
    <w:rsid w:val="008A6C4F"/>
    <w:rsid w:val="008A7F90"/>
    <w:rsid w:val="008B187F"/>
    <w:rsid w:val="008B2335"/>
    <w:rsid w:val="008B27FB"/>
    <w:rsid w:val="008B2B78"/>
    <w:rsid w:val="008B2D85"/>
    <w:rsid w:val="008B5119"/>
    <w:rsid w:val="008B6F08"/>
    <w:rsid w:val="008C10F2"/>
    <w:rsid w:val="008C400E"/>
    <w:rsid w:val="008C4ADB"/>
    <w:rsid w:val="008C678F"/>
    <w:rsid w:val="008C7AFF"/>
    <w:rsid w:val="008D7341"/>
    <w:rsid w:val="008E0678"/>
    <w:rsid w:val="008E2331"/>
    <w:rsid w:val="008E33CD"/>
    <w:rsid w:val="008E6480"/>
    <w:rsid w:val="008F03A8"/>
    <w:rsid w:val="008F04C9"/>
    <w:rsid w:val="008F5ACB"/>
    <w:rsid w:val="008F6CE6"/>
    <w:rsid w:val="00900724"/>
    <w:rsid w:val="00907BA5"/>
    <w:rsid w:val="0091190D"/>
    <w:rsid w:val="00914287"/>
    <w:rsid w:val="009172D6"/>
    <w:rsid w:val="009223CA"/>
    <w:rsid w:val="0092408C"/>
    <w:rsid w:val="00927130"/>
    <w:rsid w:val="00927829"/>
    <w:rsid w:val="00933E40"/>
    <w:rsid w:val="00934137"/>
    <w:rsid w:val="009408BB"/>
    <w:rsid w:val="00940F93"/>
    <w:rsid w:val="00941E4E"/>
    <w:rsid w:val="00943E66"/>
    <w:rsid w:val="0094558F"/>
    <w:rsid w:val="00946884"/>
    <w:rsid w:val="009475C3"/>
    <w:rsid w:val="009536F9"/>
    <w:rsid w:val="00955557"/>
    <w:rsid w:val="00956168"/>
    <w:rsid w:val="00956994"/>
    <w:rsid w:val="00961690"/>
    <w:rsid w:val="00963ABB"/>
    <w:rsid w:val="0097012B"/>
    <w:rsid w:val="0097110C"/>
    <w:rsid w:val="009760F3"/>
    <w:rsid w:val="00977203"/>
    <w:rsid w:val="009819EC"/>
    <w:rsid w:val="009863FD"/>
    <w:rsid w:val="00995AB4"/>
    <w:rsid w:val="0099754E"/>
    <w:rsid w:val="009A0E8D"/>
    <w:rsid w:val="009A1FD2"/>
    <w:rsid w:val="009A3C75"/>
    <w:rsid w:val="009B0F25"/>
    <w:rsid w:val="009B1518"/>
    <w:rsid w:val="009B15AA"/>
    <w:rsid w:val="009B26E7"/>
    <w:rsid w:val="009B350F"/>
    <w:rsid w:val="009C2166"/>
    <w:rsid w:val="009C454F"/>
    <w:rsid w:val="009C4DF6"/>
    <w:rsid w:val="009C565B"/>
    <w:rsid w:val="009D2486"/>
    <w:rsid w:val="009D2A5B"/>
    <w:rsid w:val="009D6C2B"/>
    <w:rsid w:val="009D7DBD"/>
    <w:rsid w:val="009E1D30"/>
    <w:rsid w:val="009E6561"/>
    <w:rsid w:val="009F1201"/>
    <w:rsid w:val="009F2BB8"/>
    <w:rsid w:val="00A00A3F"/>
    <w:rsid w:val="00A01489"/>
    <w:rsid w:val="00A0515C"/>
    <w:rsid w:val="00A12E50"/>
    <w:rsid w:val="00A14388"/>
    <w:rsid w:val="00A16436"/>
    <w:rsid w:val="00A1777D"/>
    <w:rsid w:val="00A3009E"/>
    <w:rsid w:val="00A3026E"/>
    <w:rsid w:val="00A30C84"/>
    <w:rsid w:val="00A31D95"/>
    <w:rsid w:val="00A338F1"/>
    <w:rsid w:val="00A3409F"/>
    <w:rsid w:val="00A44D24"/>
    <w:rsid w:val="00A45689"/>
    <w:rsid w:val="00A45808"/>
    <w:rsid w:val="00A45A79"/>
    <w:rsid w:val="00A46763"/>
    <w:rsid w:val="00A477C4"/>
    <w:rsid w:val="00A533E7"/>
    <w:rsid w:val="00A5402C"/>
    <w:rsid w:val="00A56AAB"/>
    <w:rsid w:val="00A7218F"/>
    <w:rsid w:val="00A72F22"/>
    <w:rsid w:val="00A7360F"/>
    <w:rsid w:val="00A748A6"/>
    <w:rsid w:val="00A769F4"/>
    <w:rsid w:val="00A776B4"/>
    <w:rsid w:val="00A86F6A"/>
    <w:rsid w:val="00A915B4"/>
    <w:rsid w:val="00A91C7C"/>
    <w:rsid w:val="00A94361"/>
    <w:rsid w:val="00A94BB3"/>
    <w:rsid w:val="00A95D61"/>
    <w:rsid w:val="00A970A8"/>
    <w:rsid w:val="00AA1F98"/>
    <w:rsid w:val="00AA293C"/>
    <w:rsid w:val="00AA358B"/>
    <w:rsid w:val="00AA3BDA"/>
    <w:rsid w:val="00AA5165"/>
    <w:rsid w:val="00AA55D5"/>
    <w:rsid w:val="00AA66C0"/>
    <w:rsid w:val="00AB0F6A"/>
    <w:rsid w:val="00AB2A18"/>
    <w:rsid w:val="00AB32F7"/>
    <w:rsid w:val="00AB4050"/>
    <w:rsid w:val="00AB5B47"/>
    <w:rsid w:val="00AC36B7"/>
    <w:rsid w:val="00AC5045"/>
    <w:rsid w:val="00AC6EC4"/>
    <w:rsid w:val="00AC7166"/>
    <w:rsid w:val="00AD2381"/>
    <w:rsid w:val="00AD44C2"/>
    <w:rsid w:val="00AD48FA"/>
    <w:rsid w:val="00AE0B20"/>
    <w:rsid w:val="00AE50F3"/>
    <w:rsid w:val="00AE5667"/>
    <w:rsid w:val="00AF232F"/>
    <w:rsid w:val="00AF7B8E"/>
    <w:rsid w:val="00AF7E36"/>
    <w:rsid w:val="00B057BC"/>
    <w:rsid w:val="00B0614C"/>
    <w:rsid w:val="00B06ED6"/>
    <w:rsid w:val="00B072D7"/>
    <w:rsid w:val="00B101E9"/>
    <w:rsid w:val="00B117CF"/>
    <w:rsid w:val="00B11BB4"/>
    <w:rsid w:val="00B11D71"/>
    <w:rsid w:val="00B12557"/>
    <w:rsid w:val="00B129BB"/>
    <w:rsid w:val="00B12CA6"/>
    <w:rsid w:val="00B17E3F"/>
    <w:rsid w:val="00B2148A"/>
    <w:rsid w:val="00B21F96"/>
    <w:rsid w:val="00B22BC2"/>
    <w:rsid w:val="00B24F79"/>
    <w:rsid w:val="00B25EB2"/>
    <w:rsid w:val="00B27148"/>
    <w:rsid w:val="00B27885"/>
    <w:rsid w:val="00B30179"/>
    <w:rsid w:val="00B31424"/>
    <w:rsid w:val="00B3147C"/>
    <w:rsid w:val="00B32796"/>
    <w:rsid w:val="00B34EAB"/>
    <w:rsid w:val="00B36690"/>
    <w:rsid w:val="00B41584"/>
    <w:rsid w:val="00B421C1"/>
    <w:rsid w:val="00B47633"/>
    <w:rsid w:val="00B47E56"/>
    <w:rsid w:val="00B51CEC"/>
    <w:rsid w:val="00B53C93"/>
    <w:rsid w:val="00B552A3"/>
    <w:rsid w:val="00B55C71"/>
    <w:rsid w:val="00B56E4A"/>
    <w:rsid w:val="00B56E9C"/>
    <w:rsid w:val="00B60882"/>
    <w:rsid w:val="00B612DF"/>
    <w:rsid w:val="00B61320"/>
    <w:rsid w:val="00B6151A"/>
    <w:rsid w:val="00B61BB6"/>
    <w:rsid w:val="00B630CA"/>
    <w:rsid w:val="00B63F86"/>
    <w:rsid w:val="00B64B1F"/>
    <w:rsid w:val="00B65263"/>
    <w:rsid w:val="00B6553F"/>
    <w:rsid w:val="00B70F09"/>
    <w:rsid w:val="00B70F1E"/>
    <w:rsid w:val="00B77D05"/>
    <w:rsid w:val="00B8059B"/>
    <w:rsid w:val="00B81206"/>
    <w:rsid w:val="00B81E12"/>
    <w:rsid w:val="00B8394B"/>
    <w:rsid w:val="00B84EB1"/>
    <w:rsid w:val="00B85D76"/>
    <w:rsid w:val="00B87639"/>
    <w:rsid w:val="00B94746"/>
    <w:rsid w:val="00BA46C0"/>
    <w:rsid w:val="00BA4F47"/>
    <w:rsid w:val="00BB090B"/>
    <w:rsid w:val="00BB1184"/>
    <w:rsid w:val="00BB5635"/>
    <w:rsid w:val="00BB7CD1"/>
    <w:rsid w:val="00BB7D9F"/>
    <w:rsid w:val="00BC2725"/>
    <w:rsid w:val="00BC2B98"/>
    <w:rsid w:val="00BC2BCC"/>
    <w:rsid w:val="00BC3FA0"/>
    <w:rsid w:val="00BC626B"/>
    <w:rsid w:val="00BC67E1"/>
    <w:rsid w:val="00BC6D21"/>
    <w:rsid w:val="00BC74E9"/>
    <w:rsid w:val="00BC7D09"/>
    <w:rsid w:val="00BD6AE8"/>
    <w:rsid w:val="00BE3770"/>
    <w:rsid w:val="00BE4F17"/>
    <w:rsid w:val="00BF3CC6"/>
    <w:rsid w:val="00BF68A8"/>
    <w:rsid w:val="00BF6B31"/>
    <w:rsid w:val="00C00247"/>
    <w:rsid w:val="00C04609"/>
    <w:rsid w:val="00C0468A"/>
    <w:rsid w:val="00C10E4C"/>
    <w:rsid w:val="00C10FE6"/>
    <w:rsid w:val="00C11A03"/>
    <w:rsid w:val="00C11B49"/>
    <w:rsid w:val="00C12398"/>
    <w:rsid w:val="00C12DCD"/>
    <w:rsid w:val="00C20199"/>
    <w:rsid w:val="00C217A5"/>
    <w:rsid w:val="00C22539"/>
    <w:rsid w:val="00C22C0C"/>
    <w:rsid w:val="00C23978"/>
    <w:rsid w:val="00C243B3"/>
    <w:rsid w:val="00C25E1A"/>
    <w:rsid w:val="00C26804"/>
    <w:rsid w:val="00C30215"/>
    <w:rsid w:val="00C320B5"/>
    <w:rsid w:val="00C33407"/>
    <w:rsid w:val="00C3410A"/>
    <w:rsid w:val="00C42300"/>
    <w:rsid w:val="00C43462"/>
    <w:rsid w:val="00C4527F"/>
    <w:rsid w:val="00C45E05"/>
    <w:rsid w:val="00C463DD"/>
    <w:rsid w:val="00C4724C"/>
    <w:rsid w:val="00C50913"/>
    <w:rsid w:val="00C542B4"/>
    <w:rsid w:val="00C605F3"/>
    <w:rsid w:val="00C629A0"/>
    <w:rsid w:val="00C64629"/>
    <w:rsid w:val="00C66F1F"/>
    <w:rsid w:val="00C745C3"/>
    <w:rsid w:val="00C76502"/>
    <w:rsid w:val="00C7755F"/>
    <w:rsid w:val="00C77BE5"/>
    <w:rsid w:val="00C8303D"/>
    <w:rsid w:val="00C900EB"/>
    <w:rsid w:val="00C97C39"/>
    <w:rsid w:val="00C97CF6"/>
    <w:rsid w:val="00CA12F5"/>
    <w:rsid w:val="00CA39FB"/>
    <w:rsid w:val="00CB2276"/>
    <w:rsid w:val="00CB3162"/>
    <w:rsid w:val="00CB3C2D"/>
    <w:rsid w:val="00CB3E03"/>
    <w:rsid w:val="00CB46A6"/>
    <w:rsid w:val="00CB5F84"/>
    <w:rsid w:val="00CC24B7"/>
    <w:rsid w:val="00CC2A1B"/>
    <w:rsid w:val="00CC5B3B"/>
    <w:rsid w:val="00CD1E1D"/>
    <w:rsid w:val="00CD1FCA"/>
    <w:rsid w:val="00CD285E"/>
    <w:rsid w:val="00CD2BAF"/>
    <w:rsid w:val="00CD46A7"/>
    <w:rsid w:val="00CD57D2"/>
    <w:rsid w:val="00CE0858"/>
    <w:rsid w:val="00CE1761"/>
    <w:rsid w:val="00CE1CFD"/>
    <w:rsid w:val="00CE3E6E"/>
    <w:rsid w:val="00CE4A8F"/>
    <w:rsid w:val="00CE4E67"/>
    <w:rsid w:val="00CF1F49"/>
    <w:rsid w:val="00CF3164"/>
    <w:rsid w:val="00CF7AC0"/>
    <w:rsid w:val="00D040D8"/>
    <w:rsid w:val="00D0533C"/>
    <w:rsid w:val="00D06AC5"/>
    <w:rsid w:val="00D1284B"/>
    <w:rsid w:val="00D13737"/>
    <w:rsid w:val="00D13F4D"/>
    <w:rsid w:val="00D178EF"/>
    <w:rsid w:val="00D2031B"/>
    <w:rsid w:val="00D224BF"/>
    <w:rsid w:val="00D22523"/>
    <w:rsid w:val="00D25FE2"/>
    <w:rsid w:val="00D32127"/>
    <w:rsid w:val="00D32B3E"/>
    <w:rsid w:val="00D40764"/>
    <w:rsid w:val="00D43252"/>
    <w:rsid w:val="00D44198"/>
    <w:rsid w:val="00D46E53"/>
    <w:rsid w:val="00D47EEA"/>
    <w:rsid w:val="00D47F36"/>
    <w:rsid w:val="00D5385E"/>
    <w:rsid w:val="00D53946"/>
    <w:rsid w:val="00D550D4"/>
    <w:rsid w:val="00D56292"/>
    <w:rsid w:val="00D62742"/>
    <w:rsid w:val="00D65BB0"/>
    <w:rsid w:val="00D7419E"/>
    <w:rsid w:val="00D74C80"/>
    <w:rsid w:val="00D762DF"/>
    <w:rsid w:val="00D773DF"/>
    <w:rsid w:val="00D80842"/>
    <w:rsid w:val="00D810EE"/>
    <w:rsid w:val="00D8590C"/>
    <w:rsid w:val="00D876F8"/>
    <w:rsid w:val="00D9065D"/>
    <w:rsid w:val="00D9146B"/>
    <w:rsid w:val="00D91A8D"/>
    <w:rsid w:val="00D9255F"/>
    <w:rsid w:val="00D93344"/>
    <w:rsid w:val="00D93534"/>
    <w:rsid w:val="00D95303"/>
    <w:rsid w:val="00D97453"/>
    <w:rsid w:val="00D978C6"/>
    <w:rsid w:val="00DA3C1C"/>
    <w:rsid w:val="00DA40F9"/>
    <w:rsid w:val="00DA5024"/>
    <w:rsid w:val="00DB1304"/>
    <w:rsid w:val="00DB1CCE"/>
    <w:rsid w:val="00DB43CD"/>
    <w:rsid w:val="00DB57B1"/>
    <w:rsid w:val="00DB6E62"/>
    <w:rsid w:val="00DB7ED0"/>
    <w:rsid w:val="00DC0353"/>
    <w:rsid w:val="00DC12A9"/>
    <w:rsid w:val="00DD1B4C"/>
    <w:rsid w:val="00DD2091"/>
    <w:rsid w:val="00DD390E"/>
    <w:rsid w:val="00DD63C5"/>
    <w:rsid w:val="00DE37C6"/>
    <w:rsid w:val="00DE4970"/>
    <w:rsid w:val="00DE6AEA"/>
    <w:rsid w:val="00DE7486"/>
    <w:rsid w:val="00DF0E6D"/>
    <w:rsid w:val="00DF0EC4"/>
    <w:rsid w:val="00DF418D"/>
    <w:rsid w:val="00E019E0"/>
    <w:rsid w:val="00E01B7D"/>
    <w:rsid w:val="00E01D54"/>
    <w:rsid w:val="00E02661"/>
    <w:rsid w:val="00E046DF"/>
    <w:rsid w:val="00E04F33"/>
    <w:rsid w:val="00E10E7D"/>
    <w:rsid w:val="00E11848"/>
    <w:rsid w:val="00E13DAF"/>
    <w:rsid w:val="00E14853"/>
    <w:rsid w:val="00E15557"/>
    <w:rsid w:val="00E171C1"/>
    <w:rsid w:val="00E17BDC"/>
    <w:rsid w:val="00E21502"/>
    <w:rsid w:val="00E261FA"/>
    <w:rsid w:val="00E26778"/>
    <w:rsid w:val="00E27346"/>
    <w:rsid w:val="00E415E2"/>
    <w:rsid w:val="00E45859"/>
    <w:rsid w:val="00E51184"/>
    <w:rsid w:val="00E51E40"/>
    <w:rsid w:val="00E54F0D"/>
    <w:rsid w:val="00E5605F"/>
    <w:rsid w:val="00E56FD4"/>
    <w:rsid w:val="00E5731F"/>
    <w:rsid w:val="00E62A14"/>
    <w:rsid w:val="00E62CCF"/>
    <w:rsid w:val="00E71BC8"/>
    <w:rsid w:val="00E72502"/>
    <w:rsid w:val="00E7260F"/>
    <w:rsid w:val="00E726E6"/>
    <w:rsid w:val="00E73F5D"/>
    <w:rsid w:val="00E756DA"/>
    <w:rsid w:val="00E77E4E"/>
    <w:rsid w:val="00E77FE5"/>
    <w:rsid w:val="00E8006D"/>
    <w:rsid w:val="00E836E7"/>
    <w:rsid w:val="00E879F6"/>
    <w:rsid w:val="00E909ED"/>
    <w:rsid w:val="00E93128"/>
    <w:rsid w:val="00E955EE"/>
    <w:rsid w:val="00E96630"/>
    <w:rsid w:val="00E96B8D"/>
    <w:rsid w:val="00E96C02"/>
    <w:rsid w:val="00EA13FC"/>
    <w:rsid w:val="00EA706A"/>
    <w:rsid w:val="00EA73E0"/>
    <w:rsid w:val="00EB6500"/>
    <w:rsid w:val="00EB65AE"/>
    <w:rsid w:val="00EB6FD0"/>
    <w:rsid w:val="00EB7345"/>
    <w:rsid w:val="00EB771A"/>
    <w:rsid w:val="00EC098C"/>
    <w:rsid w:val="00EC106A"/>
    <w:rsid w:val="00EC32A0"/>
    <w:rsid w:val="00ED22D8"/>
    <w:rsid w:val="00ED7A2A"/>
    <w:rsid w:val="00EE086A"/>
    <w:rsid w:val="00EE15DF"/>
    <w:rsid w:val="00EE65FE"/>
    <w:rsid w:val="00EE6B3A"/>
    <w:rsid w:val="00EF0247"/>
    <w:rsid w:val="00EF0769"/>
    <w:rsid w:val="00EF1D7F"/>
    <w:rsid w:val="00F02306"/>
    <w:rsid w:val="00F05E4B"/>
    <w:rsid w:val="00F1104B"/>
    <w:rsid w:val="00F13381"/>
    <w:rsid w:val="00F16B7D"/>
    <w:rsid w:val="00F20F56"/>
    <w:rsid w:val="00F227A6"/>
    <w:rsid w:val="00F23F71"/>
    <w:rsid w:val="00F24D1B"/>
    <w:rsid w:val="00F31170"/>
    <w:rsid w:val="00F31E5F"/>
    <w:rsid w:val="00F3206E"/>
    <w:rsid w:val="00F3324C"/>
    <w:rsid w:val="00F36F0D"/>
    <w:rsid w:val="00F4172D"/>
    <w:rsid w:val="00F42999"/>
    <w:rsid w:val="00F51ECD"/>
    <w:rsid w:val="00F57B45"/>
    <w:rsid w:val="00F57ED1"/>
    <w:rsid w:val="00F6100A"/>
    <w:rsid w:val="00F66565"/>
    <w:rsid w:val="00F73BD8"/>
    <w:rsid w:val="00F74866"/>
    <w:rsid w:val="00F8015D"/>
    <w:rsid w:val="00F832CF"/>
    <w:rsid w:val="00F91A69"/>
    <w:rsid w:val="00F93781"/>
    <w:rsid w:val="00F97D14"/>
    <w:rsid w:val="00FA038A"/>
    <w:rsid w:val="00FA26FD"/>
    <w:rsid w:val="00FA2814"/>
    <w:rsid w:val="00FA2F48"/>
    <w:rsid w:val="00FA42D6"/>
    <w:rsid w:val="00FA4773"/>
    <w:rsid w:val="00FA4FEB"/>
    <w:rsid w:val="00FA5E8A"/>
    <w:rsid w:val="00FA7F6B"/>
    <w:rsid w:val="00FB1A29"/>
    <w:rsid w:val="00FB4C10"/>
    <w:rsid w:val="00FB613B"/>
    <w:rsid w:val="00FB7B98"/>
    <w:rsid w:val="00FB7D4E"/>
    <w:rsid w:val="00FC1945"/>
    <w:rsid w:val="00FC2EA1"/>
    <w:rsid w:val="00FC3938"/>
    <w:rsid w:val="00FC397A"/>
    <w:rsid w:val="00FC3C87"/>
    <w:rsid w:val="00FC68B7"/>
    <w:rsid w:val="00FC6A89"/>
    <w:rsid w:val="00FD3588"/>
    <w:rsid w:val="00FD45C9"/>
    <w:rsid w:val="00FD4631"/>
    <w:rsid w:val="00FD70F7"/>
    <w:rsid w:val="00FD7C13"/>
    <w:rsid w:val="00FE0275"/>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FC0F7E"/>
  <w15:chartTrackingRefBased/>
  <w15:docId w15:val="{DFF9A738-621B-45B7-88DF-E4FB45EE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link w:val="CommentTextChar"/>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paragraph" w:styleId="CommentSubject">
    <w:name w:val="annotation subject"/>
    <w:basedOn w:val="CommentText"/>
    <w:next w:val="CommentText"/>
    <w:link w:val="CommentSubjectChar"/>
    <w:semiHidden/>
    <w:unhideWhenUsed/>
    <w:rsid w:val="00796A62"/>
    <w:rPr>
      <w:b/>
      <w:bCs/>
    </w:rPr>
  </w:style>
  <w:style w:type="character" w:customStyle="1" w:styleId="CommentTextChar">
    <w:name w:val="Comment Text Char"/>
    <w:link w:val="CommentText"/>
    <w:semiHidden/>
    <w:rsid w:val="00796A62"/>
    <w:rPr>
      <w:lang w:val="en-GB" w:eastAsia="en-US"/>
    </w:rPr>
  </w:style>
  <w:style w:type="character" w:customStyle="1" w:styleId="CommentSubjectChar">
    <w:name w:val="Comment Subject Char"/>
    <w:link w:val="CommentSubject"/>
    <w:semiHidden/>
    <w:rsid w:val="00796A62"/>
    <w:rPr>
      <w:b/>
      <w:bCs/>
      <w:lang w:val="en-GB" w:eastAsia="en-US"/>
    </w:rPr>
  </w:style>
  <w:style w:type="character" w:customStyle="1" w:styleId="st1">
    <w:name w:val="st1"/>
    <w:basedOn w:val="DefaultParagraphFont"/>
    <w:rsid w:val="002D13E9"/>
  </w:style>
  <w:style w:type="paragraph" w:customStyle="1" w:styleId="Default">
    <w:name w:val="Default"/>
    <w:rsid w:val="00C97CF6"/>
    <w:pPr>
      <w:autoSpaceDE w:val="0"/>
      <w:autoSpaceDN w:val="0"/>
      <w:adjustRightInd w:val="0"/>
    </w:pPr>
    <w:rPr>
      <w:color w:val="000000"/>
      <w:sz w:val="24"/>
      <w:szCs w:val="24"/>
      <w:lang w:val="sv-SE"/>
    </w:rPr>
  </w:style>
  <w:style w:type="paragraph" w:customStyle="1" w:styleId="Mallnummer">
    <w:name w:val="Mallnummer"/>
    <w:basedOn w:val="Normal"/>
    <w:rsid w:val="001446F9"/>
    <w:pPr>
      <w:suppressAutoHyphens w:val="0"/>
      <w:spacing w:line="240" w:lineRule="auto"/>
    </w:pPr>
    <w:rPr>
      <w:rFonts w:ascii="Verdana" w:hAnsi="Verdana"/>
      <w:sz w:val="15"/>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07663">
      <w:bodyDiv w:val="1"/>
      <w:marLeft w:val="0"/>
      <w:marRight w:val="0"/>
      <w:marTop w:val="0"/>
      <w:marBottom w:val="0"/>
      <w:divBdr>
        <w:top w:val="none" w:sz="0" w:space="0" w:color="auto"/>
        <w:left w:val="none" w:sz="0" w:space="0" w:color="auto"/>
        <w:bottom w:val="none" w:sz="0" w:space="0" w:color="auto"/>
        <w:right w:val="none" w:sz="0" w:space="0" w:color="auto"/>
      </w:divBdr>
    </w:div>
    <w:div w:id="639312755">
      <w:bodyDiv w:val="1"/>
      <w:marLeft w:val="0"/>
      <w:marRight w:val="0"/>
      <w:marTop w:val="0"/>
      <w:marBottom w:val="0"/>
      <w:divBdr>
        <w:top w:val="none" w:sz="0" w:space="0" w:color="auto"/>
        <w:left w:val="none" w:sz="0" w:space="0" w:color="auto"/>
        <w:bottom w:val="none" w:sz="0" w:space="0" w:color="auto"/>
        <w:right w:val="none" w:sz="0" w:space="0" w:color="auto"/>
      </w:divBdr>
    </w:div>
    <w:div w:id="668019031">
      <w:bodyDiv w:val="1"/>
      <w:marLeft w:val="0"/>
      <w:marRight w:val="0"/>
      <w:marTop w:val="0"/>
      <w:marBottom w:val="0"/>
      <w:divBdr>
        <w:top w:val="none" w:sz="0" w:space="0" w:color="auto"/>
        <w:left w:val="none" w:sz="0" w:space="0" w:color="auto"/>
        <w:bottom w:val="none" w:sz="0" w:space="0" w:color="auto"/>
        <w:right w:val="none" w:sz="0" w:space="0" w:color="auto"/>
      </w:divBdr>
    </w:div>
    <w:div w:id="1143080422">
      <w:bodyDiv w:val="1"/>
      <w:marLeft w:val="0"/>
      <w:marRight w:val="0"/>
      <w:marTop w:val="0"/>
      <w:marBottom w:val="0"/>
      <w:divBdr>
        <w:top w:val="none" w:sz="0" w:space="0" w:color="auto"/>
        <w:left w:val="none" w:sz="0" w:space="0" w:color="auto"/>
        <w:bottom w:val="none" w:sz="0" w:space="0" w:color="auto"/>
        <w:right w:val="none" w:sz="0" w:space="0" w:color="auto"/>
      </w:divBdr>
    </w:div>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656686311">
      <w:bodyDiv w:val="1"/>
      <w:marLeft w:val="0"/>
      <w:marRight w:val="0"/>
      <w:marTop w:val="0"/>
      <w:marBottom w:val="0"/>
      <w:divBdr>
        <w:top w:val="none" w:sz="0" w:space="0" w:color="auto"/>
        <w:left w:val="none" w:sz="0" w:space="0" w:color="auto"/>
        <w:bottom w:val="none" w:sz="0" w:space="0" w:color="auto"/>
        <w:right w:val="none" w:sz="0" w:space="0" w:color="auto"/>
      </w:divBdr>
    </w:div>
    <w:div w:id="1676565389">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c.europa.eu/transport/themes/its/road/action_plan/intelligent-truck-parking_en"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61430-AE57-42B4-A854-11CFA6EA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2487</Words>
  <Characters>14182</Characters>
  <Application>Microsoft Office Word</Application>
  <DocSecurity>0</DocSecurity>
  <Lines>118</Lines>
  <Paragraphs>33</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Christine Barrio-Champeau</cp:lastModifiedBy>
  <cp:revision>6</cp:revision>
  <cp:lastPrinted>2018-10-22T07:21:00Z</cp:lastPrinted>
  <dcterms:created xsi:type="dcterms:W3CDTF">2018-10-22T08:03:00Z</dcterms:created>
  <dcterms:modified xsi:type="dcterms:W3CDTF">2018-10-22T09:10:00Z</dcterms:modified>
</cp:coreProperties>
</file>