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EF0D81" w:rsidRPr="0099001C" w:rsidTr="000D5782">
        <w:trPr>
          <w:cantSplit/>
          <w:trHeight w:hRule="exact" w:val="851"/>
        </w:trPr>
        <w:tc>
          <w:tcPr>
            <w:tcW w:w="9639" w:type="dxa"/>
            <w:tcBorders>
              <w:bottom w:val="single" w:sz="4" w:space="0" w:color="auto"/>
            </w:tcBorders>
            <w:vAlign w:val="bottom"/>
          </w:tcPr>
          <w:p w:rsidR="00EF0D81" w:rsidRPr="0099001C" w:rsidRDefault="00EF0D81" w:rsidP="00E76D3E">
            <w:pPr>
              <w:jc w:val="right"/>
              <w:rPr>
                <w:b/>
                <w:sz w:val="40"/>
                <w:szCs w:val="40"/>
              </w:rPr>
            </w:pPr>
            <w:r w:rsidRPr="0099001C">
              <w:rPr>
                <w:b/>
                <w:sz w:val="40"/>
                <w:szCs w:val="40"/>
              </w:rPr>
              <w:t>UN/SCEGHS/</w:t>
            </w:r>
            <w:r w:rsidR="00E76D3E">
              <w:rPr>
                <w:b/>
                <w:sz w:val="40"/>
                <w:szCs w:val="40"/>
              </w:rPr>
              <w:t>36</w:t>
            </w:r>
            <w:r w:rsidRPr="0099001C">
              <w:rPr>
                <w:b/>
                <w:sz w:val="40"/>
                <w:szCs w:val="40"/>
              </w:rPr>
              <w:t>/INF.</w:t>
            </w:r>
            <w:r w:rsidR="009E3493">
              <w:rPr>
                <w:b/>
                <w:sz w:val="40"/>
                <w:szCs w:val="40"/>
              </w:rPr>
              <w:t>4</w:t>
            </w:r>
            <w:r w:rsidR="004E4C5A">
              <w:rPr>
                <w:b/>
                <w:sz w:val="40"/>
                <w:szCs w:val="40"/>
              </w:rPr>
              <w:t>1</w:t>
            </w:r>
          </w:p>
        </w:tc>
      </w:tr>
      <w:tr w:rsidR="00EF0D81" w:rsidTr="000D5782">
        <w:trPr>
          <w:cantSplit/>
          <w:trHeight w:hRule="exact" w:val="3114"/>
        </w:trPr>
        <w:tc>
          <w:tcPr>
            <w:tcW w:w="9639" w:type="dxa"/>
            <w:tcBorders>
              <w:top w:val="single" w:sz="4" w:space="0" w:color="auto"/>
            </w:tcBorders>
          </w:tcPr>
          <w:p w:rsidR="00EF0D81" w:rsidRPr="00691F20" w:rsidRDefault="00EF0D81" w:rsidP="000D5782">
            <w:pPr>
              <w:spacing w:before="120"/>
              <w:rPr>
                <w:b/>
                <w:sz w:val="24"/>
                <w:szCs w:val="24"/>
                <w:lang w:val="en-US"/>
              </w:rPr>
            </w:pPr>
            <w:r w:rsidRPr="00691F20">
              <w:rPr>
                <w:b/>
                <w:sz w:val="24"/>
                <w:szCs w:val="24"/>
                <w:lang w:val="en-US"/>
              </w:rPr>
              <w:t>Committee of Experts on the Transport of Dangerous Goods</w:t>
            </w:r>
            <w:r w:rsidRPr="00691F20">
              <w:rPr>
                <w:b/>
                <w:sz w:val="24"/>
                <w:szCs w:val="24"/>
                <w:lang w:val="en-US"/>
              </w:rPr>
              <w:br/>
              <w:t>and on the Globally Harmonized System of Classification</w:t>
            </w:r>
            <w:r w:rsidRPr="00691F20">
              <w:rPr>
                <w:b/>
                <w:sz w:val="24"/>
                <w:szCs w:val="24"/>
                <w:lang w:val="en-US"/>
              </w:rPr>
              <w:br/>
              <w:t>and Labelling of Chemicals</w:t>
            </w:r>
          </w:p>
          <w:p w:rsidR="00EF0D81" w:rsidRPr="009F0F06" w:rsidRDefault="00EF0D81" w:rsidP="000D5782">
            <w:pPr>
              <w:tabs>
                <w:tab w:val="right" w:pos="9300"/>
              </w:tabs>
              <w:spacing w:before="120"/>
              <w:rPr>
                <w:rFonts w:ascii="Helv" w:hAnsi="Helv" w:cs="Helv"/>
                <w:b/>
                <w:color w:val="000000"/>
                <w:lang w:val="en-US"/>
              </w:rPr>
            </w:pPr>
            <w:r w:rsidRPr="00691F20">
              <w:rPr>
                <w:b/>
                <w:lang w:val="en-US"/>
              </w:rPr>
              <w:t>Sub-Committee of Experts on the Globally Harmonized</w:t>
            </w:r>
            <w:r w:rsidRPr="00691F20">
              <w:rPr>
                <w:b/>
                <w:lang w:val="en-US"/>
              </w:rPr>
              <w:br/>
              <w:t>System of Classification and Labelling of Chemicals</w:t>
            </w:r>
            <w:r>
              <w:rPr>
                <w:b/>
                <w:lang w:val="en-US"/>
              </w:rPr>
              <w:tab/>
            </w:r>
            <w:r w:rsidR="002A7946">
              <w:rPr>
                <w:b/>
                <w:lang w:val="en-US"/>
              </w:rPr>
              <w:t>5</w:t>
            </w:r>
            <w:r w:rsidR="00165248">
              <w:rPr>
                <w:b/>
                <w:lang w:val="en-US"/>
              </w:rPr>
              <w:t xml:space="preserve"> </w:t>
            </w:r>
            <w:r>
              <w:rPr>
                <w:b/>
                <w:lang w:val="en-US"/>
              </w:rPr>
              <w:t>December 201</w:t>
            </w:r>
            <w:r w:rsidR="000C30A7">
              <w:rPr>
                <w:b/>
                <w:lang w:val="en-US"/>
              </w:rPr>
              <w:t>8</w:t>
            </w:r>
          </w:p>
          <w:p w:rsidR="00EF0D81" w:rsidRPr="006E39A4" w:rsidRDefault="00EF0D81" w:rsidP="000D5782">
            <w:pPr>
              <w:spacing w:before="120"/>
              <w:rPr>
                <w:b/>
              </w:rPr>
            </w:pPr>
            <w:r>
              <w:rPr>
                <w:b/>
              </w:rPr>
              <w:t>Thirty-s</w:t>
            </w:r>
            <w:r w:rsidR="00E76D3E">
              <w:rPr>
                <w:b/>
              </w:rPr>
              <w:t>ixth</w:t>
            </w:r>
            <w:r w:rsidRPr="006E39A4">
              <w:rPr>
                <w:b/>
              </w:rPr>
              <w:t xml:space="preserve"> session</w:t>
            </w:r>
          </w:p>
          <w:p w:rsidR="00EF0D81" w:rsidRPr="006E39A4" w:rsidRDefault="00EF0D81" w:rsidP="000D5782">
            <w:r w:rsidRPr="006E39A4">
              <w:t xml:space="preserve">Geneva, </w:t>
            </w:r>
            <w:r w:rsidR="00E76D3E">
              <w:t>5</w:t>
            </w:r>
            <w:r w:rsidR="002A7946">
              <w:t>-</w:t>
            </w:r>
            <w:r w:rsidR="00E76D3E">
              <w:t>7</w:t>
            </w:r>
            <w:r>
              <w:t xml:space="preserve"> December </w:t>
            </w:r>
            <w:r w:rsidR="00E76D3E">
              <w:t>2018</w:t>
            </w:r>
          </w:p>
          <w:p w:rsidR="00EF0D81" w:rsidRDefault="00EF0D81" w:rsidP="004E4C5A">
            <w:r w:rsidRPr="006E39A4">
              <w:t xml:space="preserve">Item </w:t>
            </w:r>
            <w:r w:rsidR="004E4C5A">
              <w:t>5 (c</w:t>
            </w:r>
            <w:r w:rsidR="00DD2153">
              <w:t>)</w:t>
            </w:r>
            <w:r>
              <w:t xml:space="preserve"> </w:t>
            </w:r>
            <w:r w:rsidRPr="006E39A4">
              <w:t>of the provisional agenda</w:t>
            </w:r>
          </w:p>
          <w:p w:rsidR="00EF0D81" w:rsidRPr="004E4C5A" w:rsidRDefault="004E4C5A" w:rsidP="00DD2153">
            <w:pPr>
              <w:ind w:right="4395"/>
              <w:rPr>
                <w:b/>
                <w:bCs/>
              </w:rPr>
            </w:pPr>
            <w:r w:rsidRPr="004E4C5A">
              <w:rPr>
                <w:b/>
                <w:bCs/>
              </w:rPr>
              <w:t xml:space="preserve">Implementation of the GHS: </w:t>
            </w:r>
            <w:r w:rsidRPr="004E4C5A">
              <w:rPr>
                <w:b/>
                <w:bCs/>
              </w:rPr>
              <w:br/>
              <w:t>cooperation with other bodies or international organizations</w:t>
            </w:r>
          </w:p>
          <w:p w:rsidR="00EF0D81" w:rsidRDefault="00EF0D81" w:rsidP="000D5782">
            <w:pPr>
              <w:spacing w:line="240" w:lineRule="exact"/>
            </w:pPr>
          </w:p>
        </w:tc>
      </w:tr>
    </w:tbl>
    <w:p w:rsidR="004E4C5A" w:rsidRPr="007819E5" w:rsidRDefault="004E4C5A" w:rsidP="004E4C5A">
      <w:pPr>
        <w:pStyle w:val="HChG"/>
      </w:pPr>
      <w:r>
        <w:tab/>
      </w:r>
      <w:r>
        <w:tab/>
        <w:t>Basel Convention on the Control of Transboundary Movements of Hazardous Wastes and their Disposal</w:t>
      </w:r>
    </w:p>
    <w:p w:rsidR="004E4C5A" w:rsidRDefault="004E4C5A" w:rsidP="004E4C5A">
      <w:pPr>
        <w:pStyle w:val="HChG"/>
      </w:pPr>
      <w:r>
        <w:tab/>
      </w:r>
      <w:r>
        <w:tab/>
        <w:t>Note by the Secretariat</w:t>
      </w:r>
    </w:p>
    <w:p w:rsidR="00C02473" w:rsidRPr="004A2401" w:rsidRDefault="00C02473" w:rsidP="00104539">
      <w:pPr>
        <w:pStyle w:val="SingleTxtG"/>
        <w:tabs>
          <w:tab w:val="left" w:pos="7938"/>
        </w:tabs>
        <w:rPr>
          <w:lang w:eastAsia="zh-CN"/>
        </w:rPr>
      </w:pPr>
      <w:r w:rsidRPr="004A2401">
        <w:rPr>
          <w:lang w:eastAsia="zh-CN"/>
        </w:rPr>
        <w:t xml:space="preserve">The secretariat reproduces hereafter information received </w:t>
      </w:r>
      <w:r w:rsidR="00104539">
        <w:rPr>
          <w:lang w:eastAsia="zh-CN"/>
        </w:rPr>
        <w:t>from</w:t>
      </w:r>
      <w:r w:rsidRPr="004A2401">
        <w:rPr>
          <w:lang w:eastAsia="zh-CN"/>
        </w:rPr>
        <w:t xml:space="preserve"> the secr</w:t>
      </w:r>
      <w:r w:rsidR="004A2401">
        <w:rPr>
          <w:lang w:eastAsia="zh-CN"/>
        </w:rPr>
        <w:t xml:space="preserve">etariat of the </w:t>
      </w:r>
      <w:bookmarkStart w:id="0" w:name="_GoBack"/>
      <w:bookmarkEnd w:id="0"/>
      <w:r w:rsidR="004A2401">
        <w:rPr>
          <w:lang w:eastAsia="zh-CN"/>
        </w:rPr>
        <w:t>Basel Convention:</w:t>
      </w:r>
    </w:p>
    <w:p w:rsidR="004E4C5A" w:rsidRPr="004A2401" w:rsidRDefault="004A2401" w:rsidP="00C02473">
      <w:pPr>
        <w:pStyle w:val="SingleTxtG"/>
        <w:ind w:right="567"/>
      </w:pPr>
      <w:r>
        <w:t>“</w:t>
      </w:r>
      <w:r w:rsidR="004E4C5A" w:rsidRPr="004A2401">
        <w:t>The Expert working Group on the review of the Annexes I, III and IV and related aspects of Annex IX to the Basel Convention on the on the Control of Transboundary Movements of Hazardous Wastes and Their Disposal</w:t>
      </w:r>
      <w:r>
        <w:t>:</w:t>
      </w:r>
    </w:p>
    <w:p w:rsidR="004E4C5A" w:rsidRPr="000A5A2E" w:rsidRDefault="004E4C5A" w:rsidP="00873A0B">
      <w:pPr>
        <w:pStyle w:val="Normalnumber"/>
        <w:tabs>
          <w:tab w:val="clear" w:pos="1247"/>
        </w:tabs>
        <w:ind w:left="1134" w:right="567"/>
        <w:jc w:val="both"/>
      </w:pPr>
      <w:r w:rsidRPr="000A5A2E">
        <w:t>By its decision BC-13/2, on the follow-up to the Indonesian-Swiss country</w:t>
      </w:r>
      <w:r w:rsidRPr="000A5A2E">
        <w:noBreakHyphen/>
        <w:t>led initiative to improve the effectiveness of the Basel Convention on the Control of Transboundary Movements of</w:t>
      </w:r>
      <w:r>
        <w:t xml:space="preserve"> </w:t>
      </w:r>
      <w:r w:rsidRPr="000A5A2E">
        <w:t>Hazardous Wastes and Their Disposal, the Conference of Parties, among other things, established an expert working group on the review of the Annexes with a mandate and terms of reference as set out in annex II to that decision</w:t>
      </w:r>
      <w:r w:rsidR="00BF0656">
        <w:rPr>
          <w:rStyle w:val="FootnoteReference"/>
        </w:rPr>
        <w:footnoteReference w:id="1"/>
      </w:r>
      <w:r w:rsidR="004A3EBD">
        <w:t>.</w:t>
      </w:r>
      <w:r w:rsidRPr="000A5A2E">
        <w:t xml:space="preserve"> </w:t>
      </w:r>
    </w:p>
    <w:p w:rsidR="004E4C5A" w:rsidRDefault="004E4C5A" w:rsidP="004E4C5A">
      <w:pPr>
        <w:pStyle w:val="Normalnumber"/>
        <w:tabs>
          <w:tab w:val="clear" w:pos="1814"/>
          <w:tab w:val="left" w:pos="1701"/>
        </w:tabs>
        <w:ind w:hanging="306"/>
      </w:pPr>
      <w:r>
        <w:tab/>
        <w:t xml:space="preserve">The </w:t>
      </w:r>
      <w:r w:rsidRPr="000A5A2E">
        <w:t>expert working group</w:t>
      </w:r>
      <w:r>
        <w:t xml:space="preserve"> is mandated to review:</w:t>
      </w:r>
    </w:p>
    <w:p w:rsidR="004E4C5A" w:rsidRDefault="004E4C5A" w:rsidP="00873A0B">
      <w:pPr>
        <w:pStyle w:val="SingleTxtG"/>
        <w:numPr>
          <w:ilvl w:val="1"/>
          <w:numId w:val="2"/>
        </w:numPr>
        <w:ind w:left="1701" w:right="567" w:firstLine="0"/>
      </w:pPr>
      <w:r>
        <w:t xml:space="preserve">Annex I, which lists the lists the categories of wastes to be controlled under the Basel Convention, including both specific waste categories (Y1 to Y18) and wastes having specific constituents (Y19 to Y45); </w:t>
      </w:r>
    </w:p>
    <w:p w:rsidR="004E4C5A" w:rsidRDefault="004E4C5A" w:rsidP="00873A0B">
      <w:pPr>
        <w:pStyle w:val="SingleTxtG"/>
        <w:numPr>
          <w:ilvl w:val="1"/>
          <w:numId w:val="2"/>
        </w:numPr>
        <w:ind w:left="1701" w:right="567" w:firstLine="0"/>
      </w:pPr>
      <w:r>
        <w:t>Annex III, which lists the hazardous characteristics (H1 to H13);</w:t>
      </w:r>
    </w:p>
    <w:p w:rsidR="004E4C5A" w:rsidRPr="000A5A2E" w:rsidRDefault="004E4C5A" w:rsidP="00873A0B">
      <w:pPr>
        <w:pStyle w:val="SingleTxtG"/>
        <w:numPr>
          <w:ilvl w:val="1"/>
          <w:numId w:val="2"/>
        </w:numPr>
        <w:ind w:left="1701" w:right="567" w:firstLine="0"/>
      </w:pPr>
      <w:r>
        <w:t>Annex IV,</w:t>
      </w:r>
      <w:r w:rsidRPr="000A5A2E">
        <w:t xml:space="preserve"> which list the disposal operations key to defining whether a substance or an object is a “waste”.  </w:t>
      </w:r>
      <w:r>
        <w:t xml:space="preserve">Annex IV includes two sections, namely section A entitled “Operations which do not lead to the possibility of resource recovery, recycling, reclamation, direct re-use or alternative uses”, and section B entitled “Operations which may lead to resource recovery, recycling, reclamation, direct re-use or alternative uses”. </w:t>
      </w:r>
      <w:r w:rsidRPr="000A5A2E">
        <w:t>The “related aspects of Annex</w:t>
      </w:r>
      <w:r w:rsidR="004A3EBD">
        <w:t> </w:t>
      </w:r>
      <w:r w:rsidRPr="000A5A2E">
        <w:t>IX” refer to entry B1110 of that Annex</w:t>
      </w:r>
      <w:r>
        <w:t xml:space="preserve"> which pertains to electrical and electronic assemblies</w:t>
      </w:r>
      <w:r w:rsidRPr="000A5A2E">
        <w:t xml:space="preserve">. </w:t>
      </w:r>
    </w:p>
    <w:p w:rsidR="004E4C5A" w:rsidRDefault="004E4C5A" w:rsidP="004A3EBD">
      <w:pPr>
        <w:pStyle w:val="Normalnumber"/>
        <w:ind w:left="1701" w:hanging="567"/>
      </w:pPr>
      <w:r>
        <w:lastRenderedPageBreak/>
        <w:t>The purpose of the review is as follows:</w:t>
      </w:r>
    </w:p>
    <w:p w:rsidR="004E4C5A" w:rsidRDefault="004E4C5A" w:rsidP="00873A0B">
      <w:pPr>
        <w:pStyle w:val="SingleTxtG"/>
        <w:numPr>
          <w:ilvl w:val="1"/>
          <w:numId w:val="2"/>
        </w:numPr>
        <w:ind w:left="1701" w:right="567" w:firstLine="0"/>
      </w:pPr>
      <w:r>
        <w:t xml:space="preserve">For Annexes I and III: </w:t>
      </w:r>
      <w:r w:rsidRPr="00006118">
        <w:t>Review, with a view to: (</w:t>
      </w:r>
      <w:proofErr w:type="spellStart"/>
      <w:r w:rsidRPr="00006118">
        <w:t>i</w:t>
      </w:r>
      <w:proofErr w:type="spellEnd"/>
      <w:r w:rsidRPr="00006118">
        <w:t>) Improve/update the description of categories of wastes in Annex I and the list of hazardous characteristics in Annex III; (ii) Improve environmental controls by including any additional categories of wastes in Annex I and any additional hazardous characteristics in Annex III that occur in practice; and (iii) Clarify the descriptions in Annexes I and III to address conflicts or overlaps.</w:t>
      </w:r>
    </w:p>
    <w:p w:rsidR="004E4C5A" w:rsidRDefault="004E4C5A" w:rsidP="00873A0B">
      <w:pPr>
        <w:pStyle w:val="SingleTxtG"/>
        <w:numPr>
          <w:ilvl w:val="1"/>
          <w:numId w:val="2"/>
        </w:numPr>
        <w:ind w:left="1701" w:right="567" w:firstLine="0"/>
      </w:pPr>
      <w:r>
        <w:t xml:space="preserve">For Annex IV: </w:t>
      </w:r>
      <w:r w:rsidRPr="00006118">
        <w:t>Review, with a view to: (</w:t>
      </w:r>
      <w:proofErr w:type="spellStart"/>
      <w:r w:rsidRPr="00006118">
        <w:t>i</w:t>
      </w:r>
      <w:proofErr w:type="spellEnd"/>
      <w:r w:rsidRPr="00006118">
        <w:t>) Improve/update the description of disposal operations in Annex IV; (ii) Improve environmental controls by including additional disposal operations that occur in practice or could occur in practice in Annex IV; and (iii) Clarify the descriptions in Annex IV and in Annex IX (B1110) to</w:t>
      </w:r>
      <w:r>
        <w:t xml:space="preserve"> address conflicts or overlaps.</w:t>
      </w:r>
    </w:p>
    <w:p w:rsidR="004E4C5A" w:rsidRDefault="004E4C5A" w:rsidP="00873A0B">
      <w:pPr>
        <w:pStyle w:val="Normalnumber"/>
        <w:ind w:left="1701" w:right="567" w:hanging="567"/>
        <w:jc w:val="both"/>
      </w:pPr>
      <w:r>
        <w:t xml:space="preserve">The expert working is to give priority to the review of Annex IV. It reports back to the Conference of the Parties, which meets every two years, </w:t>
      </w:r>
      <w:proofErr w:type="gramStart"/>
      <w:r>
        <w:t>and also</w:t>
      </w:r>
      <w:proofErr w:type="gramEnd"/>
      <w:r>
        <w:t xml:space="preserve"> operates under the guidance of the Open-ended Working Group which meets once in between of the meetings of the Conference of the Parties.</w:t>
      </w:r>
    </w:p>
    <w:p w:rsidR="004E4C5A" w:rsidRDefault="004E4C5A" w:rsidP="00873A0B">
      <w:pPr>
        <w:pStyle w:val="Normalnumber"/>
        <w:ind w:left="1701" w:right="567" w:hanging="567"/>
        <w:jc w:val="both"/>
      </w:pPr>
      <w:r w:rsidRPr="00006118">
        <w:t xml:space="preserve">The expert working group is composed of experts nominated by Parties (up to 10 per United Nations region) and open to observers. As at 30 November 2018, there are 36 members </w:t>
      </w:r>
      <w:r w:rsidR="006B371B">
        <w:t>and 26 observers participating in the group</w:t>
      </w:r>
      <w:r w:rsidR="006B371B">
        <w:rPr>
          <w:rStyle w:val="FootnoteReference"/>
        </w:rPr>
        <w:footnoteReference w:id="2"/>
      </w:r>
      <w:r w:rsidR="006B371B">
        <w:t>.</w:t>
      </w:r>
    </w:p>
    <w:p w:rsidR="004E4C5A" w:rsidRPr="009432AF" w:rsidRDefault="004E4C5A" w:rsidP="00873A0B">
      <w:pPr>
        <w:pStyle w:val="Normalnumber"/>
        <w:ind w:left="1701" w:right="567" w:hanging="567"/>
        <w:jc w:val="both"/>
        <w:rPr>
          <w:rFonts w:asciiTheme="majorBidi" w:hAnsiTheme="majorBidi" w:cstheme="majorBidi"/>
        </w:rPr>
      </w:pPr>
      <w:r>
        <w:t>The expert working group held its first meeting on 20-23 March 2018, at what time it focused on the review of Annex IV</w:t>
      </w:r>
      <w:r>
        <w:rPr>
          <w:rStyle w:val="FootnoteReference"/>
        </w:rPr>
        <w:footnoteReference w:id="3"/>
      </w:r>
      <w:r>
        <w:t>. It will be holding its second meeting on 10-13 December 2018 at what time it will initiate consideration o</w:t>
      </w:r>
      <w:r w:rsidRPr="009432AF">
        <w:rPr>
          <w:rFonts w:asciiTheme="majorBidi" w:hAnsiTheme="majorBidi" w:cstheme="majorBidi"/>
        </w:rPr>
        <w:t xml:space="preserve">f the review of Annexes I and III. </w:t>
      </w:r>
      <w:r>
        <w:rPr>
          <w:rFonts w:asciiTheme="majorBidi" w:hAnsiTheme="majorBidi" w:cstheme="majorBidi"/>
        </w:rPr>
        <w:t xml:space="preserve">Information about the meeting including all meeting documents is available at: </w:t>
      </w:r>
      <w:r w:rsidRPr="009432AF">
        <w:rPr>
          <w:rFonts w:asciiTheme="majorBidi" w:hAnsiTheme="majorBidi" w:cstheme="majorBidi"/>
        </w:rPr>
        <w:t>http://www.basel.int/Implementation/LegalMatters/LegalClarity/Meetings/2ndRAEWGmtg/tabid/7690/Default.aspx</w:t>
      </w:r>
    </w:p>
    <w:p w:rsidR="004E4C5A" w:rsidRDefault="001125FE" w:rsidP="00873A0B">
      <w:pPr>
        <w:pStyle w:val="Normalnumber"/>
        <w:ind w:left="1701" w:right="567" w:hanging="567"/>
        <w:jc w:val="both"/>
      </w:pPr>
      <w:r w:rsidRPr="009432AF">
        <w:rPr>
          <w:rFonts w:asciiTheme="majorBidi" w:hAnsiTheme="majorBidi" w:cstheme="majorBidi"/>
        </w:rPr>
        <w:t>The proposals put forward so far regarding the review of Annex III are set out in document UNEP/CHW/RA_EWG.2/INF/8 and compiled in a set of slides set out in document UNEP/CHW/RA_EWG.2/7. Several proposals call for aligning the Annex III with the GHS.</w:t>
      </w:r>
    </w:p>
    <w:p w:rsidR="004E4C5A" w:rsidRPr="00BE1A82" w:rsidRDefault="004E4C5A" w:rsidP="00873A0B">
      <w:pPr>
        <w:pStyle w:val="Normalnumber"/>
        <w:ind w:left="1701" w:right="567" w:hanging="567"/>
        <w:jc w:val="both"/>
        <w:rPr>
          <w:rFonts w:asciiTheme="majorBidi" w:hAnsiTheme="majorBidi" w:cstheme="majorBidi"/>
        </w:rPr>
      </w:pPr>
      <w:r w:rsidRPr="009432AF">
        <w:rPr>
          <w:rFonts w:asciiTheme="majorBidi" w:hAnsiTheme="majorBidi" w:cstheme="majorBidi"/>
        </w:rPr>
        <w:t xml:space="preserve">Regarding the way forward, the expert working group is expected to develop </w:t>
      </w:r>
      <w:r>
        <w:rPr>
          <w:rFonts w:asciiTheme="majorBidi" w:hAnsiTheme="majorBidi" w:cstheme="majorBidi"/>
        </w:rPr>
        <w:t xml:space="preserve">during its second meeting </w:t>
      </w:r>
      <w:r w:rsidRPr="009432AF">
        <w:rPr>
          <w:lang w:val="en-US"/>
        </w:rPr>
        <w:t xml:space="preserve">recommendations for a revised Annex IV and Annex IX (B1110) as well as a report on its discussions on the review of </w:t>
      </w:r>
      <w:r w:rsidRPr="00BE1A82">
        <w:rPr>
          <w:lang w:val="en-US"/>
        </w:rPr>
        <w:t>Annexes I and III</w:t>
      </w:r>
      <w:r>
        <w:rPr>
          <w:lang w:val="en-US"/>
        </w:rPr>
        <w:t>,</w:t>
      </w:r>
      <w:r w:rsidRPr="00BE1A82">
        <w:rPr>
          <w:lang w:val="en-US"/>
        </w:rPr>
        <w:t xml:space="preserve"> for the consideration of the Conference of the Parties at its fourteenth meeting (29 April-10 May 2018). </w:t>
      </w:r>
    </w:p>
    <w:p w:rsidR="004E4C5A" w:rsidRPr="006B371B" w:rsidRDefault="004E4C5A" w:rsidP="006B371B">
      <w:pPr>
        <w:pStyle w:val="Normalnumber"/>
        <w:tabs>
          <w:tab w:val="clear" w:pos="1814"/>
          <w:tab w:val="left" w:pos="1701"/>
        </w:tabs>
        <w:spacing w:before="240"/>
        <w:ind w:left="1701" w:right="567" w:hanging="567"/>
        <w:jc w:val="both"/>
        <w:rPr>
          <w:u w:val="single"/>
        </w:rPr>
      </w:pPr>
      <w:r w:rsidRPr="006B371B">
        <w:rPr>
          <w:lang w:val="en-US"/>
        </w:rPr>
        <w:t>The Conference of the Parties at its fourteenth meeting will also consider the possible way forward, including that proposals on the review of Annex III would be considered by the thirteenth meeting of the Open-ended Working Group in 2022 and subsequently by the sixteenth meeting of the Con</w:t>
      </w:r>
      <w:r w:rsidR="004A2401">
        <w:rPr>
          <w:lang w:val="en-US"/>
        </w:rPr>
        <w:t>ference of the Parties in 2023.”.</w:t>
      </w:r>
    </w:p>
    <w:p w:rsidR="004E4C5A" w:rsidRPr="004E4C5A" w:rsidRDefault="001125FE" w:rsidP="004A2401">
      <w:pPr>
        <w:spacing w:before="240"/>
        <w:ind w:left="1134" w:right="1134"/>
        <w:jc w:val="center"/>
      </w:pPr>
      <w:r>
        <w:rPr>
          <w:u w:val="single"/>
        </w:rPr>
        <w:tab/>
      </w:r>
      <w:r>
        <w:rPr>
          <w:u w:val="single"/>
        </w:rPr>
        <w:tab/>
      </w:r>
      <w:r>
        <w:rPr>
          <w:u w:val="single"/>
        </w:rPr>
        <w:tab/>
      </w:r>
    </w:p>
    <w:sectPr w:rsidR="004E4C5A" w:rsidRPr="004E4C5A" w:rsidSect="004E4C5A">
      <w:headerReference w:type="even" r:id="rId8"/>
      <w:headerReference w:type="default" r:id="rId9"/>
      <w:footerReference w:type="even" r:id="rId10"/>
      <w:footerReference w:type="default" r:id="rId11"/>
      <w:footnotePr>
        <w:numRestart w:val="eachSect"/>
      </w:footnotePr>
      <w:pgSz w:w="12240" w:h="15840" w:code="1"/>
      <w:pgMar w:top="1701" w:right="2034" w:bottom="2268" w:left="1134" w:header="1134" w:footer="170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A7D" w:rsidRDefault="00DA5A7D" w:rsidP="00203584">
      <w:pPr>
        <w:spacing w:line="240" w:lineRule="auto"/>
      </w:pPr>
      <w:r>
        <w:separator/>
      </w:r>
    </w:p>
  </w:endnote>
  <w:endnote w:type="continuationSeparator" w:id="0">
    <w:p w:rsidR="00DA5A7D" w:rsidRDefault="00DA5A7D" w:rsidP="002035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auto"/>
    <w:pitch w:val="variable"/>
    <w:sig w:usb0="00000001"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1557353677"/>
      <w:docPartObj>
        <w:docPartGallery w:val="Page Numbers (Bottom of Page)"/>
        <w:docPartUnique/>
      </w:docPartObj>
    </w:sdtPr>
    <w:sdtEndPr>
      <w:rPr>
        <w:noProof/>
      </w:rPr>
    </w:sdtEndPr>
    <w:sdtContent>
      <w:p w:rsidR="00BF0656" w:rsidRPr="00BF0656" w:rsidRDefault="00BF0656">
        <w:pPr>
          <w:pStyle w:val="Footer"/>
          <w:rPr>
            <w:b/>
            <w:bCs/>
            <w:sz w:val="18"/>
            <w:szCs w:val="18"/>
          </w:rPr>
        </w:pPr>
        <w:r w:rsidRPr="00BF0656">
          <w:rPr>
            <w:b/>
            <w:bCs/>
            <w:sz w:val="18"/>
            <w:szCs w:val="18"/>
          </w:rPr>
          <w:fldChar w:fldCharType="begin"/>
        </w:r>
        <w:r w:rsidRPr="00BF0656">
          <w:rPr>
            <w:b/>
            <w:bCs/>
            <w:sz w:val="18"/>
            <w:szCs w:val="18"/>
          </w:rPr>
          <w:instrText xml:space="preserve"> PAGE   \* MERGEFORMAT </w:instrText>
        </w:r>
        <w:r w:rsidRPr="00BF0656">
          <w:rPr>
            <w:b/>
            <w:bCs/>
            <w:sz w:val="18"/>
            <w:szCs w:val="18"/>
          </w:rPr>
          <w:fldChar w:fldCharType="separate"/>
        </w:r>
        <w:r w:rsidRPr="00BF0656">
          <w:rPr>
            <w:b/>
            <w:bCs/>
            <w:noProof/>
            <w:sz w:val="18"/>
            <w:szCs w:val="18"/>
          </w:rPr>
          <w:t>2</w:t>
        </w:r>
        <w:r w:rsidRPr="00BF0656">
          <w:rPr>
            <w:b/>
            <w:bCs/>
            <w:noProof/>
            <w:sz w:val="18"/>
            <w:szCs w:val="18"/>
          </w:rPr>
          <w:fldChar w:fldCharType="end"/>
        </w:r>
      </w:p>
    </w:sdtContent>
  </w:sdt>
  <w:p w:rsidR="00BF0656" w:rsidRDefault="00BF06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1375231739"/>
      <w:docPartObj>
        <w:docPartGallery w:val="Page Numbers (Bottom of Page)"/>
        <w:docPartUnique/>
      </w:docPartObj>
    </w:sdtPr>
    <w:sdtEndPr>
      <w:rPr>
        <w:noProof/>
      </w:rPr>
    </w:sdtEndPr>
    <w:sdtContent>
      <w:p w:rsidR="002A7946" w:rsidRPr="002A7946" w:rsidRDefault="002A7946">
        <w:pPr>
          <w:pStyle w:val="Footer"/>
          <w:rPr>
            <w:b/>
            <w:bCs/>
            <w:sz w:val="18"/>
            <w:szCs w:val="18"/>
          </w:rPr>
        </w:pPr>
        <w:r w:rsidRPr="002A7946">
          <w:rPr>
            <w:b/>
            <w:bCs/>
            <w:sz w:val="18"/>
            <w:szCs w:val="18"/>
          </w:rPr>
          <w:fldChar w:fldCharType="begin"/>
        </w:r>
        <w:r w:rsidRPr="002A7946">
          <w:rPr>
            <w:b/>
            <w:bCs/>
            <w:sz w:val="18"/>
            <w:szCs w:val="18"/>
          </w:rPr>
          <w:instrText xml:space="preserve"> PAGE   \* MERGEFORMAT </w:instrText>
        </w:r>
        <w:r w:rsidRPr="002A7946">
          <w:rPr>
            <w:b/>
            <w:bCs/>
            <w:sz w:val="18"/>
            <w:szCs w:val="18"/>
          </w:rPr>
          <w:fldChar w:fldCharType="separate"/>
        </w:r>
        <w:r w:rsidRPr="002A7946">
          <w:rPr>
            <w:b/>
            <w:bCs/>
            <w:noProof/>
            <w:sz w:val="18"/>
            <w:szCs w:val="18"/>
          </w:rPr>
          <w:t>2</w:t>
        </w:r>
        <w:r w:rsidRPr="002A7946">
          <w:rPr>
            <w:b/>
            <w:bCs/>
            <w:noProof/>
            <w:sz w:val="18"/>
            <w:szCs w:val="18"/>
          </w:rPr>
          <w:fldChar w:fldCharType="end"/>
        </w:r>
      </w:p>
    </w:sdtContent>
  </w:sdt>
  <w:p w:rsidR="002A7946" w:rsidRPr="002A7946" w:rsidRDefault="002A7946">
    <w:pPr>
      <w:pStyle w:val="Foo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A7D" w:rsidRDefault="00DA5A7D" w:rsidP="00203584">
      <w:pPr>
        <w:spacing w:line="240" w:lineRule="auto"/>
      </w:pPr>
      <w:r>
        <w:separator/>
      </w:r>
    </w:p>
  </w:footnote>
  <w:footnote w:type="continuationSeparator" w:id="0">
    <w:p w:rsidR="00DA5A7D" w:rsidRDefault="00DA5A7D" w:rsidP="00203584">
      <w:pPr>
        <w:spacing w:line="240" w:lineRule="auto"/>
      </w:pPr>
      <w:r>
        <w:continuationSeparator/>
      </w:r>
    </w:p>
  </w:footnote>
  <w:footnote w:id="1">
    <w:p w:rsidR="00BF0656" w:rsidRPr="00BF0656" w:rsidRDefault="00BF0656">
      <w:pPr>
        <w:pStyle w:val="FootnoteText"/>
        <w:rPr>
          <w:lang w:val="fr-CH"/>
        </w:rPr>
      </w:pPr>
      <w:r>
        <w:rPr>
          <w:rStyle w:val="FootnoteReference"/>
        </w:rPr>
        <w:footnoteRef/>
      </w:r>
      <w:r>
        <w:t xml:space="preserve"> </w:t>
      </w:r>
      <w:r w:rsidRPr="004A3EBD">
        <w:rPr>
          <w:szCs w:val="18"/>
        </w:rPr>
        <w:t>http://www.basel.int/Implementation/LegalMatters/LegalClarity/</w:t>
      </w:r>
      <w:r>
        <w:rPr>
          <w:szCs w:val="18"/>
        </w:rPr>
        <w:br/>
      </w:r>
      <w:r w:rsidRPr="004A3EBD">
        <w:rPr>
          <w:szCs w:val="18"/>
        </w:rPr>
        <w:t>ReviewofAnnexes/</w:t>
      </w:r>
      <w:proofErr w:type="gramStart"/>
      <w:r w:rsidRPr="004A3EBD">
        <w:rPr>
          <w:szCs w:val="18"/>
        </w:rPr>
        <w:t>AnnexesI,III</w:t>
      </w:r>
      <w:proofErr w:type="gramEnd"/>
      <w:r w:rsidRPr="004A3EBD">
        <w:rPr>
          <w:szCs w:val="18"/>
        </w:rPr>
        <w:t>,IVandrelatedaspectsofAnnexIX/Activities20182019/tabid/6125/</w:t>
      </w:r>
      <w:r>
        <w:rPr>
          <w:szCs w:val="18"/>
        </w:rPr>
        <w:br/>
      </w:r>
      <w:r w:rsidRPr="004A3EBD">
        <w:rPr>
          <w:szCs w:val="18"/>
        </w:rPr>
        <w:t>Default.aspx</w:t>
      </w:r>
    </w:p>
  </w:footnote>
  <w:footnote w:id="2">
    <w:p w:rsidR="006B371B" w:rsidRPr="006B371B" w:rsidRDefault="006B371B">
      <w:pPr>
        <w:pStyle w:val="FootnoteText"/>
        <w:rPr>
          <w:lang w:val="fr-CH"/>
        </w:rPr>
      </w:pPr>
      <w:r>
        <w:rPr>
          <w:rStyle w:val="FootnoteReference"/>
        </w:rPr>
        <w:footnoteRef/>
      </w:r>
      <w:r>
        <w:t xml:space="preserve"> </w:t>
      </w:r>
      <w:r w:rsidRPr="000A5A2E">
        <w:t>http://www.basel.int/Implementation/LegalMatters/LegalClarity/ReviewofAnnexes/</w:t>
      </w:r>
      <w:r>
        <w:br/>
      </w:r>
      <w:proofErr w:type="gramStart"/>
      <w:r w:rsidRPr="000A5A2E">
        <w:t>AnnexesI,III</w:t>
      </w:r>
      <w:proofErr w:type="gramEnd"/>
      <w:r w:rsidRPr="000A5A2E">
        <w:t>,IVandrelatedaspectsofAnnexIX/ExpertWorkingGroup/tabid/6105/Default.aspx</w:t>
      </w:r>
    </w:p>
  </w:footnote>
  <w:footnote w:id="3">
    <w:p w:rsidR="004E4C5A" w:rsidRPr="009432AF" w:rsidRDefault="004E4C5A" w:rsidP="004E4C5A">
      <w:pPr>
        <w:pStyle w:val="FootnoteText"/>
      </w:pPr>
      <w:r>
        <w:rPr>
          <w:rStyle w:val="FootnoteReference"/>
        </w:rPr>
        <w:footnoteRef/>
      </w:r>
      <w:r>
        <w:t xml:space="preserve"> </w:t>
      </w:r>
      <w:r w:rsidRPr="009432AF">
        <w:t>http://www.basel.int/Implementation/LegalMatters/LegalClarity/Meetings/</w:t>
      </w:r>
      <w:r w:rsidR="00BF0656">
        <w:br/>
      </w:r>
      <w:r w:rsidR="00BF0656" w:rsidRPr="009432AF">
        <w:t>1stRAEWGmtg/tabid/6237/Default.aspx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D49" w:rsidRPr="002A7946" w:rsidRDefault="001125FE" w:rsidP="00006D49">
    <w:pPr>
      <w:pStyle w:val="Header"/>
      <w:pBdr>
        <w:bottom w:val="single" w:sz="4" w:space="1" w:color="auto"/>
      </w:pBdr>
      <w:rPr>
        <w:b/>
        <w:bCs/>
        <w:sz w:val="18"/>
        <w:szCs w:val="18"/>
        <w:lang w:val="fr-CH"/>
      </w:rPr>
    </w:pPr>
    <w:r>
      <w:rPr>
        <w:b/>
        <w:bCs/>
        <w:sz w:val="18"/>
        <w:szCs w:val="18"/>
        <w:lang w:val="fr-CH"/>
      </w:rPr>
      <w:t>UN/SCEGHS/36/INF.41</w:t>
    </w:r>
  </w:p>
  <w:p w:rsidR="00006D49" w:rsidRDefault="00006D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946" w:rsidRPr="002A7946" w:rsidRDefault="001125FE" w:rsidP="00006D49">
    <w:pPr>
      <w:pStyle w:val="Header"/>
      <w:pBdr>
        <w:bottom w:val="single" w:sz="4" w:space="1" w:color="auto"/>
      </w:pBdr>
      <w:jc w:val="right"/>
      <w:rPr>
        <w:b/>
        <w:bCs/>
        <w:sz w:val="18"/>
        <w:szCs w:val="18"/>
        <w:lang w:val="fr-CH"/>
      </w:rPr>
    </w:pPr>
    <w:r>
      <w:rPr>
        <w:b/>
        <w:bCs/>
        <w:sz w:val="18"/>
        <w:szCs w:val="18"/>
        <w:lang w:val="fr-CH"/>
      </w:rPr>
      <w:t>UN/SCEGHS/36/INF.41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A7C9A"/>
    <w:multiLevelType w:val="hybridMultilevel"/>
    <w:tmpl w:val="61FC85C2"/>
    <w:lvl w:ilvl="0" w:tplc="62CCBFDE">
      <w:start w:val="1"/>
      <w:numFmt w:val="decimal"/>
      <w:lvlText w:val="%1."/>
      <w:lvlJc w:val="left"/>
      <w:pPr>
        <w:ind w:left="1494" w:hanging="360"/>
      </w:pPr>
      <w:rPr>
        <w:rFonts w:eastAsia="Times New Roman"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52A66A9D"/>
    <w:multiLevelType w:val="multilevel"/>
    <w:tmpl w:val="48241D10"/>
    <w:styleLink w:val="Normallist"/>
    <w:lvl w:ilvl="0">
      <w:start w:val="1"/>
      <w:numFmt w:val="decimal"/>
      <w:pStyle w:val="Normalnumber"/>
      <w:lvlText w:val="%1."/>
      <w:lvlJc w:val="left"/>
      <w:pPr>
        <w:tabs>
          <w:tab w:val="num" w:pos="760"/>
        </w:tabs>
        <w:ind w:left="1440" w:firstLine="0"/>
      </w:pPr>
      <w:rPr>
        <w:rFonts w:hint="default"/>
      </w:rPr>
    </w:lvl>
    <w:lvl w:ilvl="1">
      <w:start w:val="1"/>
      <w:numFmt w:val="lowerLetter"/>
      <w:lvlText w:val="(%2)"/>
      <w:lvlJc w:val="left"/>
      <w:pPr>
        <w:tabs>
          <w:tab w:val="num" w:pos="760"/>
        </w:tabs>
        <w:ind w:left="1440" w:firstLine="567"/>
      </w:pPr>
      <w:rPr>
        <w:rFonts w:hint="default"/>
      </w:rPr>
    </w:lvl>
    <w:lvl w:ilvl="2">
      <w:start w:val="1"/>
      <w:numFmt w:val="lowerRoman"/>
      <w:lvlText w:val="(%3)"/>
      <w:lvlJc w:val="left"/>
      <w:pPr>
        <w:tabs>
          <w:tab w:val="num" w:pos="760"/>
        </w:tabs>
        <w:ind w:left="3141" w:hanging="567"/>
      </w:pPr>
      <w:rPr>
        <w:rFonts w:hint="default"/>
      </w:rPr>
    </w:lvl>
    <w:lvl w:ilvl="3">
      <w:start w:val="1"/>
      <w:numFmt w:val="lowerLetter"/>
      <w:lvlText w:val="%4."/>
      <w:lvlJc w:val="left"/>
      <w:pPr>
        <w:tabs>
          <w:tab w:val="num" w:pos="760"/>
        </w:tabs>
        <w:ind w:left="3708" w:hanging="567"/>
      </w:pPr>
      <w:rPr>
        <w:rFonts w:hint="default"/>
      </w:rPr>
    </w:lvl>
    <w:lvl w:ilvl="4">
      <w:start w:val="1"/>
      <w:numFmt w:val="lowerLetter"/>
      <w:lvlText w:val="%5."/>
      <w:lvlJc w:val="left"/>
      <w:pPr>
        <w:tabs>
          <w:tab w:val="num" w:pos="6741"/>
        </w:tabs>
        <w:ind w:left="6741" w:hanging="360"/>
      </w:pPr>
      <w:rPr>
        <w:rFonts w:hint="default"/>
      </w:rPr>
    </w:lvl>
    <w:lvl w:ilvl="5">
      <w:start w:val="1"/>
      <w:numFmt w:val="lowerRoman"/>
      <w:lvlText w:val="%6."/>
      <w:lvlJc w:val="right"/>
      <w:pPr>
        <w:tabs>
          <w:tab w:val="num" w:pos="7461"/>
        </w:tabs>
        <w:ind w:left="7461" w:hanging="180"/>
      </w:pPr>
      <w:rPr>
        <w:rFonts w:hint="default"/>
      </w:rPr>
    </w:lvl>
    <w:lvl w:ilvl="6">
      <w:start w:val="1"/>
      <w:numFmt w:val="decimal"/>
      <w:lvlText w:val="%7."/>
      <w:lvlJc w:val="left"/>
      <w:pPr>
        <w:tabs>
          <w:tab w:val="num" w:pos="8181"/>
        </w:tabs>
        <w:ind w:left="8181" w:hanging="360"/>
      </w:pPr>
      <w:rPr>
        <w:rFonts w:hint="default"/>
      </w:rPr>
    </w:lvl>
    <w:lvl w:ilvl="7">
      <w:start w:val="1"/>
      <w:numFmt w:val="lowerLetter"/>
      <w:lvlText w:val="%8."/>
      <w:lvlJc w:val="left"/>
      <w:pPr>
        <w:tabs>
          <w:tab w:val="num" w:pos="8901"/>
        </w:tabs>
        <w:ind w:left="8901" w:hanging="360"/>
      </w:pPr>
      <w:rPr>
        <w:rFonts w:hint="default"/>
      </w:rPr>
    </w:lvl>
    <w:lvl w:ilvl="8">
      <w:start w:val="1"/>
      <w:numFmt w:val="lowerRoman"/>
      <w:lvlText w:val="%9."/>
      <w:lvlJc w:val="right"/>
      <w:pPr>
        <w:tabs>
          <w:tab w:val="num" w:pos="9621"/>
        </w:tabs>
        <w:ind w:left="9621" w:hanging="1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evenAndOddHeaders/>
  <w:characterSpacingControl w:val="doNotCompress"/>
  <w:hdrShapeDefaults>
    <o:shapedefaults v:ext="edit" spidmax="2252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81"/>
    <w:rsid w:val="00001EDA"/>
    <w:rsid w:val="00002EAC"/>
    <w:rsid w:val="00006D49"/>
    <w:rsid w:val="000106B9"/>
    <w:rsid w:val="00015CE8"/>
    <w:rsid w:val="00021E29"/>
    <w:rsid w:val="0004012A"/>
    <w:rsid w:val="0007007F"/>
    <w:rsid w:val="000736C5"/>
    <w:rsid w:val="00086E13"/>
    <w:rsid w:val="00091570"/>
    <w:rsid w:val="0009606F"/>
    <w:rsid w:val="00097ED8"/>
    <w:rsid w:val="000A6520"/>
    <w:rsid w:val="000B405A"/>
    <w:rsid w:val="000C30A7"/>
    <w:rsid w:val="000C55DB"/>
    <w:rsid w:val="000C727E"/>
    <w:rsid w:val="000D5782"/>
    <w:rsid w:val="000F3F3C"/>
    <w:rsid w:val="000F4956"/>
    <w:rsid w:val="000F74D7"/>
    <w:rsid w:val="00104539"/>
    <w:rsid w:val="001125FE"/>
    <w:rsid w:val="001210C7"/>
    <w:rsid w:val="00130F0D"/>
    <w:rsid w:val="00137144"/>
    <w:rsid w:val="0015114B"/>
    <w:rsid w:val="00165248"/>
    <w:rsid w:val="00166903"/>
    <w:rsid w:val="00183C2B"/>
    <w:rsid w:val="00185FDB"/>
    <w:rsid w:val="001931DE"/>
    <w:rsid w:val="001A0A6A"/>
    <w:rsid w:val="001A34A6"/>
    <w:rsid w:val="001E2247"/>
    <w:rsid w:val="001E4C86"/>
    <w:rsid w:val="001E7040"/>
    <w:rsid w:val="001F0FE4"/>
    <w:rsid w:val="001F4464"/>
    <w:rsid w:val="00203584"/>
    <w:rsid w:val="002132F5"/>
    <w:rsid w:val="0021479B"/>
    <w:rsid w:val="00246ABD"/>
    <w:rsid w:val="00267F3B"/>
    <w:rsid w:val="00291992"/>
    <w:rsid w:val="002921C1"/>
    <w:rsid w:val="002A7946"/>
    <w:rsid w:val="002C2031"/>
    <w:rsid w:val="002D27CF"/>
    <w:rsid w:val="002D3360"/>
    <w:rsid w:val="002D5BDF"/>
    <w:rsid w:val="002E1751"/>
    <w:rsid w:val="002E5EB6"/>
    <w:rsid w:val="003018B2"/>
    <w:rsid w:val="00321778"/>
    <w:rsid w:val="00333CA6"/>
    <w:rsid w:val="00340648"/>
    <w:rsid w:val="003448EF"/>
    <w:rsid w:val="0036026F"/>
    <w:rsid w:val="003638B6"/>
    <w:rsid w:val="00372B43"/>
    <w:rsid w:val="003756FE"/>
    <w:rsid w:val="00386215"/>
    <w:rsid w:val="003908A8"/>
    <w:rsid w:val="003A0A6D"/>
    <w:rsid w:val="003C23B4"/>
    <w:rsid w:val="003D09FD"/>
    <w:rsid w:val="003D2352"/>
    <w:rsid w:val="003F1BB7"/>
    <w:rsid w:val="003F36D5"/>
    <w:rsid w:val="003F585F"/>
    <w:rsid w:val="004024DC"/>
    <w:rsid w:val="00431CC4"/>
    <w:rsid w:val="00436BD3"/>
    <w:rsid w:val="00437989"/>
    <w:rsid w:val="00443D2B"/>
    <w:rsid w:val="0044508C"/>
    <w:rsid w:val="004472C4"/>
    <w:rsid w:val="004578D4"/>
    <w:rsid w:val="0046610B"/>
    <w:rsid w:val="00471019"/>
    <w:rsid w:val="004719E8"/>
    <w:rsid w:val="00471A50"/>
    <w:rsid w:val="00480BEA"/>
    <w:rsid w:val="0049209D"/>
    <w:rsid w:val="004A2401"/>
    <w:rsid w:val="004A3EBD"/>
    <w:rsid w:val="004A59A6"/>
    <w:rsid w:val="004B0F57"/>
    <w:rsid w:val="004B60A0"/>
    <w:rsid w:val="004D0125"/>
    <w:rsid w:val="004E4C5A"/>
    <w:rsid w:val="004F0726"/>
    <w:rsid w:val="00500E46"/>
    <w:rsid w:val="00584FE2"/>
    <w:rsid w:val="0058670B"/>
    <w:rsid w:val="00595167"/>
    <w:rsid w:val="005A28CD"/>
    <w:rsid w:val="005A4A43"/>
    <w:rsid w:val="005B5C7B"/>
    <w:rsid w:val="005D2AB0"/>
    <w:rsid w:val="005D42CB"/>
    <w:rsid w:val="005D4FFD"/>
    <w:rsid w:val="005D5A1E"/>
    <w:rsid w:val="005E03A0"/>
    <w:rsid w:val="005E4322"/>
    <w:rsid w:val="005F68AF"/>
    <w:rsid w:val="005F78AC"/>
    <w:rsid w:val="0060128B"/>
    <w:rsid w:val="00610495"/>
    <w:rsid w:val="00615FED"/>
    <w:rsid w:val="00630D0C"/>
    <w:rsid w:val="00632AE5"/>
    <w:rsid w:val="0064031E"/>
    <w:rsid w:val="0064194B"/>
    <w:rsid w:val="00673BB6"/>
    <w:rsid w:val="00681C24"/>
    <w:rsid w:val="00694D62"/>
    <w:rsid w:val="006A6E42"/>
    <w:rsid w:val="006B00AF"/>
    <w:rsid w:val="006B1C47"/>
    <w:rsid w:val="006B21D5"/>
    <w:rsid w:val="006B356C"/>
    <w:rsid w:val="006B371B"/>
    <w:rsid w:val="006B4CF8"/>
    <w:rsid w:val="006D4A31"/>
    <w:rsid w:val="006D73E4"/>
    <w:rsid w:val="006E5B79"/>
    <w:rsid w:val="006F4017"/>
    <w:rsid w:val="00700ABE"/>
    <w:rsid w:val="00702906"/>
    <w:rsid w:val="00733342"/>
    <w:rsid w:val="007379C5"/>
    <w:rsid w:val="00760605"/>
    <w:rsid w:val="00797CFD"/>
    <w:rsid w:val="007B4F0C"/>
    <w:rsid w:val="007C7831"/>
    <w:rsid w:val="007D06A0"/>
    <w:rsid w:val="00800D54"/>
    <w:rsid w:val="00812A81"/>
    <w:rsid w:val="00851A02"/>
    <w:rsid w:val="00856D26"/>
    <w:rsid w:val="00865416"/>
    <w:rsid w:val="008672B8"/>
    <w:rsid w:val="00873A0B"/>
    <w:rsid w:val="00890977"/>
    <w:rsid w:val="008A4DDD"/>
    <w:rsid w:val="008A51F0"/>
    <w:rsid w:val="008B43E8"/>
    <w:rsid w:val="008E3714"/>
    <w:rsid w:val="008F0381"/>
    <w:rsid w:val="00915E95"/>
    <w:rsid w:val="00941DC7"/>
    <w:rsid w:val="00947C80"/>
    <w:rsid w:val="00964DB3"/>
    <w:rsid w:val="00967F54"/>
    <w:rsid w:val="009808E7"/>
    <w:rsid w:val="00984379"/>
    <w:rsid w:val="009A4B51"/>
    <w:rsid w:val="009B3FEF"/>
    <w:rsid w:val="009D2966"/>
    <w:rsid w:val="009E3493"/>
    <w:rsid w:val="00A04853"/>
    <w:rsid w:val="00A06FA3"/>
    <w:rsid w:val="00A3459F"/>
    <w:rsid w:val="00A359E5"/>
    <w:rsid w:val="00A42B3E"/>
    <w:rsid w:val="00A431C6"/>
    <w:rsid w:val="00A45A83"/>
    <w:rsid w:val="00A4609C"/>
    <w:rsid w:val="00A60B83"/>
    <w:rsid w:val="00A63CDF"/>
    <w:rsid w:val="00A85DB3"/>
    <w:rsid w:val="00AA0289"/>
    <w:rsid w:val="00AB548F"/>
    <w:rsid w:val="00AC0DFB"/>
    <w:rsid w:val="00AC6BFA"/>
    <w:rsid w:val="00AE08EB"/>
    <w:rsid w:val="00AF6D86"/>
    <w:rsid w:val="00B05ACE"/>
    <w:rsid w:val="00B127AA"/>
    <w:rsid w:val="00B25231"/>
    <w:rsid w:val="00B72FE5"/>
    <w:rsid w:val="00B84A65"/>
    <w:rsid w:val="00BB4EB0"/>
    <w:rsid w:val="00BF0656"/>
    <w:rsid w:val="00C02473"/>
    <w:rsid w:val="00C0258D"/>
    <w:rsid w:val="00C0330F"/>
    <w:rsid w:val="00C0385B"/>
    <w:rsid w:val="00C1152B"/>
    <w:rsid w:val="00C12E23"/>
    <w:rsid w:val="00C33E77"/>
    <w:rsid w:val="00C43907"/>
    <w:rsid w:val="00C569F4"/>
    <w:rsid w:val="00C65F6D"/>
    <w:rsid w:val="00C751F4"/>
    <w:rsid w:val="00C7713E"/>
    <w:rsid w:val="00C8432F"/>
    <w:rsid w:val="00CA73D0"/>
    <w:rsid w:val="00CD1839"/>
    <w:rsid w:val="00CD42DC"/>
    <w:rsid w:val="00CF3F91"/>
    <w:rsid w:val="00D40462"/>
    <w:rsid w:val="00D4532E"/>
    <w:rsid w:val="00D82B7B"/>
    <w:rsid w:val="00D9436E"/>
    <w:rsid w:val="00DA5A7D"/>
    <w:rsid w:val="00DA7448"/>
    <w:rsid w:val="00DA7467"/>
    <w:rsid w:val="00DD2153"/>
    <w:rsid w:val="00DD3735"/>
    <w:rsid w:val="00DF3705"/>
    <w:rsid w:val="00DF6B2B"/>
    <w:rsid w:val="00E0474E"/>
    <w:rsid w:val="00E054F6"/>
    <w:rsid w:val="00E44FAB"/>
    <w:rsid w:val="00E66943"/>
    <w:rsid w:val="00E76D3E"/>
    <w:rsid w:val="00E81527"/>
    <w:rsid w:val="00E911A3"/>
    <w:rsid w:val="00E96C4C"/>
    <w:rsid w:val="00EA0BCA"/>
    <w:rsid w:val="00EB52C7"/>
    <w:rsid w:val="00EF0D81"/>
    <w:rsid w:val="00EF11EF"/>
    <w:rsid w:val="00F0689D"/>
    <w:rsid w:val="00F37398"/>
    <w:rsid w:val="00F835EE"/>
    <w:rsid w:val="00FC3F12"/>
    <w:rsid w:val="00FD3974"/>
    <w:rsid w:val="00FD70FB"/>
    <w:rsid w:val="00FF2DC4"/>
    <w:rsid w:val="00FF33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B327310"/>
  <w15:docId w15:val="{9D41F716-E6CE-4B81-B411-58F053B73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0D81"/>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1"/>
    <w:qFormat/>
    <w:rsid w:val="00EF0D81"/>
    <w:pPr>
      <w:spacing w:after="120"/>
      <w:ind w:left="1134" w:right="1134"/>
      <w:jc w:val="both"/>
    </w:pPr>
  </w:style>
  <w:style w:type="paragraph" w:customStyle="1" w:styleId="HChG">
    <w:name w:val="_ H _Ch_G"/>
    <w:basedOn w:val="Normal"/>
    <w:next w:val="Normal"/>
    <w:link w:val="HChGChar"/>
    <w:rsid w:val="00EF0D81"/>
    <w:pPr>
      <w:keepNext/>
      <w:keepLines/>
      <w:tabs>
        <w:tab w:val="right" w:pos="851"/>
      </w:tabs>
      <w:spacing w:before="360" w:after="240" w:line="300" w:lineRule="exact"/>
      <w:ind w:left="1134" w:right="1134" w:hanging="1134"/>
    </w:pPr>
    <w:rPr>
      <w:b/>
      <w:sz w:val="28"/>
    </w:rPr>
  </w:style>
  <w:style w:type="character" w:styleId="Hyperlink">
    <w:name w:val="Hyperlink"/>
    <w:semiHidden/>
    <w:rsid w:val="00EF0D81"/>
    <w:rPr>
      <w:color w:val="auto"/>
      <w:u w:val="none"/>
    </w:rPr>
  </w:style>
  <w:style w:type="paragraph" w:customStyle="1" w:styleId="H1G">
    <w:name w:val="_ H_1_G"/>
    <w:basedOn w:val="Normal"/>
    <w:next w:val="Normal"/>
    <w:rsid w:val="00EF0D81"/>
    <w:pPr>
      <w:keepNext/>
      <w:keepLines/>
      <w:tabs>
        <w:tab w:val="right" w:pos="851"/>
      </w:tabs>
      <w:spacing w:before="360" w:after="240" w:line="270" w:lineRule="exact"/>
      <w:ind w:left="1134" w:right="1134" w:hanging="1134"/>
    </w:pPr>
    <w:rPr>
      <w:b/>
      <w:sz w:val="24"/>
    </w:rPr>
  </w:style>
  <w:style w:type="character" w:customStyle="1" w:styleId="HChGChar">
    <w:name w:val="_ H _Ch_G Char"/>
    <w:link w:val="HChG"/>
    <w:rsid w:val="00EF0D81"/>
    <w:rPr>
      <w:rFonts w:ascii="Times New Roman" w:eastAsia="Times New Roman" w:hAnsi="Times New Roman" w:cs="Times New Roman"/>
      <w:b/>
      <w:sz w:val="28"/>
      <w:szCs w:val="20"/>
      <w:lang w:val="en-GB"/>
    </w:rPr>
  </w:style>
  <w:style w:type="character" w:customStyle="1" w:styleId="SingleTxtGChar1">
    <w:name w:val="_ Single Txt_G Char1"/>
    <w:link w:val="SingleTxtG"/>
    <w:locked/>
    <w:rsid w:val="00EF0D81"/>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EF0D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D81"/>
    <w:rPr>
      <w:rFonts w:ascii="Tahoma" w:eastAsia="Times New Roman" w:hAnsi="Tahoma" w:cs="Tahoma"/>
      <w:sz w:val="16"/>
      <w:szCs w:val="16"/>
      <w:lang w:val="en-GB"/>
    </w:rPr>
  </w:style>
  <w:style w:type="paragraph" w:styleId="Header">
    <w:name w:val="header"/>
    <w:basedOn w:val="Normal"/>
    <w:link w:val="HeaderChar"/>
    <w:uiPriority w:val="99"/>
    <w:unhideWhenUsed/>
    <w:rsid w:val="00203584"/>
    <w:pPr>
      <w:tabs>
        <w:tab w:val="center" w:pos="4680"/>
        <w:tab w:val="right" w:pos="9360"/>
      </w:tabs>
      <w:spacing w:line="240" w:lineRule="auto"/>
    </w:pPr>
  </w:style>
  <w:style w:type="character" w:customStyle="1" w:styleId="HeaderChar">
    <w:name w:val="Header Char"/>
    <w:basedOn w:val="DefaultParagraphFont"/>
    <w:link w:val="Header"/>
    <w:uiPriority w:val="99"/>
    <w:rsid w:val="00203584"/>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203584"/>
    <w:pPr>
      <w:tabs>
        <w:tab w:val="center" w:pos="4680"/>
        <w:tab w:val="right" w:pos="9360"/>
      </w:tabs>
      <w:spacing w:line="240" w:lineRule="auto"/>
    </w:pPr>
  </w:style>
  <w:style w:type="character" w:customStyle="1" w:styleId="FooterChar">
    <w:name w:val="Footer Char"/>
    <w:basedOn w:val="DefaultParagraphFont"/>
    <w:link w:val="Footer"/>
    <w:uiPriority w:val="99"/>
    <w:rsid w:val="00203584"/>
    <w:rPr>
      <w:rFonts w:ascii="Times New Roman" w:eastAsia="Times New Roman" w:hAnsi="Times New Roman" w:cs="Times New Roman"/>
      <w:sz w:val="20"/>
      <w:szCs w:val="20"/>
      <w:lang w:val="en-GB"/>
    </w:rPr>
  </w:style>
  <w:style w:type="paragraph" w:styleId="NormalWeb">
    <w:name w:val="Normal (Web)"/>
    <w:basedOn w:val="Normal"/>
    <w:unhideWhenUsed/>
    <w:rsid w:val="00C1152B"/>
    <w:pPr>
      <w:suppressAutoHyphens w:val="0"/>
      <w:spacing w:before="100" w:beforeAutospacing="1" w:after="100" w:afterAutospacing="1" w:line="240" w:lineRule="auto"/>
    </w:pPr>
    <w:rPr>
      <w:rFonts w:eastAsiaTheme="minorHAnsi"/>
      <w:sz w:val="24"/>
      <w:szCs w:val="24"/>
      <w:lang w:val="en-US"/>
    </w:rPr>
  </w:style>
  <w:style w:type="character" w:customStyle="1" w:styleId="SingleTxtGChar">
    <w:name w:val="_ Single Txt_G Char"/>
    <w:locked/>
    <w:rsid w:val="00DD2153"/>
    <w:rPr>
      <w:lang w:eastAsia="en-US"/>
    </w:rPr>
  </w:style>
  <w:style w:type="paragraph" w:customStyle="1" w:styleId="H4G">
    <w:name w:val="_ H_4_G"/>
    <w:basedOn w:val="Normal"/>
    <w:next w:val="Normal"/>
    <w:rsid w:val="00183C2B"/>
    <w:pPr>
      <w:keepNext/>
      <w:keepLines/>
      <w:tabs>
        <w:tab w:val="right" w:pos="851"/>
      </w:tabs>
      <w:spacing w:before="240" w:after="120" w:line="240" w:lineRule="exact"/>
      <w:ind w:left="1134" w:right="1134" w:hanging="1134"/>
    </w:pPr>
    <w:rPr>
      <w:i/>
    </w:rPr>
  </w:style>
  <w:style w:type="paragraph" w:customStyle="1" w:styleId="Normalnumber">
    <w:name w:val="Normal_number"/>
    <w:basedOn w:val="Normal"/>
    <w:link w:val="NormalnumberChar"/>
    <w:rsid w:val="004E4C5A"/>
    <w:pPr>
      <w:numPr>
        <w:numId w:val="2"/>
      </w:numPr>
      <w:tabs>
        <w:tab w:val="left" w:pos="1247"/>
        <w:tab w:val="left" w:pos="1814"/>
        <w:tab w:val="left" w:pos="2381"/>
        <w:tab w:val="left" w:pos="2948"/>
        <w:tab w:val="left" w:pos="3515"/>
      </w:tabs>
      <w:suppressAutoHyphens w:val="0"/>
      <w:spacing w:after="120" w:line="240" w:lineRule="auto"/>
    </w:pPr>
  </w:style>
  <w:style w:type="character" w:customStyle="1" w:styleId="NormalnumberChar">
    <w:name w:val="Normal_number Char"/>
    <w:link w:val="Normalnumber"/>
    <w:locked/>
    <w:rsid w:val="004E4C5A"/>
    <w:rPr>
      <w:rFonts w:ascii="Times New Roman" w:eastAsia="Times New Roman" w:hAnsi="Times New Roman" w:cs="Times New Roman"/>
      <w:sz w:val="20"/>
      <w:szCs w:val="20"/>
      <w:lang w:val="en-GB"/>
    </w:rPr>
  </w:style>
  <w:style w:type="numbering" w:customStyle="1" w:styleId="Normallist">
    <w:name w:val="Normal_list"/>
    <w:basedOn w:val="NoList"/>
    <w:rsid w:val="004E4C5A"/>
    <w:pPr>
      <w:numPr>
        <w:numId w:val="2"/>
      </w:numPr>
    </w:pPr>
  </w:style>
  <w:style w:type="paragraph" w:styleId="FootnoteText">
    <w:name w:val="footnote text"/>
    <w:aliases w:val="Geneva 9,Font: Geneva 9,Boston 10,f,DNV-FT,footnote3,text,Geneva,92,Font:,Boston,10,FOOTNOTES,fn,single space,Footnote Text Rail EIS,ft,Footnotes,Footnote ak,fn cafc,Footnotes Char Char,Footnote Text Char Char,fn Char Char,footnote text,93"/>
    <w:basedOn w:val="Normal"/>
    <w:link w:val="FootnoteTextChar"/>
    <w:uiPriority w:val="99"/>
    <w:qFormat/>
    <w:rsid w:val="004E4C5A"/>
    <w:pPr>
      <w:tabs>
        <w:tab w:val="left" w:pos="1247"/>
        <w:tab w:val="left" w:pos="1814"/>
        <w:tab w:val="left" w:pos="2381"/>
        <w:tab w:val="left" w:pos="2948"/>
        <w:tab w:val="left" w:pos="3515"/>
      </w:tabs>
      <w:suppressAutoHyphens w:val="0"/>
      <w:spacing w:before="20" w:after="40" w:line="240" w:lineRule="auto"/>
      <w:ind w:left="1247"/>
    </w:pPr>
    <w:rPr>
      <w:rFonts w:eastAsia="SimSun"/>
      <w:sz w:val="18"/>
    </w:rPr>
  </w:style>
  <w:style w:type="character" w:customStyle="1" w:styleId="FootnoteTextChar">
    <w:name w:val="Footnote Text Char"/>
    <w:aliases w:val="Geneva 9 Char,Font: Geneva 9 Char,Boston 10 Char,f Char,DNV-FT Char,footnote3 Char,text Char,Geneva Char,92 Char,Font: Char,Boston Char,10 Char,FOOTNOTES Char,fn Char,single space Char,Footnote Text Rail EIS Char,ft Char,fn cafc Char"/>
    <w:basedOn w:val="DefaultParagraphFont"/>
    <w:link w:val="FootnoteText"/>
    <w:uiPriority w:val="99"/>
    <w:rsid w:val="004E4C5A"/>
    <w:rPr>
      <w:rFonts w:ascii="Times New Roman" w:eastAsia="SimSun" w:hAnsi="Times New Roman" w:cs="Times New Roman"/>
      <w:sz w:val="18"/>
      <w:szCs w:val="20"/>
      <w:lang w:val="en-GB"/>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Footnote Reference1,stylish,Footnote"/>
    <w:link w:val="BVIfnrCharCharCharChar"/>
    <w:uiPriority w:val="99"/>
    <w:qFormat/>
    <w:rsid w:val="004E4C5A"/>
    <w:rPr>
      <w:szCs w:val="18"/>
      <w:vertAlign w:val="superscript"/>
    </w:rPr>
  </w:style>
  <w:style w:type="paragraph" w:customStyle="1" w:styleId="BVIfnrCharCharCharChar">
    <w:name w:val="BVI fnr Char Char Char Char"/>
    <w:aliases w:val=" BVI fnr Car Car Char Char Char Char,BVI fnr Car Char Char Char Char, BVI fnr Car Car Car Car Char Char Char Char, BVI fnr Car Car Car Car Char Char Char1 Char Char,BVI fnr Car Car Char Char Char Char"/>
    <w:basedOn w:val="Normal"/>
    <w:link w:val="FootnoteReference"/>
    <w:uiPriority w:val="99"/>
    <w:rsid w:val="004E4C5A"/>
    <w:pPr>
      <w:suppressAutoHyphens w:val="0"/>
      <w:spacing w:before="120" w:after="160" w:line="240" w:lineRule="exact"/>
    </w:pPr>
    <w:rPr>
      <w:rFonts w:asciiTheme="minorHAnsi" w:eastAsiaTheme="minorHAnsi" w:hAnsiTheme="minorHAnsi" w:cstheme="minorBidi"/>
      <w:sz w:val="22"/>
      <w:szCs w:val="18"/>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139581">
      <w:bodyDiv w:val="1"/>
      <w:marLeft w:val="0"/>
      <w:marRight w:val="0"/>
      <w:marTop w:val="0"/>
      <w:marBottom w:val="0"/>
      <w:divBdr>
        <w:top w:val="none" w:sz="0" w:space="0" w:color="auto"/>
        <w:left w:val="none" w:sz="0" w:space="0" w:color="auto"/>
        <w:bottom w:val="none" w:sz="0" w:space="0" w:color="auto"/>
        <w:right w:val="none" w:sz="0" w:space="0" w:color="auto"/>
      </w:divBdr>
    </w:div>
    <w:div w:id="787045884">
      <w:bodyDiv w:val="1"/>
      <w:marLeft w:val="0"/>
      <w:marRight w:val="0"/>
      <w:marTop w:val="0"/>
      <w:marBottom w:val="0"/>
      <w:divBdr>
        <w:top w:val="none" w:sz="0" w:space="0" w:color="auto"/>
        <w:left w:val="none" w:sz="0" w:space="0" w:color="auto"/>
        <w:bottom w:val="none" w:sz="0" w:space="0" w:color="auto"/>
        <w:right w:val="none" w:sz="0" w:space="0" w:color="auto"/>
      </w:divBdr>
    </w:div>
    <w:div w:id="1752921606">
      <w:bodyDiv w:val="1"/>
      <w:marLeft w:val="0"/>
      <w:marRight w:val="0"/>
      <w:marTop w:val="0"/>
      <w:marBottom w:val="0"/>
      <w:divBdr>
        <w:top w:val="none" w:sz="0" w:space="0" w:color="auto"/>
        <w:left w:val="none" w:sz="0" w:space="0" w:color="auto"/>
        <w:bottom w:val="none" w:sz="0" w:space="0" w:color="auto"/>
        <w:right w:val="none" w:sz="0" w:space="0" w:color="auto"/>
      </w:divBdr>
    </w:div>
    <w:div w:id="185699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4917B-A264-4097-9C1C-7F806EC97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Holmes, Deana - OSHA</dc:creator>
  <cp:keywords/>
  <dc:description/>
  <cp:lastModifiedBy>Laurence Berthet</cp:lastModifiedBy>
  <cp:revision>12</cp:revision>
  <cp:lastPrinted>2018-12-05T14:02:00Z</cp:lastPrinted>
  <dcterms:created xsi:type="dcterms:W3CDTF">2018-12-05T13:40:00Z</dcterms:created>
  <dcterms:modified xsi:type="dcterms:W3CDTF">2018-12-05T16:44:00Z</dcterms:modified>
</cp:coreProperties>
</file>