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rsidTr="000D5782">
        <w:trPr>
          <w:cantSplit/>
          <w:trHeight w:hRule="exact" w:val="851"/>
        </w:trPr>
        <w:tc>
          <w:tcPr>
            <w:tcW w:w="9639" w:type="dxa"/>
            <w:tcBorders>
              <w:bottom w:val="single" w:sz="4" w:space="0" w:color="auto"/>
            </w:tcBorders>
            <w:vAlign w:val="bottom"/>
          </w:tcPr>
          <w:p w:rsidR="00EF0D81" w:rsidRPr="0099001C" w:rsidRDefault="00EF0D81" w:rsidP="00E76D3E">
            <w:pPr>
              <w:jc w:val="right"/>
              <w:rPr>
                <w:b/>
                <w:sz w:val="40"/>
                <w:szCs w:val="40"/>
              </w:rPr>
            </w:pPr>
            <w:r w:rsidRPr="0099001C">
              <w:rPr>
                <w:b/>
                <w:sz w:val="40"/>
                <w:szCs w:val="40"/>
              </w:rPr>
              <w:t>UN/SCEGHS/</w:t>
            </w:r>
            <w:r w:rsidR="00E76D3E">
              <w:rPr>
                <w:b/>
                <w:sz w:val="40"/>
                <w:szCs w:val="40"/>
              </w:rPr>
              <w:t>36</w:t>
            </w:r>
            <w:r w:rsidRPr="0099001C">
              <w:rPr>
                <w:b/>
                <w:sz w:val="40"/>
                <w:szCs w:val="40"/>
              </w:rPr>
              <w:t>/INF.</w:t>
            </w:r>
            <w:r w:rsidR="002A7946">
              <w:rPr>
                <w:b/>
                <w:sz w:val="40"/>
                <w:szCs w:val="40"/>
              </w:rPr>
              <w:t>38</w:t>
            </w:r>
          </w:p>
        </w:tc>
      </w:tr>
      <w:tr w:rsidR="00EF0D81" w:rsidTr="000D5782">
        <w:trPr>
          <w:cantSplit/>
          <w:trHeight w:hRule="exact" w:val="3114"/>
        </w:trPr>
        <w:tc>
          <w:tcPr>
            <w:tcW w:w="9639" w:type="dxa"/>
            <w:tcBorders>
              <w:top w:val="single" w:sz="4" w:space="0" w:color="auto"/>
            </w:tcBorders>
          </w:tcPr>
          <w:p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2A7946">
              <w:rPr>
                <w:b/>
                <w:lang w:val="en-US"/>
              </w:rPr>
              <w:t>5</w:t>
            </w:r>
            <w:r w:rsidR="00165248">
              <w:rPr>
                <w:b/>
                <w:lang w:val="en-US"/>
              </w:rPr>
              <w:t xml:space="preserve"> </w:t>
            </w:r>
            <w:r>
              <w:rPr>
                <w:b/>
                <w:lang w:val="en-US"/>
              </w:rPr>
              <w:t>December 201</w:t>
            </w:r>
            <w:r w:rsidR="000C30A7">
              <w:rPr>
                <w:b/>
                <w:lang w:val="en-US"/>
              </w:rPr>
              <w:t>8</w:t>
            </w:r>
          </w:p>
          <w:p w:rsidR="00EF0D81" w:rsidRPr="006E39A4" w:rsidRDefault="00EF0D81" w:rsidP="000D5782">
            <w:pPr>
              <w:spacing w:before="120"/>
              <w:rPr>
                <w:b/>
              </w:rPr>
            </w:pPr>
            <w:r>
              <w:rPr>
                <w:b/>
              </w:rPr>
              <w:t>Thirty-s</w:t>
            </w:r>
            <w:r w:rsidR="00E76D3E">
              <w:rPr>
                <w:b/>
              </w:rPr>
              <w:t>ixth</w:t>
            </w:r>
            <w:r w:rsidRPr="006E39A4">
              <w:rPr>
                <w:b/>
              </w:rPr>
              <w:t xml:space="preserve"> session</w:t>
            </w:r>
          </w:p>
          <w:p w:rsidR="00EF0D81" w:rsidRPr="006E39A4" w:rsidRDefault="00EF0D81" w:rsidP="000D5782">
            <w:r w:rsidRPr="006E39A4">
              <w:t xml:space="preserve">Geneva, </w:t>
            </w:r>
            <w:r w:rsidR="00E76D3E">
              <w:t>5</w:t>
            </w:r>
            <w:r w:rsidR="002A7946">
              <w:t>-</w:t>
            </w:r>
            <w:r w:rsidR="00E76D3E">
              <w:t>7</w:t>
            </w:r>
            <w:r>
              <w:t xml:space="preserve"> December </w:t>
            </w:r>
            <w:r w:rsidR="00E76D3E">
              <w:t>2018</w:t>
            </w:r>
          </w:p>
          <w:p w:rsidR="00EF0D81" w:rsidRDefault="00EF0D81" w:rsidP="000D5782">
            <w:r w:rsidRPr="006E39A4">
              <w:t xml:space="preserve">Item </w:t>
            </w:r>
            <w:r w:rsidR="000C30A7">
              <w:t>8</w:t>
            </w:r>
            <w:r>
              <w:t xml:space="preserve"> </w:t>
            </w:r>
            <w:r w:rsidRPr="006E39A4">
              <w:t>of the provisional agenda</w:t>
            </w:r>
          </w:p>
          <w:p w:rsidR="00EF0D81" w:rsidRPr="009E7ABD" w:rsidRDefault="00EF0D81" w:rsidP="000D5782">
            <w:pPr>
              <w:rPr>
                <w:b/>
              </w:rPr>
            </w:pPr>
            <w:r>
              <w:rPr>
                <w:b/>
              </w:rPr>
              <w:t>Programme of work for the biennium 201</w:t>
            </w:r>
            <w:r w:rsidR="00E76D3E">
              <w:rPr>
                <w:b/>
              </w:rPr>
              <w:t>9</w:t>
            </w:r>
            <w:r>
              <w:rPr>
                <w:b/>
              </w:rPr>
              <w:t>–</w:t>
            </w:r>
            <w:r w:rsidR="00E76D3E">
              <w:rPr>
                <w:b/>
              </w:rPr>
              <w:t>2020</w:t>
            </w:r>
          </w:p>
          <w:p w:rsidR="00EF0D81" w:rsidRDefault="00EF0D81" w:rsidP="000D5782">
            <w:pPr>
              <w:spacing w:line="240" w:lineRule="exact"/>
            </w:pPr>
          </w:p>
        </w:tc>
      </w:tr>
    </w:tbl>
    <w:p w:rsidR="00EF0D81" w:rsidRPr="00F66549" w:rsidRDefault="00EF0D81" w:rsidP="00EF0D81">
      <w:pPr>
        <w:pStyle w:val="HChG"/>
        <w:rPr>
          <w:rFonts w:eastAsia="MS Mincho"/>
        </w:rPr>
      </w:pPr>
      <w:r w:rsidRPr="00F66549">
        <w:rPr>
          <w:rFonts w:eastAsia="MS Mincho"/>
        </w:rPr>
        <w:tab/>
      </w:r>
      <w:r w:rsidRPr="00F66549">
        <w:rPr>
          <w:rFonts w:eastAsia="MS Mincho"/>
        </w:rPr>
        <w:tab/>
        <w:t xml:space="preserve">Proposal for the ongoing work of the informal </w:t>
      </w:r>
      <w:r>
        <w:rPr>
          <w:rFonts w:eastAsia="MS Mincho"/>
        </w:rPr>
        <w:t>c</w:t>
      </w:r>
      <w:r w:rsidRPr="00F66549">
        <w:rPr>
          <w:rFonts w:eastAsia="MS Mincho"/>
        </w:rPr>
        <w:t xml:space="preserve">orrespondence group on </w:t>
      </w:r>
      <w:r>
        <w:rPr>
          <w:rFonts w:eastAsia="MS Mincho"/>
        </w:rPr>
        <w:t>p</w:t>
      </w:r>
      <w:r w:rsidRPr="00F66549">
        <w:rPr>
          <w:rFonts w:eastAsia="MS Mincho"/>
        </w:rPr>
        <w:t xml:space="preserve">ractical </w:t>
      </w:r>
      <w:r>
        <w:rPr>
          <w:rFonts w:eastAsia="MS Mincho"/>
        </w:rPr>
        <w:t>c</w:t>
      </w:r>
      <w:r w:rsidRPr="00F66549">
        <w:rPr>
          <w:rFonts w:eastAsia="MS Mincho"/>
        </w:rPr>
        <w:t xml:space="preserve">lassification </w:t>
      </w:r>
      <w:r>
        <w:rPr>
          <w:rFonts w:eastAsia="MS Mincho"/>
        </w:rPr>
        <w:t>i</w:t>
      </w:r>
      <w:r w:rsidRPr="00F66549">
        <w:rPr>
          <w:rFonts w:eastAsia="MS Mincho"/>
        </w:rPr>
        <w:t>ssues</w:t>
      </w:r>
    </w:p>
    <w:p w:rsidR="00EF0D81" w:rsidRPr="00DC3242" w:rsidRDefault="00EF0D81" w:rsidP="00EF0D81">
      <w:pPr>
        <w:pStyle w:val="H1G"/>
        <w:rPr>
          <w:rFonts w:eastAsia="MS Mincho"/>
          <w:highlight w:val="yellow"/>
        </w:rPr>
      </w:pPr>
      <w:r w:rsidRPr="00F66549">
        <w:rPr>
          <w:rFonts w:eastAsia="MS Mincho"/>
        </w:rPr>
        <w:tab/>
      </w:r>
      <w:r w:rsidRPr="00F66549">
        <w:rPr>
          <w:rFonts w:eastAsia="MS Mincho"/>
        </w:rPr>
        <w:tab/>
      </w:r>
      <w:r>
        <w:rPr>
          <w:rFonts w:eastAsia="MS Mincho"/>
        </w:rPr>
        <w:t>Transmitted by the expert from the United States of America on behalf of the informal correspondence group</w:t>
      </w:r>
    </w:p>
    <w:p w:rsidR="00EF0D81" w:rsidRPr="0051020A" w:rsidRDefault="00EF0D81" w:rsidP="00EF0D81">
      <w:pPr>
        <w:pStyle w:val="HChG"/>
      </w:pPr>
      <w:r>
        <w:tab/>
      </w:r>
      <w:r>
        <w:tab/>
      </w:r>
      <w:r w:rsidRPr="0051020A">
        <w:t>Purpose</w:t>
      </w:r>
    </w:p>
    <w:p w:rsidR="00EF0D81" w:rsidRPr="002429C2" w:rsidRDefault="00EF0D81" w:rsidP="00EF0D81">
      <w:pPr>
        <w:pStyle w:val="SingleTxtG"/>
      </w:pPr>
      <w:r w:rsidRPr="002429C2">
        <w:t>1.</w:t>
      </w:r>
      <w:r w:rsidRPr="002429C2">
        <w:tab/>
        <w:t>The purpose of this paper is to present a proposal for the ongoing work of the informal correspondence group on practical classification issues.</w:t>
      </w:r>
    </w:p>
    <w:p w:rsidR="00EF0D81" w:rsidRPr="00F66549" w:rsidRDefault="00EF0D81" w:rsidP="00EF0D81">
      <w:pPr>
        <w:pStyle w:val="HChG"/>
      </w:pPr>
      <w:r>
        <w:tab/>
      </w:r>
      <w:r>
        <w:tab/>
      </w:r>
      <w:r w:rsidRPr="00F66549">
        <w:t>Proposal for ongoing work</w:t>
      </w:r>
    </w:p>
    <w:p w:rsidR="00EF0D81" w:rsidRPr="002429C2" w:rsidRDefault="00EF0D81" w:rsidP="00EF0D81">
      <w:pPr>
        <w:pStyle w:val="SingleTxtG"/>
      </w:pPr>
      <w:r w:rsidRPr="002429C2">
        <w:t>2.</w:t>
      </w:r>
      <w:r w:rsidRPr="002429C2">
        <w:tab/>
        <w:t xml:space="preserve">The </w:t>
      </w:r>
      <w:r w:rsidR="00437989">
        <w:t>informal correspondence group proposes for the next biennium items (a) through (e), which are carryover issues from the current biennium, and item (</w:t>
      </w:r>
      <w:r w:rsidR="002C2031">
        <w:t>f)</w:t>
      </w:r>
      <w:r w:rsidR="00437989">
        <w:t xml:space="preserve"> which is a new issue.  </w:t>
      </w:r>
    </w:p>
    <w:p w:rsidR="00EF0D81" w:rsidRDefault="00EF0D81" w:rsidP="00EF0D81">
      <w:pPr>
        <w:pStyle w:val="SingleTxtG"/>
        <w:ind w:left="1701" w:hanging="567"/>
      </w:pPr>
      <w:r>
        <w:t>(</w:t>
      </w:r>
      <w:r w:rsidR="000C727E">
        <w:t>a</w:t>
      </w:r>
      <w:r>
        <w:t>)</w:t>
      </w:r>
      <w:r>
        <w:tab/>
      </w:r>
      <w:r w:rsidRPr="00E548BB">
        <w:t>Consider developing an example(s) to illustrate how to interpret both single exposure and repeated exposure data when interpreting the statements in Chapter 3.8 Specific Target Organ Toxicity – Single Exposure (GHS paragraph 3.8.1.6) and Chapter 3.9 Specific Target Organ Toxicity – Repeated Exposure (GHS paragraph 3.9.1.6) that effects covered in other health hazard chapters are not included in Chapters 3.8 and 3.9.</w:t>
      </w:r>
      <w:r>
        <w:t xml:space="preserve"> </w:t>
      </w:r>
    </w:p>
    <w:p w:rsidR="00EF0D81" w:rsidRDefault="00EF0D81" w:rsidP="00EF0D81">
      <w:pPr>
        <w:pStyle w:val="SingleTxtG"/>
        <w:ind w:left="1701" w:hanging="567"/>
      </w:pPr>
      <w:r>
        <w:t>(</w:t>
      </w:r>
      <w:r w:rsidR="000C727E">
        <w:t>b</w:t>
      </w:r>
      <w:r>
        <w:t>)</w:t>
      </w:r>
      <w:r>
        <w:tab/>
      </w:r>
      <w:r w:rsidRPr="00742848">
        <w:t>Consider the need for hazard communication associated with the hazards of flammable vapo</w:t>
      </w:r>
      <w:r w:rsidR="00A359E5">
        <w:t>u</w:t>
      </w:r>
      <w:r w:rsidRPr="00742848">
        <w:t>rs created in the headspace (</w:t>
      </w:r>
      <w:r w:rsidRPr="002429C2">
        <w:t>the unfilled space left above the contents in a sealed container</w:t>
      </w:r>
      <w:r w:rsidRPr="00742848">
        <w:t xml:space="preserve">) </w:t>
      </w:r>
      <w:r>
        <w:t>for</w:t>
      </w:r>
      <w:r w:rsidRPr="00742848">
        <w:t xml:space="preserve"> solid and liquid substances or mixtures.</w:t>
      </w:r>
    </w:p>
    <w:p w:rsidR="0007007F" w:rsidRPr="00437989" w:rsidRDefault="002A7946" w:rsidP="00203584">
      <w:pPr>
        <w:pStyle w:val="SingleTxtG"/>
        <w:ind w:left="1659" w:hanging="525"/>
      </w:pPr>
      <w:r>
        <w:t>(</w:t>
      </w:r>
      <w:r w:rsidR="000C727E">
        <w:t>c</w:t>
      </w:r>
      <w:r w:rsidR="00203584">
        <w:t>)</w:t>
      </w:r>
      <w:r w:rsidR="00203584">
        <w:tab/>
      </w:r>
      <w:r w:rsidR="00B25231">
        <w:t xml:space="preserve">Consider the need for clarification of the existing criteria on bridging principles via editorial changes to the text and/ or the development of additional guidance/ example(s) illustrating the application of the bridging principles. This would include </w:t>
      </w:r>
      <w:r w:rsidR="00B25231">
        <w:rPr>
          <w:i/>
        </w:rPr>
        <w:t xml:space="preserve">inter alia </w:t>
      </w:r>
      <w:r w:rsidR="00B25231">
        <w:t>the definition of an ingredient in the context of bridging principles (i.e.</w:t>
      </w:r>
      <w:r w:rsidR="00632AE5">
        <w:t>,</w:t>
      </w:r>
      <w:r w:rsidR="00B25231">
        <w:t xml:space="preserve"> can an “ingredient” be composed of several substances or can it be a mixture?),</w:t>
      </w:r>
      <w:r w:rsidR="000C727E">
        <w:t xml:space="preserve"> </w:t>
      </w:r>
      <w:r w:rsidR="0007007F" w:rsidRPr="00437989">
        <w:t xml:space="preserve">and explore </w:t>
      </w:r>
      <w:r w:rsidR="00D82B7B" w:rsidRPr="00437989">
        <w:t xml:space="preserve">if </w:t>
      </w:r>
      <w:r w:rsidR="0007007F" w:rsidRPr="00437989">
        <w:t>it is technically feasible</w:t>
      </w:r>
      <w:r w:rsidR="00D82B7B" w:rsidRPr="00437989">
        <w:t xml:space="preserve"> to apply the</w:t>
      </w:r>
      <w:r w:rsidR="0007007F" w:rsidRPr="00437989">
        <w:t xml:space="preserve"> concept of </w:t>
      </w:r>
      <w:r w:rsidR="00D82B7B" w:rsidRPr="00437989">
        <w:t xml:space="preserve">substance </w:t>
      </w:r>
      <w:r w:rsidR="0007007F" w:rsidRPr="00437989">
        <w:t>structure activity relationships</w:t>
      </w:r>
      <w:r w:rsidR="00865416">
        <w:t xml:space="preserve"> within the context of </w:t>
      </w:r>
      <w:r w:rsidR="0007007F" w:rsidRPr="00437989">
        <w:t>bridging principle</w:t>
      </w:r>
      <w:r w:rsidR="006B00AF" w:rsidRPr="00437989">
        <w:t>s</w:t>
      </w:r>
      <w:r w:rsidR="0007007F" w:rsidRPr="00437989">
        <w:t>.</w:t>
      </w:r>
    </w:p>
    <w:p w:rsidR="002A7946" w:rsidRDefault="002A7946">
      <w:pPr>
        <w:suppressAutoHyphens w:val="0"/>
        <w:spacing w:after="200" w:line="276" w:lineRule="auto"/>
      </w:pPr>
      <w:r>
        <w:br w:type="page"/>
      </w:r>
    </w:p>
    <w:p w:rsidR="00C1152B" w:rsidRDefault="00C1152B" w:rsidP="00203584">
      <w:pPr>
        <w:pStyle w:val="SingleTxtG"/>
        <w:ind w:left="1659" w:hanging="525"/>
      </w:pPr>
      <w:r>
        <w:t>(</w:t>
      </w:r>
      <w:r w:rsidR="000C727E">
        <w:t>d</w:t>
      </w:r>
      <w:r>
        <w:t>)</w:t>
      </w:r>
      <w:r>
        <w:tab/>
      </w:r>
      <w:r w:rsidR="00890977">
        <w:t xml:space="preserve">GHS paragraph 3.1.2.6.1 provides guidance on how to convert experimental inhalation toxicity values for tests using a </w:t>
      </w:r>
      <w:proofErr w:type="gramStart"/>
      <w:r w:rsidR="00890977">
        <w:t>1 hour</w:t>
      </w:r>
      <w:proofErr w:type="gramEnd"/>
      <w:r w:rsidR="00890977">
        <w:t xml:space="preserve"> exposure to a 4 hour equivalent </w:t>
      </w:r>
      <w:r w:rsidR="00890977">
        <w:lastRenderedPageBreak/>
        <w:t xml:space="preserve">for gases, vapours, dusts and mists.  However, there is no guidance for </w:t>
      </w:r>
      <w:r w:rsidR="00086E13">
        <w:t>tests using other exposure times</w:t>
      </w:r>
      <w:r w:rsidR="00890977">
        <w:t xml:space="preserve"> (e.g., studies with 3 or </w:t>
      </w:r>
      <w:proofErr w:type="gramStart"/>
      <w:r w:rsidR="00890977">
        <w:t>6 hour</w:t>
      </w:r>
      <w:proofErr w:type="gramEnd"/>
      <w:r w:rsidR="00890977">
        <w:t xml:space="preserve"> exposure times).  Consider providing guidance to paragraph 3.1.2.6.1 to address the conversion of inhalation toxicity values for tests using exposure times</w:t>
      </w:r>
      <w:r w:rsidR="00632AE5">
        <w:t xml:space="preserve"> other than 1 hour</w:t>
      </w:r>
      <w:r w:rsidR="00890977">
        <w:t xml:space="preserve">. </w:t>
      </w:r>
    </w:p>
    <w:p w:rsidR="00C1152B" w:rsidRDefault="00C1152B" w:rsidP="00203584">
      <w:pPr>
        <w:pStyle w:val="SingleTxtG"/>
        <w:ind w:left="1659" w:hanging="525"/>
      </w:pPr>
      <w:r>
        <w:t>(</w:t>
      </w:r>
      <w:r w:rsidR="000C727E">
        <w:t>e</w:t>
      </w:r>
      <w:r>
        <w:t>)</w:t>
      </w:r>
      <w:r>
        <w:tab/>
      </w:r>
      <w:proofErr w:type="gramStart"/>
      <w:r w:rsidR="00CD42DC">
        <w:t>Taking into account</w:t>
      </w:r>
      <w:proofErr w:type="gramEnd"/>
      <w:r w:rsidR="00CD42DC">
        <w:t xml:space="preserve"> the scope of applicability of additivity and its limitations, consider whether it should be possible to apply additivity in certain cases to other health hazards, for which additivity is currently not explicitly mentioned, and if so, how to clarify this in the GHS (see rationale in UN/SCEGHS/32/INF.35).</w:t>
      </w:r>
    </w:p>
    <w:p w:rsidR="001E7040" w:rsidRDefault="00A45A83" w:rsidP="00595167">
      <w:pPr>
        <w:pStyle w:val="SingleTxtG"/>
        <w:ind w:left="1710" w:hanging="540"/>
      </w:pPr>
      <w:r>
        <w:t>(f)</w:t>
      </w:r>
      <w:r>
        <w:tab/>
      </w:r>
      <w:r w:rsidR="001E7040">
        <w:t xml:space="preserve">Review available scientific evidence on the use of 3% in the additivity approach for mixture classification as Serious Eye Damage Category 1.  </w:t>
      </w:r>
      <w:r>
        <w:t xml:space="preserve">The group can consider if a new cut-off value/concentration limit is appropriate and/or </w:t>
      </w:r>
      <w:r w:rsidR="00595167">
        <w:t>if additional</w:t>
      </w:r>
      <w:r w:rsidR="001E7040">
        <w:t xml:space="preserve"> guidance would be helpful when applying the additivity formula.</w:t>
      </w:r>
    </w:p>
    <w:p w:rsidR="00EF0D81" w:rsidRPr="00F66549" w:rsidRDefault="00EF0D81" w:rsidP="00EF0D81">
      <w:pPr>
        <w:pStyle w:val="HChG"/>
      </w:pPr>
      <w:r>
        <w:tab/>
      </w:r>
      <w:r>
        <w:tab/>
      </w:r>
      <w:r w:rsidRPr="00F66549">
        <w:t>Conclusion</w:t>
      </w:r>
    </w:p>
    <w:p w:rsidR="00EF0D81" w:rsidRDefault="00EF0D81" w:rsidP="00EF0D81">
      <w:pPr>
        <w:pStyle w:val="SingleTxtG"/>
      </w:pPr>
      <w:r>
        <w:t>3.</w:t>
      </w:r>
      <w:r>
        <w:tab/>
      </w:r>
      <w:r w:rsidRPr="00F66549">
        <w:t xml:space="preserve">The </w:t>
      </w:r>
      <w:r w:rsidR="00C8432F">
        <w:t xml:space="preserve">PCI </w:t>
      </w:r>
      <w:r>
        <w:t>c</w:t>
      </w:r>
      <w:r w:rsidRPr="00F66549">
        <w:t xml:space="preserve">orrespondence </w:t>
      </w:r>
      <w:r>
        <w:t>g</w:t>
      </w:r>
      <w:r w:rsidRPr="00F66549">
        <w:t xml:space="preserve">roup proposes these items for the </w:t>
      </w:r>
      <w:r>
        <w:t>next</w:t>
      </w:r>
      <w:r w:rsidRPr="00F66549">
        <w:t xml:space="preserve"> biennium and </w:t>
      </w:r>
      <w:r w:rsidR="00C8432F">
        <w:t>invites</w:t>
      </w:r>
      <w:r w:rsidRPr="00F66549">
        <w:t xml:space="preserve"> the Sub</w:t>
      </w:r>
      <w:r>
        <w:t>-C</w:t>
      </w:r>
      <w:r w:rsidRPr="00F66549">
        <w:t xml:space="preserve">ommittee </w:t>
      </w:r>
      <w:r w:rsidR="00C8432F">
        <w:t xml:space="preserve">to consider the recommended program of </w:t>
      </w:r>
      <w:r w:rsidRPr="00F66549">
        <w:t>work.</w:t>
      </w:r>
    </w:p>
    <w:p w:rsidR="00471A50" w:rsidRPr="002A7946" w:rsidRDefault="002A7946" w:rsidP="002A7946">
      <w:pPr>
        <w:spacing w:before="240"/>
        <w:ind w:left="1134" w:right="1134"/>
        <w:jc w:val="center"/>
        <w:rPr>
          <w:u w:val="single"/>
        </w:rPr>
      </w:pPr>
      <w:r>
        <w:rPr>
          <w:u w:val="single"/>
        </w:rPr>
        <w:tab/>
      </w:r>
      <w:r>
        <w:rPr>
          <w:u w:val="single"/>
        </w:rPr>
        <w:tab/>
      </w:r>
      <w:r>
        <w:rPr>
          <w:u w:val="single"/>
        </w:rPr>
        <w:tab/>
      </w:r>
    </w:p>
    <w:sectPr w:rsidR="00471A50" w:rsidRPr="002A7946" w:rsidSect="002A7946">
      <w:headerReference w:type="even" r:id="rId7"/>
      <w:headerReference w:type="default" r:id="rId8"/>
      <w:footerReference w:type="even" r:id="rId9"/>
      <w:footerReference w:type="default" r:id="rId10"/>
      <w:headerReference w:type="first" r:id="rId11"/>
      <w:footerReference w:type="first" r:id="rId12"/>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7D" w:rsidRDefault="00DA5A7D" w:rsidP="00203584">
      <w:pPr>
        <w:spacing w:line="240" w:lineRule="auto"/>
      </w:pPr>
      <w:r>
        <w:separator/>
      </w:r>
    </w:p>
  </w:endnote>
  <w:endnote w:type="continuationSeparator" w:id="0">
    <w:p w:rsidR="00DA5A7D" w:rsidRDefault="00DA5A7D" w:rsidP="0020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46" w:rsidRDefault="002A7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75231739"/>
      <w:docPartObj>
        <w:docPartGallery w:val="Page Numbers (Bottom of Page)"/>
        <w:docPartUnique/>
      </w:docPartObj>
    </w:sdtPr>
    <w:sdtEndPr>
      <w:rPr>
        <w:noProof/>
      </w:rPr>
    </w:sdtEndPr>
    <w:sdtContent>
      <w:p w:rsidR="002A7946" w:rsidRPr="002A7946" w:rsidRDefault="002A7946">
        <w:pPr>
          <w:pStyle w:val="Footer"/>
          <w:rPr>
            <w:b/>
            <w:bCs/>
            <w:sz w:val="18"/>
            <w:szCs w:val="18"/>
          </w:rPr>
        </w:pPr>
        <w:r w:rsidRPr="002A7946">
          <w:rPr>
            <w:b/>
            <w:bCs/>
            <w:sz w:val="18"/>
            <w:szCs w:val="18"/>
          </w:rPr>
          <w:fldChar w:fldCharType="begin"/>
        </w:r>
        <w:r w:rsidRPr="002A7946">
          <w:rPr>
            <w:b/>
            <w:bCs/>
            <w:sz w:val="18"/>
            <w:szCs w:val="18"/>
          </w:rPr>
          <w:instrText xml:space="preserve"> PAGE   \* MERGEFORMAT </w:instrText>
        </w:r>
        <w:r w:rsidRPr="002A7946">
          <w:rPr>
            <w:b/>
            <w:bCs/>
            <w:sz w:val="18"/>
            <w:szCs w:val="18"/>
          </w:rPr>
          <w:fldChar w:fldCharType="separate"/>
        </w:r>
        <w:r w:rsidRPr="002A7946">
          <w:rPr>
            <w:b/>
            <w:bCs/>
            <w:noProof/>
            <w:sz w:val="18"/>
            <w:szCs w:val="18"/>
          </w:rPr>
          <w:t>2</w:t>
        </w:r>
        <w:r w:rsidRPr="002A7946">
          <w:rPr>
            <w:b/>
            <w:bCs/>
            <w:noProof/>
            <w:sz w:val="18"/>
            <w:szCs w:val="18"/>
          </w:rPr>
          <w:fldChar w:fldCharType="end"/>
        </w:r>
      </w:p>
    </w:sdtContent>
  </w:sdt>
  <w:p w:rsidR="002A7946" w:rsidRPr="002A7946" w:rsidRDefault="002A7946">
    <w:pPr>
      <w:pStyle w:val="Footer"/>
      <w:rPr>
        <w:b/>
        <w:bCs/>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46" w:rsidRDefault="002A7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7D" w:rsidRDefault="00DA5A7D" w:rsidP="00203584">
      <w:pPr>
        <w:spacing w:line="240" w:lineRule="auto"/>
      </w:pPr>
      <w:r>
        <w:separator/>
      </w:r>
    </w:p>
  </w:footnote>
  <w:footnote w:type="continuationSeparator" w:id="0">
    <w:p w:rsidR="00DA5A7D" w:rsidRDefault="00DA5A7D" w:rsidP="00203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46" w:rsidRDefault="002A7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46" w:rsidRPr="002A7946" w:rsidRDefault="002A7946" w:rsidP="002A7946">
    <w:pPr>
      <w:pStyle w:val="Header"/>
      <w:pBdr>
        <w:bottom w:val="single" w:sz="4" w:space="1" w:color="auto"/>
      </w:pBdr>
      <w:rPr>
        <w:b/>
        <w:bCs/>
        <w:sz w:val="18"/>
        <w:szCs w:val="18"/>
        <w:lang w:val="fr-CH"/>
      </w:rPr>
    </w:pPr>
    <w:r w:rsidRPr="002A7946">
      <w:rPr>
        <w:b/>
        <w:bCs/>
        <w:sz w:val="18"/>
        <w:szCs w:val="18"/>
        <w:lang w:val="fr-CH"/>
      </w:rPr>
      <w:t>UN/SCEGHS/36/INF.38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46" w:rsidRDefault="002A7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106B9"/>
    <w:rsid w:val="00015CE8"/>
    <w:rsid w:val="00021E29"/>
    <w:rsid w:val="0004012A"/>
    <w:rsid w:val="0007007F"/>
    <w:rsid w:val="000736C5"/>
    <w:rsid w:val="00086E13"/>
    <w:rsid w:val="00091570"/>
    <w:rsid w:val="0009606F"/>
    <w:rsid w:val="000A6520"/>
    <w:rsid w:val="000B405A"/>
    <w:rsid w:val="000C30A7"/>
    <w:rsid w:val="000C55DB"/>
    <w:rsid w:val="000C727E"/>
    <w:rsid w:val="000D5782"/>
    <w:rsid w:val="000F3F3C"/>
    <w:rsid w:val="000F4956"/>
    <w:rsid w:val="000F74D7"/>
    <w:rsid w:val="001210C7"/>
    <w:rsid w:val="00130F0D"/>
    <w:rsid w:val="00137144"/>
    <w:rsid w:val="0015114B"/>
    <w:rsid w:val="00165248"/>
    <w:rsid w:val="00166903"/>
    <w:rsid w:val="00185FDB"/>
    <w:rsid w:val="001931DE"/>
    <w:rsid w:val="001A0A6A"/>
    <w:rsid w:val="001A34A6"/>
    <w:rsid w:val="001E2247"/>
    <w:rsid w:val="001E4C86"/>
    <w:rsid w:val="001E7040"/>
    <w:rsid w:val="001F0FE4"/>
    <w:rsid w:val="001F4464"/>
    <w:rsid w:val="00203584"/>
    <w:rsid w:val="002132F5"/>
    <w:rsid w:val="0021479B"/>
    <w:rsid w:val="00246ABD"/>
    <w:rsid w:val="00267F3B"/>
    <w:rsid w:val="00291992"/>
    <w:rsid w:val="002921C1"/>
    <w:rsid w:val="002A7946"/>
    <w:rsid w:val="002C2031"/>
    <w:rsid w:val="002D27CF"/>
    <w:rsid w:val="002D3360"/>
    <w:rsid w:val="002E1751"/>
    <w:rsid w:val="002E5EB6"/>
    <w:rsid w:val="003018B2"/>
    <w:rsid w:val="00321778"/>
    <w:rsid w:val="00333CA6"/>
    <w:rsid w:val="00340648"/>
    <w:rsid w:val="003448EF"/>
    <w:rsid w:val="0036026F"/>
    <w:rsid w:val="003638B6"/>
    <w:rsid w:val="00372B43"/>
    <w:rsid w:val="003756FE"/>
    <w:rsid w:val="00386215"/>
    <w:rsid w:val="003908A8"/>
    <w:rsid w:val="003A0A6D"/>
    <w:rsid w:val="003C23B4"/>
    <w:rsid w:val="003D09FD"/>
    <w:rsid w:val="003D2352"/>
    <w:rsid w:val="003F36D5"/>
    <w:rsid w:val="003F585F"/>
    <w:rsid w:val="004024DC"/>
    <w:rsid w:val="00431CC4"/>
    <w:rsid w:val="00436BD3"/>
    <w:rsid w:val="00437989"/>
    <w:rsid w:val="00443D2B"/>
    <w:rsid w:val="0044508C"/>
    <w:rsid w:val="004472C4"/>
    <w:rsid w:val="004578D4"/>
    <w:rsid w:val="0046610B"/>
    <w:rsid w:val="00471019"/>
    <w:rsid w:val="004719E8"/>
    <w:rsid w:val="00471A50"/>
    <w:rsid w:val="00480BEA"/>
    <w:rsid w:val="0049209D"/>
    <w:rsid w:val="004A59A6"/>
    <w:rsid w:val="004B0F57"/>
    <w:rsid w:val="004B60A0"/>
    <w:rsid w:val="004D0125"/>
    <w:rsid w:val="004F0726"/>
    <w:rsid w:val="00500E46"/>
    <w:rsid w:val="00584FE2"/>
    <w:rsid w:val="0058670B"/>
    <w:rsid w:val="00595167"/>
    <w:rsid w:val="005A28CD"/>
    <w:rsid w:val="005B5C7B"/>
    <w:rsid w:val="005D2AB0"/>
    <w:rsid w:val="005D42CB"/>
    <w:rsid w:val="005D4FFD"/>
    <w:rsid w:val="005D5A1E"/>
    <w:rsid w:val="005E03A0"/>
    <w:rsid w:val="005E4322"/>
    <w:rsid w:val="005F68AF"/>
    <w:rsid w:val="005F78AC"/>
    <w:rsid w:val="0060128B"/>
    <w:rsid w:val="00610495"/>
    <w:rsid w:val="00615FED"/>
    <w:rsid w:val="00630D0C"/>
    <w:rsid w:val="00632AE5"/>
    <w:rsid w:val="0064031E"/>
    <w:rsid w:val="0064194B"/>
    <w:rsid w:val="00673BB6"/>
    <w:rsid w:val="00681C24"/>
    <w:rsid w:val="00694D62"/>
    <w:rsid w:val="006A6E42"/>
    <w:rsid w:val="006B00AF"/>
    <w:rsid w:val="006B1C47"/>
    <w:rsid w:val="006B21D5"/>
    <w:rsid w:val="006B356C"/>
    <w:rsid w:val="006B4CF8"/>
    <w:rsid w:val="006D4A31"/>
    <w:rsid w:val="006D73E4"/>
    <w:rsid w:val="006E5B79"/>
    <w:rsid w:val="006F4017"/>
    <w:rsid w:val="00700ABE"/>
    <w:rsid w:val="00702906"/>
    <w:rsid w:val="00733342"/>
    <w:rsid w:val="007379C5"/>
    <w:rsid w:val="00760605"/>
    <w:rsid w:val="00797CFD"/>
    <w:rsid w:val="007B4F0C"/>
    <w:rsid w:val="007C7831"/>
    <w:rsid w:val="007D06A0"/>
    <w:rsid w:val="00800D54"/>
    <w:rsid w:val="00812A81"/>
    <w:rsid w:val="00851A02"/>
    <w:rsid w:val="00856D26"/>
    <w:rsid w:val="00865416"/>
    <w:rsid w:val="008672B8"/>
    <w:rsid w:val="00890977"/>
    <w:rsid w:val="008A4DDD"/>
    <w:rsid w:val="008A51F0"/>
    <w:rsid w:val="008B43E8"/>
    <w:rsid w:val="008E3714"/>
    <w:rsid w:val="008F0381"/>
    <w:rsid w:val="00915E95"/>
    <w:rsid w:val="00941DC7"/>
    <w:rsid w:val="00947C80"/>
    <w:rsid w:val="00964DB3"/>
    <w:rsid w:val="00967F54"/>
    <w:rsid w:val="009808E7"/>
    <w:rsid w:val="00984379"/>
    <w:rsid w:val="009A4B51"/>
    <w:rsid w:val="009B3FEF"/>
    <w:rsid w:val="009D2966"/>
    <w:rsid w:val="00A04853"/>
    <w:rsid w:val="00A06FA3"/>
    <w:rsid w:val="00A3459F"/>
    <w:rsid w:val="00A359E5"/>
    <w:rsid w:val="00A42B3E"/>
    <w:rsid w:val="00A431C6"/>
    <w:rsid w:val="00A45A83"/>
    <w:rsid w:val="00A4609C"/>
    <w:rsid w:val="00A60B83"/>
    <w:rsid w:val="00A63CDF"/>
    <w:rsid w:val="00A85DB3"/>
    <w:rsid w:val="00AA0289"/>
    <w:rsid w:val="00AB548F"/>
    <w:rsid w:val="00AC0DFB"/>
    <w:rsid w:val="00AE08EB"/>
    <w:rsid w:val="00AF6D86"/>
    <w:rsid w:val="00B05ACE"/>
    <w:rsid w:val="00B127AA"/>
    <w:rsid w:val="00B25231"/>
    <w:rsid w:val="00B72FE5"/>
    <w:rsid w:val="00BB4EB0"/>
    <w:rsid w:val="00C0258D"/>
    <w:rsid w:val="00C0330F"/>
    <w:rsid w:val="00C0385B"/>
    <w:rsid w:val="00C1152B"/>
    <w:rsid w:val="00C12E23"/>
    <w:rsid w:val="00C33E77"/>
    <w:rsid w:val="00C43907"/>
    <w:rsid w:val="00C569F4"/>
    <w:rsid w:val="00C65F6D"/>
    <w:rsid w:val="00C751F4"/>
    <w:rsid w:val="00C7713E"/>
    <w:rsid w:val="00C8432F"/>
    <w:rsid w:val="00CA73D0"/>
    <w:rsid w:val="00CD42DC"/>
    <w:rsid w:val="00CF3F91"/>
    <w:rsid w:val="00D40462"/>
    <w:rsid w:val="00D4532E"/>
    <w:rsid w:val="00D82B7B"/>
    <w:rsid w:val="00D9436E"/>
    <w:rsid w:val="00DA5A7D"/>
    <w:rsid w:val="00DA7448"/>
    <w:rsid w:val="00DA7467"/>
    <w:rsid w:val="00DD3735"/>
    <w:rsid w:val="00DF3705"/>
    <w:rsid w:val="00DF6B2B"/>
    <w:rsid w:val="00E0474E"/>
    <w:rsid w:val="00E054F6"/>
    <w:rsid w:val="00E44FAB"/>
    <w:rsid w:val="00E66943"/>
    <w:rsid w:val="00E76D3E"/>
    <w:rsid w:val="00E81527"/>
    <w:rsid w:val="00E911A3"/>
    <w:rsid w:val="00E96C4C"/>
    <w:rsid w:val="00EA0BCA"/>
    <w:rsid w:val="00EF0D81"/>
    <w:rsid w:val="00EF11EF"/>
    <w:rsid w:val="00F0689D"/>
    <w:rsid w:val="00F37398"/>
    <w:rsid w:val="00F835EE"/>
    <w:rsid w:val="00FC3F12"/>
    <w:rsid w:val="00FD3974"/>
    <w:rsid w:val="00FD70FB"/>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33207"/>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rsid w:val="00EF0D81"/>
    <w:pPr>
      <w:spacing w:after="120"/>
      <w:ind w:left="1134" w:right="1134"/>
      <w:jc w:val="both"/>
    </w:pPr>
  </w:style>
  <w:style w:type="paragraph" w:customStyle="1" w:styleId="HChG">
    <w:name w:val="_ H _Ch_G"/>
    <w:basedOn w:val="Normal"/>
    <w:next w:val="Normal"/>
    <w:link w:val="HChGChar"/>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81"/>
    <w:rPr>
      <w:rFonts w:ascii="Tahoma" w:eastAsia="Times New Roman" w:hAnsi="Tahoma" w:cs="Tahoma"/>
      <w:sz w:val="16"/>
      <w:szCs w:val="16"/>
      <w:lang w:val="en-GB"/>
    </w:rPr>
  </w:style>
  <w:style w:type="paragraph" w:styleId="Header">
    <w:name w:val="header"/>
    <w:basedOn w:val="Normal"/>
    <w:link w:val="HeaderChar"/>
    <w:uiPriority w:val="99"/>
    <w:unhideWhenUsed/>
    <w:rsid w:val="00203584"/>
    <w:pPr>
      <w:tabs>
        <w:tab w:val="center" w:pos="4680"/>
        <w:tab w:val="right" w:pos="9360"/>
      </w:tabs>
      <w:spacing w:line="240" w:lineRule="auto"/>
    </w:pPr>
  </w:style>
  <w:style w:type="character" w:customStyle="1" w:styleId="HeaderChar">
    <w:name w:val="Header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3584"/>
    <w:pPr>
      <w:tabs>
        <w:tab w:val="center" w:pos="4680"/>
        <w:tab w:val="right" w:pos="9360"/>
      </w:tabs>
      <w:spacing w:line="240" w:lineRule="auto"/>
    </w:pPr>
  </w:style>
  <w:style w:type="character" w:customStyle="1" w:styleId="FooterChar">
    <w:name w:val="Footer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C1152B"/>
    <w:pPr>
      <w:suppressAutoHyphens w:val="0"/>
      <w:spacing w:before="100" w:beforeAutospacing="1" w:after="100" w:afterAutospacing="1" w:line="240" w:lineRule="auto"/>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3AEE-7C05-483C-BB1B-F62CC538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Laurence Berthet</cp:lastModifiedBy>
  <cp:revision>3</cp:revision>
  <cp:lastPrinted>2018-12-05T09:06:00Z</cp:lastPrinted>
  <dcterms:created xsi:type="dcterms:W3CDTF">2018-12-05T09:07:00Z</dcterms:created>
  <dcterms:modified xsi:type="dcterms:W3CDTF">2018-12-05T09:10:00Z</dcterms:modified>
</cp:coreProperties>
</file>