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57458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574588" w:rsidP="00574588">
            <w:pPr>
              <w:jc w:val="right"/>
            </w:pPr>
            <w:r w:rsidRPr="00574588">
              <w:rPr>
                <w:sz w:val="40"/>
              </w:rPr>
              <w:t>ST</w:t>
            </w:r>
            <w:r>
              <w:t>/SG/AC.10/C.4/2018/6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574588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574588" w:rsidRDefault="00574588" w:rsidP="00574588">
            <w:pPr>
              <w:spacing w:line="240" w:lineRule="exact"/>
            </w:pPr>
            <w:r>
              <w:t>19 avril 2018</w:t>
            </w:r>
          </w:p>
          <w:p w:rsidR="00574588" w:rsidRDefault="00574588" w:rsidP="00574588">
            <w:pPr>
              <w:spacing w:line="240" w:lineRule="exact"/>
            </w:pPr>
            <w:r>
              <w:t>Français</w:t>
            </w:r>
          </w:p>
          <w:p w:rsidR="00574588" w:rsidRPr="00DB58B5" w:rsidRDefault="00574588" w:rsidP="00574588">
            <w:pPr>
              <w:spacing w:line="240" w:lineRule="exact"/>
            </w:pPr>
            <w:r>
              <w:t>Original : anglais</w:t>
            </w:r>
          </w:p>
        </w:tc>
      </w:tr>
    </w:tbl>
    <w:p w:rsidR="00574588" w:rsidRPr="00CA0680" w:rsidRDefault="00574588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6C45F0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6C45F0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574588" w:rsidRPr="00CA0680" w:rsidRDefault="00574588" w:rsidP="00574588">
      <w:pPr>
        <w:spacing w:before="120" w:after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6C45F0">
        <w:rPr>
          <w:b/>
        </w:rPr>
        <w:t>’</w:t>
      </w:r>
      <w:r w:rsidRPr="00CA0680">
        <w:rPr>
          <w:b/>
        </w:rPr>
        <w:t xml:space="preserve">experts </w:t>
      </w:r>
      <w:r>
        <w:rPr>
          <w:b/>
        </w:rPr>
        <w:t>du Système général harmonisé</w:t>
      </w:r>
      <w:r>
        <w:rPr>
          <w:b/>
        </w:rPr>
        <w:br/>
        <w:t>de classification et d</w:t>
      </w:r>
      <w:r w:rsidR="006C45F0">
        <w:rPr>
          <w:b/>
        </w:rPr>
        <w:t>’</w:t>
      </w:r>
      <w:r>
        <w:rPr>
          <w:b/>
        </w:rPr>
        <w:t>étiquetage des produits chimiques</w:t>
      </w:r>
    </w:p>
    <w:p w:rsidR="00574588" w:rsidRPr="00574588" w:rsidRDefault="00574588" w:rsidP="00574588">
      <w:pPr>
        <w:rPr>
          <w:b/>
          <w:lang w:val="fr-FR"/>
        </w:rPr>
      </w:pPr>
      <w:r w:rsidRPr="00574588">
        <w:rPr>
          <w:b/>
          <w:lang w:val="fr-FR"/>
        </w:rPr>
        <w:t>Trente-cinquième session</w:t>
      </w:r>
    </w:p>
    <w:p w:rsidR="00574588" w:rsidRPr="00574588" w:rsidRDefault="00574588" w:rsidP="00574588">
      <w:pPr>
        <w:rPr>
          <w:lang w:val="fr-FR"/>
        </w:rPr>
      </w:pPr>
      <w:r w:rsidRPr="00574588">
        <w:rPr>
          <w:lang w:val="fr-FR"/>
        </w:rPr>
        <w:t>Genève, 4-6 juillet 2018</w:t>
      </w:r>
    </w:p>
    <w:p w:rsidR="00574588" w:rsidRPr="00574588" w:rsidRDefault="00574588" w:rsidP="00574588">
      <w:pPr>
        <w:rPr>
          <w:lang w:val="fr-FR"/>
        </w:rPr>
      </w:pPr>
      <w:r w:rsidRPr="00574588">
        <w:rPr>
          <w:lang w:val="fr-FR"/>
        </w:rPr>
        <w:t>Point 4 b) de l</w:t>
      </w:r>
      <w:r w:rsidR="006C45F0">
        <w:rPr>
          <w:lang w:val="fr-FR"/>
        </w:rPr>
        <w:t>’</w:t>
      </w:r>
      <w:r w:rsidRPr="00574588">
        <w:rPr>
          <w:lang w:val="fr-FR"/>
        </w:rPr>
        <w:t>ordre du jour provisoire</w:t>
      </w:r>
    </w:p>
    <w:p w:rsidR="00574588" w:rsidRPr="00574588" w:rsidRDefault="00574588" w:rsidP="00574588">
      <w:pPr>
        <w:rPr>
          <w:b/>
          <w:bCs/>
          <w:lang w:val="fr-FR"/>
        </w:rPr>
      </w:pPr>
      <w:r w:rsidRPr="00574588">
        <w:rPr>
          <w:b/>
          <w:lang w:val="fr-FR"/>
        </w:rPr>
        <w:t>Communication des dangers :</w:t>
      </w:r>
      <w:r>
        <w:rPr>
          <w:b/>
          <w:lang w:val="fr-FR"/>
        </w:rPr>
        <w:t xml:space="preserve"> </w:t>
      </w:r>
      <w:r w:rsidRPr="00574588">
        <w:rPr>
          <w:b/>
          <w:bCs/>
          <w:lang w:val="fr-FR"/>
        </w:rPr>
        <w:t xml:space="preserve">Amélioration des annexes 1 à 3 </w:t>
      </w:r>
      <w:r>
        <w:rPr>
          <w:b/>
          <w:bCs/>
          <w:lang w:val="fr-FR"/>
        </w:rPr>
        <w:br/>
      </w:r>
      <w:r w:rsidRPr="00574588">
        <w:rPr>
          <w:b/>
          <w:bCs/>
          <w:lang w:val="fr-FR"/>
        </w:rPr>
        <w:t>et poursuite de la rationalisation des conseils de prudence</w:t>
      </w:r>
    </w:p>
    <w:p w:rsidR="00574588" w:rsidRPr="00574588" w:rsidRDefault="00574588" w:rsidP="00574588">
      <w:pPr>
        <w:pStyle w:val="HChG"/>
        <w:rPr>
          <w:lang w:val="fr-FR"/>
        </w:rPr>
      </w:pPr>
      <w:r w:rsidRPr="00574588">
        <w:rPr>
          <w:lang w:val="fr-FR"/>
        </w:rPr>
        <w:tab/>
      </w:r>
      <w:r w:rsidRPr="00574588">
        <w:rPr>
          <w:lang w:val="fr-FR"/>
        </w:rPr>
        <w:tab/>
      </w:r>
      <w:r w:rsidRPr="00251747">
        <w:rPr>
          <w:spacing w:val="-2"/>
          <w:lang w:val="fr-FR"/>
        </w:rPr>
        <w:t>Propositions de modifications à apporter à l</w:t>
      </w:r>
      <w:r w:rsidR="006C45F0" w:rsidRPr="00251747">
        <w:rPr>
          <w:spacing w:val="-2"/>
          <w:lang w:val="fr-FR"/>
        </w:rPr>
        <w:t>’</w:t>
      </w:r>
      <w:r w:rsidRPr="00251747">
        <w:rPr>
          <w:spacing w:val="-2"/>
          <w:lang w:val="fr-FR"/>
        </w:rPr>
        <w:t>annexe 3 du SGH</w:t>
      </w:r>
      <w:r w:rsidRPr="00574588">
        <w:rPr>
          <w:lang w:val="fr-FR"/>
        </w:rPr>
        <w:t xml:space="preserve"> afin de prendre en compte les sous-catégories de danger </w:t>
      </w:r>
    </w:p>
    <w:p w:rsidR="00574588" w:rsidRPr="00574588" w:rsidRDefault="00574588" w:rsidP="00574588">
      <w:pPr>
        <w:pStyle w:val="H1G"/>
        <w:rPr>
          <w:lang w:val="fr-FR"/>
        </w:rPr>
      </w:pPr>
      <w:r w:rsidRPr="00574588">
        <w:rPr>
          <w:lang w:val="fr-FR"/>
        </w:rPr>
        <w:tab/>
      </w:r>
      <w:r w:rsidRPr="00574588">
        <w:rPr>
          <w:lang w:val="fr-FR"/>
        </w:rPr>
        <w:tab/>
        <w:t>Communication de l</w:t>
      </w:r>
      <w:r w:rsidR="006C45F0">
        <w:rPr>
          <w:lang w:val="fr-FR"/>
        </w:rPr>
        <w:t>’</w:t>
      </w:r>
      <w:r w:rsidRPr="00574588">
        <w:rPr>
          <w:lang w:val="fr-FR"/>
        </w:rPr>
        <w:t xml:space="preserve">expert du Royaume-Uni au nom du groupe </w:t>
      </w:r>
      <w:r w:rsidR="00251747">
        <w:rPr>
          <w:lang w:val="fr-FR"/>
        </w:rPr>
        <w:br/>
      </w:r>
      <w:r w:rsidRPr="00574588">
        <w:rPr>
          <w:lang w:val="fr-FR"/>
        </w:rPr>
        <w:t>de travail informel de l</w:t>
      </w:r>
      <w:r w:rsidR="006C45F0">
        <w:rPr>
          <w:lang w:val="fr-FR"/>
        </w:rPr>
        <w:t>’</w:t>
      </w:r>
      <w:r w:rsidRPr="00574588">
        <w:rPr>
          <w:lang w:val="fr-FR"/>
        </w:rPr>
        <w:t>amélioration des annexes 1 à 3 du SGH</w:t>
      </w:r>
      <w:r w:rsidR="006C45F0" w:rsidRPr="006C45F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574588" w:rsidRDefault="00574588" w:rsidP="00574588">
      <w:pPr>
        <w:pStyle w:val="HChG"/>
        <w:rPr>
          <w:lang w:val="fr-FR"/>
        </w:rPr>
      </w:pPr>
      <w:r w:rsidRPr="006C45F0">
        <w:tab/>
      </w:r>
      <w:r w:rsidRPr="006C45F0">
        <w:tab/>
      </w:r>
      <w:r w:rsidRPr="00574588">
        <w:rPr>
          <w:lang w:val="fr-FR"/>
        </w:rPr>
        <w:t>Historique de la question</w:t>
      </w:r>
    </w:p>
    <w:p w:rsidR="00574588" w:rsidRPr="00574588" w:rsidRDefault="00574588" w:rsidP="00574588">
      <w:pPr>
        <w:pStyle w:val="SingleTxtG"/>
        <w:rPr>
          <w:lang w:val="fr-FR"/>
        </w:rPr>
      </w:pPr>
      <w:r w:rsidRPr="00574588">
        <w:rPr>
          <w:lang w:val="fr-FR"/>
        </w:rPr>
        <w:t>1.</w:t>
      </w:r>
      <w:r w:rsidRPr="00574588">
        <w:rPr>
          <w:lang w:val="fr-FR"/>
        </w:rPr>
        <w:tab/>
        <w:t>Conformément à son mandat pour la période biennale 2017-2018</w:t>
      </w:r>
      <w:r w:rsidR="006C45F0">
        <w:rPr>
          <w:rStyle w:val="FootnoteReference"/>
        </w:rPr>
        <w:footnoteReference w:id="3"/>
      </w:r>
      <w:r w:rsidRPr="00574588">
        <w:rPr>
          <w:lang w:val="fr-FR"/>
        </w:rPr>
        <w:t>, le groupe de travail a poursuivi ses activités au titre de la filière n</w:t>
      </w:r>
      <w:r w:rsidRPr="00574588">
        <w:rPr>
          <w:vertAlign w:val="superscript"/>
          <w:lang w:val="fr-FR"/>
        </w:rPr>
        <w:t>o</w:t>
      </w:r>
      <w:r w:rsidRPr="00574588">
        <w:rPr>
          <w:lang w:val="fr-FR"/>
        </w:rPr>
        <w:t xml:space="preserve"> 2, à savoir </w:t>
      </w:r>
      <w:r w:rsidR="006C45F0">
        <w:rPr>
          <w:lang w:val="fr-FR"/>
        </w:rPr>
        <w:t>« </w:t>
      </w:r>
      <w:r w:rsidRPr="00574588">
        <w:rPr>
          <w:lang w:val="fr-FR"/>
        </w:rPr>
        <w:t>éliminer les incohérences dans la présentation des conseils de prudence dans l</w:t>
      </w:r>
      <w:r w:rsidR="006C45F0">
        <w:rPr>
          <w:lang w:val="fr-FR"/>
        </w:rPr>
        <w:t>’</w:t>
      </w:r>
      <w:r w:rsidRPr="00574588">
        <w:rPr>
          <w:lang w:val="fr-FR"/>
        </w:rPr>
        <w:t>annexe 3, et notamment examiner les disparités dans l</w:t>
      </w:r>
      <w:r w:rsidR="006C45F0">
        <w:rPr>
          <w:lang w:val="fr-FR"/>
        </w:rPr>
        <w:t>’</w:t>
      </w:r>
      <w:r w:rsidRPr="00574588">
        <w:rPr>
          <w:lang w:val="fr-FR"/>
        </w:rPr>
        <w:t>application des conseils de prudence pour différentes classes et catégories de danger</w:t>
      </w:r>
      <w:r w:rsidR="006C45F0">
        <w:rPr>
          <w:lang w:val="fr-FR"/>
        </w:rPr>
        <w:t> »</w:t>
      </w:r>
      <w:r w:rsidRPr="00574588">
        <w:rPr>
          <w:lang w:val="fr-FR"/>
        </w:rPr>
        <w:t>.</w:t>
      </w:r>
    </w:p>
    <w:p w:rsidR="00574588" w:rsidRPr="00574588" w:rsidRDefault="00574588" w:rsidP="00574588">
      <w:pPr>
        <w:pStyle w:val="SingleTxtG"/>
        <w:rPr>
          <w:lang w:val="fr-FR"/>
        </w:rPr>
      </w:pPr>
      <w:r w:rsidRPr="00574588">
        <w:rPr>
          <w:lang w:val="fr-FR"/>
        </w:rPr>
        <w:t>2.</w:t>
      </w:r>
      <w:r w:rsidRPr="00574588">
        <w:rPr>
          <w:lang w:val="fr-FR"/>
        </w:rPr>
        <w:tab/>
        <w:t>Le présent document expose les conclusions des travaux menés par le groupe au titre du point 7 de son plan de travail (voir document INF.12/Rev.1 (trente-deuxième session)), qui porte sur la questions suivante</w:t>
      </w:r>
      <w:r w:rsidR="006C45F0">
        <w:rPr>
          <w:lang w:val="fr-FR"/>
        </w:rPr>
        <w:t> </w:t>
      </w:r>
      <w:r w:rsidRPr="00574588">
        <w:rPr>
          <w:lang w:val="fr-FR"/>
        </w:rPr>
        <w:t xml:space="preserve">: </w:t>
      </w:r>
      <w:r w:rsidR="006C45F0">
        <w:rPr>
          <w:lang w:val="fr-FR"/>
        </w:rPr>
        <w:t>« </w:t>
      </w:r>
      <w:r w:rsidRPr="00574588">
        <w:rPr>
          <w:lang w:val="fr-FR"/>
        </w:rPr>
        <w:t>Un certain nombre de classes de danger comportent des sous-catégories qui peuvent être utilisées par les autorités compétentes et l</w:t>
      </w:r>
      <w:r w:rsidR="006C45F0">
        <w:rPr>
          <w:lang w:val="fr-FR"/>
        </w:rPr>
        <w:t>’</w:t>
      </w:r>
      <w:r w:rsidRPr="00574588">
        <w:rPr>
          <w:lang w:val="fr-FR"/>
        </w:rPr>
        <w:t>industrie lorsque les données nécessaires sont disponibles, par exemple dans le cas des catégories de corrosion cutanée/irritation cutanée 1, 1A, 1B et 1C. Cependant, il n</w:t>
      </w:r>
      <w:r w:rsidR="006C45F0">
        <w:rPr>
          <w:lang w:val="fr-FR"/>
        </w:rPr>
        <w:t>’</w:t>
      </w:r>
      <w:r w:rsidRPr="00574588">
        <w:rPr>
          <w:lang w:val="fr-FR"/>
        </w:rPr>
        <w:t>en est pas toujours bien tenu compte dans la présentation des conseils de prudence aux sections 2 et 3 de l</w:t>
      </w:r>
      <w:r w:rsidR="006C45F0">
        <w:rPr>
          <w:lang w:val="fr-FR"/>
        </w:rPr>
        <w:t>’</w:t>
      </w:r>
      <w:r w:rsidRPr="00574588">
        <w:rPr>
          <w:lang w:val="fr-FR"/>
        </w:rPr>
        <w:t>annexe 3. »</w:t>
      </w:r>
      <w:r w:rsidR="001944EE">
        <w:rPr>
          <w:lang w:val="fr-FR"/>
        </w:rPr>
        <w:t>.</w:t>
      </w:r>
    </w:p>
    <w:p w:rsidR="00574588" w:rsidRPr="00574588" w:rsidRDefault="00574588" w:rsidP="00574588">
      <w:pPr>
        <w:pStyle w:val="SingleTxtG"/>
        <w:rPr>
          <w:lang w:val="fr-FR"/>
        </w:rPr>
      </w:pPr>
      <w:r w:rsidRPr="00574588">
        <w:rPr>
          <w:lang w:val="fr-FR"/>
        </w:rPr>
        <w:t>3.</w:t>
      </w:r>
      <w:r w:rsidRPr="00574588">
        <w:rPr>
          <w:lang w:val="fr-FR"/>
        </w:rPr>
        <w:tab/>
        <w:t>Dans le cadre de ces travaux, le groupe de travail informel a relevé qu</w:t>
      </w:r>
      <w:r w:rsidR="006C45F0">
        <w:rPr>
          <w:lang w:val="fr-FR"/>
        </w:rPr>
        <w:t>’</w:t>
      </w:r>
      <w:r w:rsidRPr="00574588">
        <w:rPr>
          <w:lang w:val="fr-FR"/>
        </w:rPr>
        <w:t xml:space="preserve">il faudrait apporter une modification connexe au tableau 3.3.5 du chapitre 3.3. Comme cela ne relève pas du mandat du groupe, la proposition est soumise dans un document distinct, intitulé </w:t>
      </w:r>
      <w:r w:rsidRPr="00574588">
        <w:rPr>
          <w:lang w:val="fr-FR"/>
        </w:rPr>
        <w:lastRenderedPageBreak/>
        <w:t>« Proposition de modification à apporter au chapitre 3.3 du SGH afin de prendre en compte les sous-catégories de danger</w:t>
      </w:r>
      <w:r w:rsidR="006C45F0" w:rsidRPr="006C45F0">
        <w:rPr>
          <w:lang w:val="fr-FR"/>
        </w:rPr>
        <w:t> »</w:t>
      </w:r>
      <w:r w:rsidRPr="00574588">
        <w:rPr>
          <w:lang w:val="fr-FR"/>
        </w:rPr>
        <w:t xml:space="preserve"> (ST/SG/AC.10/C.4/2018/4). Le Sous-Comité est également invité à noter que les nouveaux conseils de prudence relatifs à la consultation d</w:t>
      </w:r>
      <w:r w:rsidR="006C45F0">
        <w:rPr>
          <w:lang w:val="fr-FR"/>
        </w:rPr>
        <w:t>’</w:t>
      </w:r>
      <w:r w:rsidRPr="00574588">
        <w:rPr>
          <w:lang w:val="fr-FR"/>
        </w:rPr>
        <w:t>un médecin font l</w:t>
      </w:r>
      <w:r w:rsidR="006C45F0">
        <w:rPr>
          <w:lang w:val="fr-FR"/>
        </w:rPr>
        <w:t>’</w:t>
      </w:r>
      <w:r w:rsidRPr="00574588">
        <w:rPr>
          <w:lang w:val="fr-FR"/>
        </w:rPr>
        <w:t>objet d</w:t>
      </w:r>
      <w:r w:rsidR="006C45F0">
        <w:rPr>
          <w:lang w:val="fr-FR"/>
        </w:rPr>
        <w:t>’</w:t>
      </w:r>
      <w:r w:rsidRPr="00574588">
        <w:rPr>
          <w:lang w:val="fr-FR"/>
        </w:rPr>
        <w:t>un troisième document (ST/SG/SC.10/C.4/2018/13).</w:t>
      </w:r>
    </w:p>
    <w:p w:rsidR="00574588" w:rsidRPr="00574588" w:rsidRDefault="00574588" w:rsidP="006C45F0">
      <w:pPr>
        <w:pStyle w:val="HChG"/>
        <w:rPr>
          <w:lang w:val="fr-FR"/>
        </w:rPr>
      </w:pPr>
      <w:r w:rsidRPr="00574588">
        <w:rPr>
          <w:lang w:val="fr-FR"/>
        </w:rPr>
        <w:tab/>
      </w:r>
      <w:r w:rsidRPr="00574588">
        <w:rPr>
          <w:lang w:val="fr-FR"/>
        </w:rPr>
        <w:tab/>
        <w:t>Conclusions et proposition</w:t>
      </w:r>
    </w:p>
    <w:p w:rsidR="00574588" w:rsidRPr="00574588" w:rsidRDefault="00574588" w:rsidP="00574588">
      <w:pPr>
        <w:pStyle w:val="SingleTxtG"/>
        <w:rPr>
          <w:lang w:val="fr-FR"/>
        </w:rPr>
      </w:pPr>
      <w:r w:rsidRPr="00574588">
        <w:rPr>
          <w:lang w:val="fr-FR"/>
        </w:rPr>
        <w:t>4.</w:t>
      </w:r>
      <w:r w:rsidRPr="00574588">
        <w:rPr>
          <w:lang w:val="fr-FR"/>
        </w:rPr>
        <w:tab/>
        <w:t>Il ressort des travaux du groupe qu</w:t>
      </w:r>
      <w:r w:rsidR="006C45F0">
        <w:rPr>
          <w:lang w:val="fr-FR"/>
        </w:rPr>
        <w:t>’</w:t>
      </w:r>
      <w:r w:rsidRPr="00574588">
        <w:rPr>
          <w:lang w:val="fr-FR"/>
        </w:rPr>
        <w:t>il n</w:t>
      </w:r>
      <w:r w:rsidR="006C45F0">
        <w:rPr>
          <w:lang w:val="fr-FR"/>
        </w:rPr>
        <w:t>’</w:t>
      </w:r>
      <w:r w:rsidRPr="00574588">
        <w:rPr>
          <w:lang w:val="fr-FR"/>
        </w:rPr>
        <w:t>existe que deux classes de danger pour lesquelles les sous-catégories ne sont pas correctement représentées à l</w:t>
      </w:r>
      <w:r w:rsidR="006C45F0">
        <w:rPr>
          <w:lang w:val="fr-FR"/>
        </w:rPr>
        <w:t>’</w:t>
      </w:r>
      <w:r w:rsidRPr="00574588">
        <w:rPr>
          <w:lang w:val="fr-FR"/>
        </w:rPr>
        <w:t>annexe 1 et aux sections 1, 2 et 3 de l</w:t>
      </w:r>
      <w:r w:rsidR="006C45F0">
        <w:rPr>
          <w:lang w:val="fr-FR"/>
        </w:rPr>
        <w:t>’</w:t>
      </w:r>
      <w:r w:rsidRPr="00574588">
        <w:rPr>
          <w:lang w:val="fr-FR"/>
        </w:rPr>
        <w:t>annexe 3, à savoir les suivantes :</w:t>
      </w:r>
    </w:p>
    <w:p w:rsidR="00574588" w:rsidRPr="00574588" w:rsidRDefault="00574588" w:rsidP="006C45F0">
      <w:pPr>
        <w:pStyle w:val="SingleTxtG"/>
        <w:ind w:left="2268" w:hanging="567"/>
        <w:rPr>
          <w:lang w:val="fr-FR"/>
        </w:rPr>
      </w:pPr>
      <w:r w:rsidRPr="00574588">
        <w:rPr>
          <w:lang w:val="fr-FR"/>
        </w:rPr>
        <w:t>a)</w:t>
      </w:r>
      <w:r w:rsidRPr="00574588">
        <w:rPr>
          <w:lang w:val="fr-FR"/>
        </w:rPr>
        <w:tab/>
        <w:t>Corrosion cutanée/irritation cutanée, pour laquelle une affectation à la catégorie 1 n</w:t>
      </w:r>
      <w:r w:rsidR="006C45F0">
        <w:rPr>
          <w:lang w:val="fr-FR"/>
        </w:rPr>
        <w:t>’</w:t>
      </w:r>
      <w:r w:rsidRPr="00574588">
        <w:rPr>
          <w:lang w:val="fr-FR"/>
        </w:rPr>
        <w:t>est autorisée que si les données disponibles sont insuffisantes et qu</w:t>
      </w:r>
      <w:r w:rsidR="006C45F0">
        <w:rPr>
          <w:lang w:val="fr-FR"/>
        </w:rPr>
        <w:t>’</w:t>
      </w:r>
      <w:r w:rsidRPr="00574588">
        <w:rPr>
          <w:lang w:val="fr-FR"/>
        </w:rPr>
        <w:t>une affectation aux sous-catégories 1A, 1B ou 1C est impossible, ou si une telle classification est exigée par l</w:t>
      </w:r>
      <w:r w:rsidR="006C45F0">
        <w:rPr>
          <w:lang w:val="fr-FR"/>
        </w:rPr>
        <w:t>’</w:t>
      </w:r>
      <w:r w:rsidRPr="00574588">
        <w:rPr>
          <w:lang w:val="fr-FR"/>
        </w:rPr>
        <w:t>autorité compétente (3.2.2.1.1.2)</w:t>
      </w:r>
      <w:r w:rsidR="006C45F0">
        <w:rPr>
          <w:lang w:val="fr-FR"/>
        </w:rPr>
        <w:t> ;</w:t>
      </w:r>
    </w:p>
    <w:p w:rsidR="00574588" w:rsidRPr="00574588" w:rsidRDefault="00574588" w:rsidP="006C45F0">
      <w:pPr>
        <w:pStyle w:val="SingleTxtG"/>
        <w:ind w:left="2268" w:hanging="567"/>
        <w:rPr>
          <w:lang w:val="fr-FR"/>
        </w:rPr>
      </w:pPr>
      <w:r w:rsidRPr="00574588">
        <w:rPr>
          <w:lang w:val="fr-FR"/>
        </w:rPr>
        <w:t>b)</w:t>
      </w:r>
      <w:r w:rsidRPr="00574588">
        <w:rPr>
          <w:lang w:val="fr-FR"/>
        </w:rPr>
        <w:tab/>
        <w:t>Lésions oculaires graves/irritation oculaire, pour laquelle une affectation à la catégorie 2 n</w:t>
      </w:r>
      <w:r w:rsidR="006C45F0">
        <w:rPr>
          <w:lang w:val="fr-FR"/>
        </w:rPr>
        <w:t>’</w:t>
      </w:r>
      <w:r w:rsidRPr="00574588">
        <w:rPr>
          <w:lang w:val="fr-FR"/>
        </w:rPr>
        <w:t>est autorisée que si les données disponibles sont insuffisantes ou si l</w:t>
      </w:r>
      <w:r w:rsidR="006C45F0">
        <w:rPr>
          <w:lang w:val="fr-FR"/>
        </w:rPr>
        <w:t>’</w:t>
      </w:r>
      <w:r w:rsidRPr="00574588">
        <w:rPr>
          <w:lang w:val="fr-FR"/>
        </w:rPr>
        <w:t>autorité compétente n</w:t>
      </w:r>
      <w:r w:rsidR="006C45F0">
        <w:rPr>
          <w:lang w:val="fr-FR"/>
        </w:rPr>
        <w:t>’</w:t>
      </w:r>
      <w:r w:rsidRPr="00574588">
        <w:rPr>
          <w:lang w:val="fr-FR"/>
        </w:rPr>
        <w:t>exige pas une classification dans les sous-catégories 2A ou 2B (3.3.2.1.2.1).</w:t>
      </w:r>
    </w:p>
    <w:p w:rsidR="00574588" w:rsidRPr="00574588" w:rsidRDefault="00574588" w:rsidP="006C45F0">
      <w:pPr>
        <w:pStyle w:val="H23G"/>
        <w:rPr>
          <w:lang w:val="fr-FR"/>
        </w:rPr>
      </w:pPr>
      <w:r w:rsidRPr="00574588">
        <w:rPr>
          <w:lang w:val="fr-FR"/>
        </w:rPr>
        <w:tab/>
      </w:r>
      <w:r w:rsidRPr="00574588">
        <w:rPr>
          <w:lang w:val="fr-FR"/>
        </w:rPr>
        <w:tab/>
        <w:t>Corrosion cutanée</w:t>
      </w:r>
    </w:p>
    <w:p w:rsidR="00574588" w:rsidRPr="00574588" w:rsidRDefault="00574588" w:rsidP="00574588">
      <w:pPr>
        <w:pStyle w:val="SingleTxtG"/>
        <w:rPr>
          <w:lang w:val="fr-FR"/>
        </w:rPr>
      </w:pPr>
      <w:r w:rsidRPr="00574588">
        <w:rPr>
          <w:lang w:val="fr-FR"/>
        </w:rPr>
        <w:t>5.</w:t>
      </w:r>
      <w:r w:rsidRPr="00574588">
        <w:rPr>
          <w:lang w:val="fr-FR"/>
        </w:rPr>
        <w:tab/>
        <w:t>Afin que des conseils de prudence appropriés puissent être utilisés pour les substances appartenant à la catégorie de danger catégorie 1 ainsi que pour les sous-catégories 1A, 1B et 1C, il est nécessaire de modifier les catégories de danger associées aux conseils de prudence ci-après dans la section 2 de l</w:t>
      </w:r>
      <w:r w:rsidR="006C45F0">
        <w:rPr>
          <w:lang w:val="fr-FR"/>
        </w:rPr>
        <w:t>’</w:t>
      </w:r>
      <w:r w:rsidRPr="00574588">
        <w:rPr>
          <w:lang w:val="fr-FR"/>
        </w:rPr>
        <w:t>annexe 3 : P260, P264, P280, P301, P303, P304, P305, P310, P321, P330, P331, P338, P340, P351, P353, P361, P363, P405 et P501, ainsi que les regroupements qui incluent ces conseils.</w:t>
      </w:r>
    </w:p>
    <w:p w:rsidR="00574588" w:rsidRPr="00574588" w:rsidRDefault="00574588" w:rsidP="00574588">
      <w:pPr>
        <w:pStyle w:val="SingleTxtG"/>
        <w:rPr>
          <w:lang w:val="fr-FR"/>
        </w:rPr>
      </w:pPr>
      <w:r w:rsidRPr="00574588">
        <w:rPr>
          <w:lang w:val="fr-FR"/>
        </w:rPr>
        <w:t>6.</w:t>
      </w:r>
      <w:r w:rsidRPr="00574588">
        <w:rPr>
          <w:lang w:val="fr-FR"/>
        </w:rPr>
        <w:tab/>
        <w:t>Dans chaque cas, il s</w:t>
      </w:r>
      <w:r w:rsidR="006C45F0">
        <w:rPr>
          <w:lang w:val="fr-FR"/>
        </w:rPr>
        <w:t>’</w:t>
      </w:r>
      <w:r w:rsidRPr="00574588">
        <w:rPr>
          <w:lang w:val="fr-FR"/>
        </w:rPr>
        <w:t xml:space="preserve">agit simplement, dans la colonne 4 des tableaux A3.2.2, A3.2.3, A3.2.4 et A3.2.5, de remplacer « 1A, 1B, 1C » par « 1, 1A, 1B, 1C ». </w:t>
      </w:r>
    </w:p>
    <w:p w:rsidR="00574588" w:rsidRPr="00574588" w:rsidRDefault="00574588" w:rsidP="006C45F0">
      <w:pPr>
        <w:pStyle w:val="H23G"/>
        <w:rPr>
          <w:lang w:val="fr-FR"/>
        </w:rPr>
      </w:pPr>
      <w:r w:rsidRPr="00574588">
        <w:rPr>
          <w:lang w:val="fr-FR"/>
        </w:rPr>
        <w:tab/>
      </w:r>
      <w:r w:rsidRPr="00574588">
        <w:rPr>
          <w:lang w:val="fr-FR"/>
        </w:rPr>
        <w:tab/>
        <w:t>Lésions oculaires graves/irritation oculaire</w:t>
      </w:r>
    </w:p>
    <w:p w:rsidR="00574588" w:rsidRPr="00574588" w:rsidRDefault="00574588" w:rsidP="00574588">
      <w:pPr>
        <w:pStyle w:val="SingleTxtG"/>
        <w:rPr>
          <w:lang w:val="fr-FR"/>
        </w:rPr>
      </w:pPr>
      <w:r w:rsidRPr="00574588">
        <w:rPr>
          <w:lang w:val="fr-FR"/>
        </w:rPr>
        <w:t>7.</w:t>
      </w:r>
      <w:r w:rsidRPr="00574588">
        <w:rPr>
          <w:lang w:val="fr-FR"/>
        </w:rPr>
        <w:tab/>
        <w:t>Afin que des conseils de prudence appropriés puissent être utilisés pour les substances appartenant à la catégorie de danger 2 ainsi que pour les sous-catégories 2A et 2B, il est nécessaire de modifier les catégories de danger associées aux conseils de prudence ci-après dans la section 2 de l</w:t>
      </w:r>
      <w:r w:rsidR="006C45F0">
        <w:rPr>
          <w:lang w:val="fr-FR"/>
        </w:rPr>
        <w:t>’</w:t>
      </w:r>
      <w:r w:rsidRPr="00574588">
        <w:rPr>
          <w:lang w:val="fr-FR"/>
        </w:rPr>
        <w:t>annexe 3 : P264, P280, P305, P313, P337, P338 et P351, ainsi que les regroupements qui incluent ces conseils.</w:t>
      </w:r>
    </w:p>
    <w:p w:rsidR="00574588" w:rsidRPr="00574588" w:rsidRDefault="00574588" w:rsidP="00574588">
      <w:pPr>
        <w:pStyle w:val="SingleTxtG"/>
        <w:rPr>
          <w:lang w:val="fr-FR"/>
        </w:rPr>
      </w:pPr>
      <w:r w:rsidRPr="00574588">
        <w:rPr>
          <w:lang w:val="fr-FR"/>
        </w:rPr>
        <w:t>8.</w:t>
      </w:r>
      <w:r w:rsidRPr="00574588">
        <w:rPr>
          <w:lang w:val="fr-FR"/>
        </w:rPr>
        <w:tab/>
        <w:t>Dans chaque cas, il s</w:t>
      </w:r>
      <w:r w:rsidR="006C45F0">
        <w:rPr>
          <w:lang w:val="fr-FR"/>
        </w:rPr>
        <w:t>’</w:t>
      </w:r>
      <w:r w:rsidRPr="00574588">
        <w:rPr>
          <w:lang w:val="fr-FR"/>
        </w:rPr>
        <w:t>agit simplement, dans la colonne 4 des tableaux A3.2.2 et A3.2.3, de remplacer « 2A, 2B » par « 2/2A, 2B » ou « 2/2A », selon qu</w:t>
      </w:r>
      <w:r w:rsidR="006C45F0">
        <w:rPr>
          <w:lang w:val="fr-FR"/>
        </w:rPr>
        <w:t>’</w:t>
      </w:r>
      <w:r w:rsidRPr="00574588">
        <w:rPr>
          <w:lang w:val="fr-FR"/>
        </w:rPr>
        <w:t>il convient.</w:t>
      </w:r>
    </w:p>
    <w:p w:rsidR="00574588" w:rsidRPr="00574588" w:rsidRDefault="00574588" w:rsidP="00574588">
      <w:pPr>
        <w:pStyle w:val="SingleTxtG"/>
        <w:rPr>
          <w:lang w:val="fr-FR"/>
        </w:rPr>
      </w:pPr>
      <w:r w:rsidRPr="00574588">
        <w:rPr>
          <w:lang w:val="fr-FR"/>
        </w:rPr>
        <w:t>9.</w:t>
      </w:r>
      <w:r w:rsidRPr="00574588">
        <w:rPr>
          <w:lang w:val="fr-FR"/>
        </w:rPr>
        <w:tab/>
        <w:t>Les modifications connexes ci-après sont nécessaires</w:t>
      </w:r>
      <w:r w:rsidR="006C45F0">
        <w:rPr>
          <w:lang w:val="fr-FR"/>
        </w:rPr>
        <w:t> </w:t>
      </w:r>
      <w:r w:rsidRPr="00574588">
        <w:rPr>
          <w:lang w:val="fr-FR"/>
        </w:rPr>
        <w:t>:</w:t>
      </w:r>
    </w:p>
    <w:p w:rsidR="00574588" w:rsidRPr="00574588" w:rsidRDefault="00574588" w:rsidP="006C45F0">
      <w:pPr>
        <w:pStyle w:val="SingleTxtG"/>
        <w:ind w:left="1701"/>
        <w:rPr>
          <w:lang w:val="fr-FR"/>
        </w:rPr>
      </w:pPr>
      <w:r w:rsidRPr="00574588">
        <w:rPr>
          <w:lang w:val="fr-FR"/>
        </w:rPr>
        <w:t>a)</w:t>
      </w:r>
      <w:r w:rsidRPr="00574588">
        <w:rPr>
          <w:lang w:val="fr-FR"/>
        </w:rPr>
        <w:tab/>
        <w:t>Section 1 de l</w:t>
      </w:r>
      <w:r w:rsidR="006C45F0">
        <w:rPr>
          <w:lang w:val="fr-FR"/>
        </w:rPr>
        <w:t>’</w:t>
      </w:r>
      <w:r w:rsidRPr="00574588">
        <w:rPr>
          <w:lang w:val="fr-FR"/>
        </w:rPr>
        <w:t>annexe 3, tableau A3.1.2</w:t>
      </w:r>
      <w:r w:rsidR="001944EE">
        <w:rPr>
          <w:lang w:val="fr-FR"/>
        </w:rPr>
        <w:t> </w:t>
      </w:r>
      <w:r w:rsidRPr="00574588">
        <w:rPr>
          <w:lang w:val="fr-FR"/>
        </w:rPr>
        <w:t>:</w:t>
      </w:r>
    </w:p>
    <w:p w:rsidR="00574588" w:rsidRPr="00574588" w:rsidRDefault="00574588" w:rsidP="006C45F0">
      <w:pPr>
        <w:pStyle w:val="Bullet2G"/>
        <w:rPr>
          <w:lang w:val="fr-FR"/>
        </w:rPr>
      </w:pPr>
      <w:r w:rsidRPr="00574588">
        <w:rPr>
          <w:lang w:val="fr-FR"/>
        </w:rPr>
        <w:t xml:space="preserve">Dans la colonne 4, à la rubrique H314, remplacer </w:t>
      </w:r>
      <w:r w:rsidR="001944EE">
        <w:rPr>
          <w:lang w:val="fr-FR"/>
        </w:rPr>
        <w:t>« </w:t>
      </w:r>
      <w:r w:rsidRPr="00574588">
        <w:rPr>
          <w:lang w:val="fr-FR"/>
        </w:rPr>
        <w:t>1A, 1B, 1C</w:t>
      </w:r>
      <w:r w:rsidR="001944EE">
        <w:rPr>
          <w:lang w:val="fr-FR"/>
        </w:rPr>
        <w:t> »</w:t>
      </w:r>
      <w:r w:rsidRPr="00574588">
        <w:rPr>
          <w:lang w:val="fr-FR"/>
        </w:rPr>
        <w:t xml:space="preserve"> par </w:t>
      </w:r>
      <w:r w:rsidR="001944EE">
        <w:rPr>
          <w:lang w:val="fr-FR"/>
        </w:rPr>
        <w:t>« </w:t>
      </w:r>
      <w:r w:rsidRPr="00574588">
        <w:rPr>
          <w:lang w:val="fr-FR"/>
        </w:rPr>
        <w:t>1, 1A, 1B, 1C</w:t>
      </w:r>
      <w:r w:rsidR="001944EE">
        <w:rPr>
          <w:lang w:val="fr-FR"/>
        </w:rPr>
        <w:t> » </w:t>
      </w:r>
      <w:r w:rsidR="006C45F0">
        <w:rPr>
          <w:lang w:val="fr-FR"/>
        </w:rPr>
        <w:t>;</w:t>
      </w:r>
    </w:p>
    <w:p w:rsidR="00574588" w:rsidRPr="00574588" w:rsidRDefault="00574588" w:rsidP="006C45F0">
      <w:pPr>
        <w:pStyle w:val="Bullet2G"/>
        <w:rPr>
          <w:lang w:val="fr-FR"/>
        </w:rPr>
      </w:pPr>
      <w:r w:rsidRPr="00574588">
        <w:rPr>
          <w:lang w:val="fr-FR"/>
        </w:rPr>
        <w:t xml:space="preserve">À la rubrique H319, remplacer </w:t>
      </w:r>
      <w:r w:rsidR="001944EE">
        <w:rPr>
          <w:lang w:val="fr-FR"/>
        </w:rPr>
        <w:t>« </w:t>
      </w:r>
      <w:r w:rsidRPr="00574588">
        <w:rPr>
          <w:lang w:val="fr-FR"/>
        </w:rPr>
        <w:t>2A</w:t>
      </w:r>
      <w:r w:rsidR="001944EE">
        <w:rPr>
          <w:lang w:val="fr-FR"/>
        </w:rPr>
        <w:t> »</w:t>
      </w:r>
      <w:r w:rsidRPr="00574588">
        <w:rPr>
          <w:lang w:val="fr-FR"/>
        </w:rPr>
        <w:t xml:space="preserve"> par </w:t>
      </w:r>
      <w:r w:rsidR="001944EE">
        <w:rPr>
          <w:lang w:val="fr-FR"/>
        </w:rPr>
        <w:t>« </w:t>
      </w:r>
      <w:r w:rsidRPr="00574588">
        <w:rPr>
          <w:lang w:val="fr-FR"/>
        </w:rPr>
        <w:t>2/2A</w:t>
      </w:r>
      <w:r w:rsidR="001944EE">
        <w:rPr>
          <w:lang w:val="fr-FR"/>
        </w:rPr>
        <w:t> »</w:t>
      </w:r>
      <w:r w:rsidR="006C45F0">
        <w:rPr>
          <w:lang w:val="fr-FR"/>
        </w:rPr>
        <w:t> </w:t>
      </w:r>
      <w:r w:rsidRPr="00574588">
        <w:rPr>
          <w:lang w:val="fr-FR"/>
        </w:rPr>
        <w:t>;</w:t>
      </w:r>
    </w:p>
    <w:p w:rsidR="00574588" w:rsidRPr="00574588" w:rsidRDefault="00574588" w:rsidP="006C45F0">
      <w:pPr>
        <w:pStyle w:val="SingleTxtG"/>
        <w:ind w:left="1701"/>
        <w:rPr>
          <w:lang w:val="fr-FR"/>
        </w:rPr>
      </w:pPr>
      <w:r w:rsidRPr="00574588">
        <w:rPr>
          <w:lang w:val="fr-FR"/>
        </w:rPr>
        <w:t>b)</w:t>
      </w:r>
      <w:r w:rsidRPr="00574588">
        <w:rPr>
          <w:lang w:val="fr-FR"/>
        </w:rPr>
        <w:tab/>
        <w:t>Section 3 de l</w:t>
      </w:r>
      <w:r w:rsidR="006C45F0">
        <w:rPr>
          <w:lang w:val="fr-FR"/>
        </w:rPr>
        <w:t>’</w:t>
      </w:r>
      <w:r w:rsidRPr="00574588">
        <w:rPr>
          <w:lang w:val="fr-FR"/>
        </w:rPr>
        <w:t>annexe 3</w:t>
      </w:r>
      <w:r w:rsidR="006C45F0">
        <w:rPr>
          <w:lang w:val="fr-FR"/>
        </w:rPr>
        <w:t> </w:t>
      </w:r>
      <w:r w:rsidRPr="00574588">
        <w:rPr>
          <w:lang w:val="fr-FR"/>
        </w:rPr>
        <w:t>:</w:t>
      </w:r>
    </w:p>
    <w:p w:rsidR="00574588" w:rsidRPr="00574588" w:rsidRDefault="00574588" w:rsidP="006C45F0">
      <w:pPr>
        <w:pStyle w:val="Bullet2G"/>
        <w:rPr>
          <w:lang w:val="fr-FR"/>
        </w:rPr>
      </w:pPr>
      <w:r w:rsidRPr="00574588">
        <w:rPr>
          <w:lang w:val="fr-FR"/>
        </w:rPr>
        <w:t xml:space="preserve">Sur la première page du tableau intitulé </w:t>
      </w:r>
      <w:r w:rsidR="001944EE">
        <w:rPr>
          <w:lang w:val="fr-FR"/>
        </w:rPr>
        <w:t>« </w:t>
      </w:r>
      <w:r w:rsidRPr="00574588">
        <w:rPr>
          <w:lang w:val="fr-FR"/>
        </w:rPr>
        <w:t>Corrosion cutanée/Irritation cutanée</w:t>
      </w:r>
      <w:r w:rsidR="001944EE">
        <w:rPr>
          <w:lang w:val="fr-FR"/>
        </w:rPr>
        <w:t> »</w:t>
      </w:r>
      <w:r w:rsidRPr="00574588">
        <w:rPr>
          <w:lang w:val="fr-FR"/>
        </w:rPr>
        <w:t xml:space="preserve">, sous </w:t>
      </w:r>
      <w:r w:rsidR="001944EE">
        <w:rPr>
          <w:lang w:val="fr-FR"/>
        </w:rPr>
        <w:t>« </w:t>
      </w:r>
      <w:r w:rsidRPr="00574588">
        <w:rPr>
          <w:lang w:val="fr-FR"/>
        </w:rPr>
        <w:t>Catégorie de danger</w:t>
      </w:r>
      <w:r w:rsidR="001944EE">
        <w:rPr>
          <w:lang w:val="fr-FR"/>
        </w:rPr>
        <w:t> »</w:t>
      </w:r>
      <w:r w:rsidRPr="00574588">
        <w:rPr>
          <w:lang w:val="fr-FR"/>
        </w:rPr>
        <w:t xml:space="preserve">, remplacer </w:t>
      </w:r>
      <w:r w:rsidR="001944EE">
        <w:rPr>
          <w:lang w:val="fr-FR"/>
        </w:rPr>
        <w:t>« </w:t>
      </w:r>
      <w:r w:rsidRPr="00574588">
        <w:rPr>
          <w:lang w:val="fr-FR"/>
        </w:rPr>
        <w:t>1A à 1C</w:t>
      </w:r>
      <w:r w:rsidR="001944EE">
        <w:rPr>
          <w:lang w:val="fr-FR"/>
        </w:rPr>
        <w:t> »</w:t>
      </w:r>
      <w:r w:rsidRPr="00574588">
        <w:rPr>
          <w:lang w:val="fr-FR"/>
        </w:rPr>
        <w:t xml:space="preserve"> par </w:t>
      </w:r>
      <w:r w:rsidR="001944EE">
        <w:rPr>
          <w:lang w:val="fr-FR"/>
        </w:rPr>
        <w:t>« </w:t>
      </w:r>
      <w:r w:rsidRPr="00574588">
        <w:rPr>
          <w:lang w:val="fr-FR"/>
        </w:rPr>
        <w:t>1, 1A à</w:t>
      </w:r>
      <w:r w:rsidR="001944EE">
        <w:rPr>
          <w:lang w:val="fr-FR"/>
        </w:rPr>
        <w:t> </w:t>
      </w:r>
      <w:r w:rsidRPr="00574588">
        <w:rPr>
          <w:lang w:val="fr-FR"/>
        </w:rPr>
        <w:t>1C</w:t>
      </w:r>
      <w:r w:rsidR="001944EE">
        <w:rPr>
          <w:lang w:val="fr-FR"/>
        </w:rPr>
        <w:t> »</w:t>
      </w:r>
      <w:r w:rsidR="006C45F0">
        <w:rPr>
          <w:lang w:val="fr-FR"/>
        </w:rPr>
        <w:t> </w:t>
      </w:r>
      <w:r w:rsidRPr="00574588">
        <w:rPr>
          <w:lang w:val="fr-FR"/>
        </w:rPr>
        <w:t>;</w:t>
      </w:r>
    </w:p>
    <w:p w:rsidR="00574588" w:rsidRPr="00574588" w:rsidRDefault="00574588" w:rsidP="006C45F0">
      <w:pPr>
        <w:pStyle w:val="Bullet2G"/>
        <w:rPr>
          <w:lang w:val="fr-FR"/>
        </w:rPr>
      </w:pPr>
      <w:r w:rsidRPr="00574588">
        <w:rPr>
          <w:lang w:val="fr-FR"/>
        </w:rPr>
        <w:t xml:space="preserve">Sur la deuxième page du tableau intitulé </w:t>
      </w:r>
      <w:r w:rsidR="001944EE">
        <w:rPr>
          <w:lang w:val="fr-FR"/>
        </w:rPr>
        <w:t>« </w:t>
      </w:r>
      <w:r w:rsidRPr="00574588">
        <w:rPr>
          <w:lang w:val="fr-FR"/>
        </w:rPr>
        <w:t>Lésions oculaires graves/Irritation oculaire</w:t>
      </w:r>
      <w:r w:rsidR="001944EE">
        <w:rPr>
          <w:lang w:val="fr-FR"/>
        </w:rPr>
        <w:t> »</w:t>
      </w:r>
      <w:r w:rsidRPr="00574588">
        <w:rPr>
          <w:lang w:val="fr-FR"/>
        </w:rPr>
        <w:t xml:space="preserve">, sous </w:t>
      </w:r>
      <w:r w:rsidR="001944EE">
        <w:rPr>
          <w:lang w:val="fr-FR"/>
        </w:rPr>
        <w:t>« </w:t>
      </w:r>
      <w:r w:rsidRPr="00574588">
        <w:rPr>
          <w:lang w:val="fr-FR"/>
        </w:rPr>
        <w:t>Catégorie de danger</w:t>
      </w:r>
      <w:r w:rsidR="001944EE">
        <w:rPr>
          <w:lang w:val="fr-FR"/>
        </w:rPr>
        <w:t> »</w:t>
      </w:r>
      <w:r w:rsidRPr="00574588">
        <w:rPr>
          <w:lang w:val="fr-FR"/>
        </w:rPr>
        <w:t xml:space="preserve">, remplacer </w:t>
      </w:r>
      <w:r w:rsidR="001944EE">
        <w:rPr>
          <w:lang w:val="fr-FR"/>
        </w:rPr>
        <w:t>« </w:t>
      </w:r>
      <w:r w:rsidRPr="00574588">
        <w:rPr>
          <w:lang w:val="fr-FR"/>
        </w:rPr>
        <w:t>2A</w:t>
      </w:r>
      <w:r w:rsidR="001944EE">
        <w:rPr>
          <w:lang w:val="fr-FR"/>
        </w:rPr>
        <w:t> »</w:t>
      </w:r>
      <w:r w:rsidRPr="00574588">
        <w:rPr>
          <w:lang w:val="fr-FR"/>
        </w:rPr>
        <w:t xml:space="preserve"> par </w:t>
      </w:r>
      <w:r w:rsidR="001944EE">
        <w:rPr>
          <w:lang w:val="fr-FR"/>
        </w:rPr>
        <w:t>« </w:t>
      </w:r>
      <w:r w:rsidRPr="00574588">
        <w:rPr>
          <w:lang w:val="fr-FR"/>
        </w:rPr>
        <w:t>2/2A</w:t>
      </w:r>
      <w:r w:rsidR="001944EE">
        <w:rPr>
          <w:lang w:val="fr-FR"/>
        </w:rPr>
        <w:t> »</w:t>
      </w:r>
      <w:r w:rsidRPr="00574588">
        <w:rPr>
          <w:lang w:val="fr-FR"/>
        </w:rPr>
        <w:t>.</w:t>
      </w:r>
    </w:p>
    <w:p w:rsidR="00574588" w:rsidRDefault="00574588" w:rsidP="00CB366F">
      <w:pPr>
        <w:pStyle w:val="SingleTxtG"/>
        <w:keepNext/>
        <w:keepLines/>
        <w:rPr>
          <w:lang w:val="fr-FR"/>
        </w:rPr>
      </w:pPr>
      <w:r w:rsidRPr="00574588">
        <w:rPr>
          <w:lang w:val="fr-FR"/>
        </w:rPr>
        <w:lastRenderedPageBreak/>
        <w:t>10.</w:t>
      </w:r>
      <w:r w:rsidRPr="00574588">
        <w:rPr>
          <w:lang w:val="fr-FR"/>
        </w:rPr>
        <w:tab/>
        <w:t>En outre, il a été relevé que dans les tableaux de conseils de prudence par classe et catégorie de danger de la section 3 de l</w:t>
      </w:r>
      <w:r w:rsidR="006C45F0">
        <w:rPr>
          <w:lang w:val="fr-FR"/>
        </w:rPr>
        <w:t>’</w:t>
      </w:r>
      <w:r w:rsidRPr="00574588">
        <w:rPr>
          <w:lang w:val="fr-FR"/>
        </w:rPr>
        <w:t xml:space="preserve">annexe 3, la catégorie de danger pour les classes de danger </w:t>
      </w:r>
      <w:r w:rsidR="001944EE">
        <w:rPr>
          <w:lang w:val="fr-FR"/>
        </w:rPr>
        <w:t>« </w:t>
      </w:r>
      <w:r w:rsidRPr="00574588">
        <w:rPr>
          <w:lang w:val="fr-FR"/>
        </w:rPr>
        <w:t>Mutagénicité sur les cellules germinales</w:t>
      </w:r>
      <w:r w:rsidR="001944EE">
        <w:rPr>
          <w:lang w:val="fr-FR"/>
        </w:rPr>
        <w:t> »</w:t>
      </w:r>
      <w:r w:rsidRPr="00574588">
        <w:rPr>
          <w:lang w:val="fr-FR"/>
        </w:rPr>
        <w:t xml:space="preserve">, </w:t>
      </w:r>
      <w:r w:rsidR="001944EE">
        <w:rPr>
          <w:lang w:val="fr-FR"/>
        </w:rPr>
        <w:t>« </w:t>
      </w:r>
      <w:r w:rsidRPr="00574588">
        <w:rPr>
          <w:lang w:val="fr-FR"/>
        </w:rPr>
        <w:t>Cancérogénicité</w:t>
      </w:r>
      <w:r w:rsidR="001944EE">
        <w:rPr>
          <w:lang w:val="fr-FR"/>
        </w:rPr>
        <w:t> »</w:t>
      </w:r>
      <w:r w:rsidRPr="00574588">
        <w:rPr>
          <w:lang w:val="fr-FR"/>
        </w:rPr>
        <w:t xml:space="preserve"> et </w:t>
      </w:r>
      <w:r w:rsidR="001944EE">
        <w:rPr>
          <w:lang w:val="fr-FR"/>
        </w:rPr>
        <w:t>« </w:t>
      </w:r>
      <w:r w:rsidRPr="00574588">
        <w:rPr>
          <w:lang w:val="fr-FR"/>
        </w:rPr>
        <w:t>Toxicité pour la reproduction</w:t>
      </w:r>
      <w:r w:rsidR="001944EE">
        <w:rPr>
          <w:lang w:val="fr-FR"/>
        </w:rPr>
        <w:t> »</w:t>
      </w:r>
      <w:r w:rsidRPr="00574588">
        <w:rPr>
          <w:lang w:val="fr-FR"/>
        </w:rPr>
        <w:t xml:space="preserve"> devrait être </w:t>
      </w:r>
      <w:r w:rsidR="001944EE">
        <w:rPr>
          <w:lang w:val="fr-FR"/>
        </w:rPr>
        <w:t>« </w:t>
      </w:r>
      <w:r w:rsidRPr="00574588">
        <w:rPr>
          <w:lang w:val="fr-FR"/>
        </w:rPr>
        <w:t>1A, 1B</w:t>
      </w:r>
      <w:r w:rsidR="001944EE">
        <w:rPr>
          <w:lang w:val="fr-FR"/>
        </w:rPr>
        <w:t> »</w:t>
      </w:r>
      <w:r w:rsidRPr="00574588">
        <w:rPr>
          <w:lang w:val="fr-FR"/>
        </w:rPr>
        <w:t xml:space="preserve"> et non </w:t>
      </w:r>
      <w:r w:rsidR="001944EE">
        <w:rPr>
          <w:lang w:val="fr-FR"/>
        </w:rPr>
        <w:t>« </w:t>
      </w:r>
      <w:r w:rsidRPr="00574588">
        <w:rPr>
          <w:lang w:val="fr-FR"/>
        </w:rPr>
        <w:t>1</w:t>
      </w:r>
      <w:r w:rsidR="001944EE">
        <w:rPr>
          <w:lang w:val="fr-FR"/>
        </w:rPr>
        <w:t> »</w:t>
      </w:r>
      <w:r w:rsidRPr="00574588">
        <w:rPr>
          <w:lang w:val="fr-FR"/>
        </w:rPr>
        <w:t>.</w:t>
      </w:r>
    </w:p>
    <w:p w:rsidR="00574588" w:rsidRPr="00574588" w:rsidRDefault="00574588" w:rsidP="001944EE">
      <w:pPr>
        <w:pStyle w:val="HChG"/>
        <w:rPr>
          <w:lang w:val="fr-FR"/>
        </w:rPr>
      </w:pPr>
      <w:r w:rsidRPr="00574588">
        <w:rPr>
          <w:lang w:val="fr-FR"/>
        </w:rPr>
        <w:tab/>
      </w:r>
      <w:r w:rsidRPr="00574588">
        <w:rPr>
          <w:lang w:val="fr-FR"/>
        </w:rPr>
        <w:tab/>
        <w:t>Mesures demandées</w:t>
      </w:r>
    </w:p>
    <w:p w:rsidR="00574588" w:rsidRDefault="00574588" w:rsidP="00574588">
      <w:pPr>
        <w:pStyle w:val="SingleTxtG"/>
      </w:pPr>
      <w:r w:rsidRPr="00574588">
        <w:rPr>
          <w:lang w:val="fr-FR"/>
        </w:rPr>
        <w:t>11.</w:t>
      </w:r>
      <w:r w:rsidRPr="00574588">
        <w:rPr>
          <w:lang w:val="fr-FR"/>
        </w:rPr>
        <w:tab/>
        <w:t>Le Sous-Comité est invité à approuver les modifications qu</w:t>
      </w:r>
      <w:r w:rsidR="006C45F0">
        <w:rPr>
          <w:lang w:val="fr-FR"/>
        </w:rPr>
        <w:t>’</w:t>
      </w:r>
      <w:r w:rsidRPr="00574588">
        <w:rPr>
          <w:lang w:val="fr-FR"/>
        </w:rPr>
        <w:t>il est proposé d</w:t>
      </w:r>
      <w:r w:rsidR="006C45F0">
        <w:rPr>
          <w:lang w:val="fr-FR"/>
        </w:rPr>
        <w:t>’</w:t>
      </w:r>
      <w:r w:rsidRPr="00574588">
        <w:rPr>
          <w:lang w:val="fr-FR"/>
        </w:rPr>
        <w:t>apporter à l</w:t>
      </w:r>
      <w:r w:rsidR="006C45F0">
        <w:rPr>
          <w:lang w:val="fr-FR"/>
        </w:rPr>
        <w:t>’</w:t>
      </w:r>
      <w:r w:rsidRPr="00574588">
        <w:rPr>
          <w:lang w:val="fr-FR"/>
        </w:rPr>
        <w:t>annexe 1 et aux sections 1, 2 et 3 de l</w:t>
      </w:r>
      <w:r w:rsidR="006C45F0">
        <w:rPr>
          <w:lang w:val="fr-FR"/>
        </w:rPr>
        <w:t>’</w:t>
      </w:r>
      <w:r w:rsidRPr="00574588">
        <w:rPr>
          <w:lang w:val="fr-FR"/>
        </w:rPr>
        <w:t>annexe 3 du SGH, telles qu</w:t>
      </w:r>
      <w:r w:rsidR="006C45F0">
        <w:rPr>
          <w:lang w:val="fr-FR"/>
        </w:rPr>
        <w:t>’</w:t>
      </w:r>
      <w:r w:rsidRPr="00574588">
        <w:rPr>
          <w:lang w:val="fr-FR"/>
        </w:rPr>
        <w:t>énoncées aux paragraphes 4 à 10 ci-dessus et dans le document informel INF.7.</w:t>
      </w:r>
    </w:p>
    <w:p w:rsidR="00574588" w:rsidRPr="001944EE" w:rsidRDefault="001944EE" w:rsidP="001944E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74588" w:rsidRPr="001944EE" w:rsidSect="0057458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D7A" w:rsidRDefault="00E70D7A" w:rsidP="00F95C08">
      <w:pPr>
        <w:spacing w:line="240" w:lineRule="auto"/>
      </w:pPr>
    </w:p>
  </w:endnote>
  <w:endnote w:type="continuationSeparator" w:id="0">
    <w:p w:rsidR="00E70D7A" w:rsidRPr="00AC3823" w:rsidRDefault="00E70D7A" w:rsidP="00AC3823">
      <w:pPr>
        <w:pStyle w:val="Footer"/>
      </w:pPr>
    </w:p>
  </w:endnote>
  <w:endnote w:type="continuationNotice" w:id="1">
    <w:p w:rsidR="00E70D7A" w:rsidRDefault="00E70D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588" w:rsidRPr="00574588" w:rsidRDefault="00574588" w:rsidP="00574588">
    <w:pPr>
      <w:pStyle w:val="Footer"/>
      <w:tabs>
        <w:tab w:val="right" w:pos="9638"/>
      </w:tabs>
    </w:pPr>
    <w:r w:rsidRPr="00574588">
      <w:rPr>
        <w:b/>
        <w:sz w:val="18"/>
      </w:rPr>
      <w:fldChar w:fldCharType="begin"/>
    </w:r>
    <w:r w:rsidRPr="00574588">
      <w:rPr>
        <w:b/>
        <w:sz w:val="18"/>
      </w:rPr>
      <w:instrText xml:space="preserve"> PAGE  \* MERGEFORMAT </w:instrText>
    </w:r>
    <w:r w:rsidRPr="00574588">
      <w:rPr>
        <w:b/>
        <w:sz w:val="18"/>
      </w:rPr>
      <w:fldChar w:fldCharType="separate"/>
    </w:r>
    <w:r w:rsidR="003829C9">
      <w:rPr>
        <w:b/>
        <w:noProof/>
        <w:sz w:val="18"/>
      </w:rPr>
      <w:t>2</w:t>
    </w:r>
    <w:r w:rsidRPr="00574588">
      <w:rPr>
        <w:b/>
        <w:sz w:val="18"/>
      </w:rPr>
      <w:fldChar w:fldCharType="end"/>
    </w:r>
    <w:r>
      <w:rPr>
        <w:b/>
        <w:sz w:val="18"/>
      </w:rPr>
      <w:tab/>
    </w:r>
    <w:r>
      <w:t>GE.18-06235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588" w:rsidRPr="00574588" w:rsidRDefault="00574588" w:rsidP="00574588">
    <w:pPr>
      <w:pStyle w:val="Footer"/>
      <w:tabs>
        <w:tab w:val="right" w:pos="9638"/>
      </w:tabs>
      <w:rPr>
        <w:b/>
        <w:sz w:val="18"/>
      </w:rPr>
    </w:pPr>
    <w:r>
      <w:t>GE.18-06235</w:t>
    </w:r>
    <w:r>
      <w:tab/>
    </w:r>
    <w:r w:rsidRPr="00574588">
      <w:rPr>
        <w:b/>
        <w:sz w:val="18"/>
      </w:rPr>
      <w:fldChar w:fldCharType="begin"/>
    </w:r>
    <w:r w:rsidRPr="00574588">
      <w:rPr>
        <w:b/>
        <w:sz w:val="18"/>
      </w:rPr>
      <w:instrText xml:space="preserve"> PAGE  \* MERGEFORMAT </w:instrText>
    </w:r>
    <w:r w:rsidRPr="00574588">
      <w:rPr>
        <w:b/>
        <w:sz w:val="18"/>
      </w:rPr>
      <w:fldChar w:fldCharType="separate"/>
    </w:r>
    <w:r w:rsidR="003829C9">
      <w:rPr>
        <w:b/>
        <w:noProof/>
        <w:sz w:val="18"/>
      </w:rPr>
      <w:t>3</w:t>
    </w:r>
    <w:r w:rsidRPr="005745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574588" w:rsidRDefault="00574588" w:rsidP="00574588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06235</w:t>
    </w:r>
    <w:r w:rsidR="001944EE">
      <w:rPr>
        <w:sz w:val="20"/>
      </w:rPr>
      <w:t xml:space="preserve">  </w:t>
    </w:r>
    <w:r>
      <w:rPr>
        <w:sz w:val="20"/>
      </w:rPr>
      <w:t>(</w:t>
    </w:r>
    <w:proofErr w:type="gramEnd"/>
    <w:r>
      <w:rPr>
        <w:sz w:val="20"/>
      </w:rPr>
      <w:t>F)</w:t>
    </w:r>
    <w:r w:rsidR="001944EE">
      <w:rPr>
        <w:sz w:val="20"/>
      </w:rPr>
      <w:t xml:space="preserve">    020518    180518</w:t>
    </w:r>
    <w:r>
      <w:rPr>
        <w:sz w:val="20"/>
      </w:rPr>
      <w:br/>
    </w:r>
    <w:r w:rsidRPr="00574588">
      <w:rPr>
        <w:rFonts w:ascii="C39T30Lfz" w:hAnsi="C39T30Lfz"/>
        <w:sz w:val="56"/>
      </w:rPr>
      <w:t></w:t>
    </w:r>
    <w:r w:rsidRPr="00574588">
      <w:rPr>
        <w:rFonts w:ascii="C39T30Lfz" w:hAnsi="C39T30Lfz"/>
        <w:sz w:val="56"/>
      </w:rPr>
      <w:t></w:t>
    </w:r>
    <w:r w:rsidRPr="00574588">
      <w:rPr>
        <w:rFonts w:ascii="C39T30Lfz" w:hAnsi="C39T30Lfz"/>
        <w:sz w:val="56"/>
      </w:rPr>
      <w:t></w:t>
    </w:r>
    <w:r w:rsidRPr="00574588">
      <w:rPr>
        <w:rFonts w:ascii="C39T30Lfz" w:hAnsi="C39T30Lfz"/>
        <w:sz w:val="56"/>
      </w:rPr>
      <w:t></w:t>
    </w:r>
    <w:r w:rsidRPr="00574588">
      <w:rPr>
        <w:rFonts w:ascii="C39T30Lfz" w:hAnsi="C39T30Lfz"/>
        <w:sz w:val="56"/>
      </w:rPr>
      <w:t></w:t>
    </w:r>
    <w:r w:rsidRPr="00574588">
      <w:rPr>
        <w:rFonts w:ascii="C39T30Lfz" w:hAnsi="C39T30Lfz"/>
        <w:sz w:val="56"/>
      </w:rPr>
      <w:t></w:t>
    </w:r>
    <w:r w:rsidRPr="00574588">
      <w:rPr>
        <w:rFonts w:ascii="C39T30Lfz" w:hAnsi="C39T30Lfz"/>
        <w:sz w:val="56"/>
      </w:rPr>
      <w:t></w:t>
    </w:r>
    <w:r w:rsidRPr="00574588">
      <w:rPr>
        <w:rFonts w:ascii="C39T30Lfz" w:hAnsi="C39T30Lfz"/>
        <w:sz w:val="56"/>
      </w:rPr>
      <w:t></w:t>
    </w:r>
    <w:r w:rsidRPr="0057458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4/2018/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4/2018/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D7A" w:rsidRPr="00AC3823" w:rsidRDefault="00E70D7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70D7A" w:rsidRPr="00AC3823" w:rsidRDefault="00E70D7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70D7A" w:rsidRPr="00AC3823" w:rsidRDefault="00E70D7A">
      <w:pPr>
        <w:spacing w:line="240" w:lineRule="auto"/>
        <w:rPr>
          <w:sz w:val="2"/>
          <w:szCs w:val="2"/>
        </w:rPr>
      </w:pPr>
    </w:p>
  </w:footnote>
  <w:footnote w:id="2">
    <w:p w:rsidR="006C45F0" w:rsidRPr="006C45F0" w:rsidRDefault="006C45F0">
      <w:pPr>
        <w:pStyle w:val="FootnoteText"/>
      </w:pPr>
      <w:r>
        <w:rPr>
          <w:rStyle w:val="FootnoteReference"/>
        </w:rPr>
        <w:tab/>
      </w:r>
      <w:r w:rsidRPr="006C45F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BA2124">
        <w:rPr>
          <w:sz w:val="20"/>
        </w:rPr>
        <w:t>Conformément au programme de travail du Sous-Comité pour la période 2017-2018, approuvé par le Comité à sa huitième session (voir ST/SG/AC.10/C.3/100, par. 98, et ST/SG/AC.10/44, par. 14).</w:t>
      </w:r>
    </w:p>
  </w:footnote>
  <w:footnote w:id="3">
    <w:p w:rsidR="006C45F0" w:rsidRDefault="006C45F0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FF61C3">
        <w:rPr>
          <w:lang w:val="fr-FR"/>
        </w:rPr>
        <w:t>Programme de travail du Sous-Comité d</w:t>
      </w:r>
      <w:r>
        <w:rPr>
          <w:lang w:val="fr-FR"/>
        </w:rPr>
        <w:t>’</w:t>
      </w:r>
      <w:r w:rsidRPr="00FF61C3">
        <w:rPr>
          <w:lang w:val="fr-FR"/>
        </w:rPr>
        <w:t>experts du Système général harmonisé de classification et d</w:t>
      </w:r>
      <w:r>
        <w:rPr>
          <w:lang w:val="fr-FR"/>
        </w:rPr>
        <w:t>’</w:t>
      </w:r>
      <w:r w:rsidRPr="00FF61C3">
        <w:rPr>
          <w:lang w:val="fr-FR"/>
        </w:rPr>
        <w:t xml:space="preserve">étiquetage des produits chimiques </w:t>
      </w:r>
      <w:r>
        <w:rPr>
          <w:lang w:val="fr-FR"/>
        </w:rPr>
        <w:t>pour</w:t>
      </w:r>
      <w:r w:rsidRPr="00FF61C3">
        <w:rPr>
          <w:lang w:val="fr-FR"/>
        </w:rPr>
        <w:t xml:space="preserve"> 2017-2018 (voir ST/SG/AC.10/C.4/64, annexe III, par</w:t>
      </w:r>
      <w:r>
        <w:rPr>
          <w:lang w:val="fr-FR"/>
        </w:rPr>
        <w:t>. </w:t>
      </w:r>
      <w:r w:rsidRPr="00FF61C3">
        <w:rPr>
          <w:lang w:val="fr-FR"/>
        </w:rPr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588" w:rsidRPr="00574588" w:rsidRDefault="003829C9">
    <w:pPr>
      <w:pStyle w:val="Header"/>
    </w:pPr>
    <w:r>
      <w:fldChar w:fldCharType="begin"/>
    </w:r>
    <w:r>
      <w:instrText xml:space="preserve"> TITLE  \* MERGEFOR</w:instrText>
    </w:r>
    <w:r>
      <w:instrText xml:space="preserve">MAT </w:instrText>
    </w:r>
    <w:r>
      <w:fldChar w:fldCharType="separate"/>
    </w:r>
    <w:r>
      <w:t>ST/SG/AC.10/C.4/2018/6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588" w:rsidRPr="00574588" w:rsidRDefault="003829C9" w:rsidP="0057458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ST/SG/AC.10/C.4/2018/6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7A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944EE"/>
    <w:rsid w:val="001F525A"/>
    <w:rsid w:val="00223272"/>
    <w:rsid w:val="0024779E"/>
    <w:rsid w:val="00251747"/>
    <w:rsid w:val="00283190"/>
    <w:rsid w:val="002832AC"/>
    <w:rsid w:val="002D7C93"/>
    <w:rsid w:val="00341BBF"/>
    <w:rsid w:val="003829C9"/>
    <w:rsid w:val="00441C3B"/>
    <w:rsid w:val="00446FE5"/>
    <w:rsid w:val="00452396"/>
    <w:rsid w:val="004B024F"/>
    <w:rsid w:val="004E468C"/>
    <w:rsid w:val="005505B7"/>
    <w:rsid w:val="00573BE5"/>
    <w:rsid w:val="00574588"/>
    <w:rsid w:val="00584DC4"/>
    <w:rsid w:val="00586468"/>
    <w:rsid w:val="00586ED3"/>
    <w:rsid w:val="00596AA9"/>
    <w:rsid w:val="0068456F"/>
    <w:rsid w:val="006C45F0"/>
    <w:rsid w:val="0071601D"/>
    <w:rsid w:val="007A62E6"/>
    <w:rsid w:val="0080684C"/>
    <w:rsid w:val="00871C75"/>
    <w:rsid w:val="008776DC"/>
    <w:rsid w:val="008B40CD"/>
    <w:rsid w:val="009705C8"/>
    <w:rsid w:val="009C1CF4"/>
    <w:rsid w:val="009F2776"/>
    <w:rsid w:val="00A30353"/>
    <w:rsid w:val="00AC3823"/>
    <w:rsid w:val="00AE323C"/>
    <w:rsid w:val="00B00181"/>
    <w:rsid w:val="00B00B0D"/>
    <w:rsid w:val="00B765F7"/>
    <w:rsid w:val="00BA0CA9"/>
    <w:rsid w:val="00BA2124"/>
    <w:rsid w:val="00C02897"/>
    <w:rsid w:val="00CB366F"/>
    <w:rsid w:val="00D3439C"/>
    <w:rsid w:val="00D87AF6"/>
    <w:rsid w:val="00DB1831"/>
    <w:rsid w:val="00DD3BFD"/>
    <w:rsid w:val="00DF6678"/>
    <w:rsid w:val="00E70D7A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E78AC6C-0AC8-4517-A912-F2894D7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ST/SG/AC.10/C.4/2018/6</vt:lpstr>
      <vt:lpstr>ST/SG/AC.10/C.4/2018/6</vt:lpstr>
    </vt:vector>
  </TitlesOfParts>
  <Company>DCM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ST/SG/AC.10/C.4/2018/6</dc:title>
  <dc:subject/>
  <dc:creator>Fabienne CRELIER</dc:creator>
  <cp:keywords/>
  <cp:lastModifiedBy>Laurence Berthet</cp:lastModifiedBy>
  <cp:revision>3</cp:revision>
  <cp:lastPrinted>2018-05-18T08:05:00Z</cp:lastPrinted>
  <dcterms:created xsi:type="dcterms:W3CDTF">2018-05-18T08:05:00Z</dcterms:created>
  <dcterms:modified xsi:type="dcterms:W3CDTF">2018-05-18T08:05:00Z</dcterms:modified>
</cp:coreProperties>
</file>