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40558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40558E" w:rsidP="0040558E">
            <w:pPr>
              <w:jc w:val="right"/>
            </w:pPr>
            <w:r w:rsidRPr="0040558E">
              <w:rPr>
                <w:sz w:val="40"/>
              </w:rPr>
              <w:t>ST</w:t>
            </w:r>
            <w:r>
              <w:t>/SG/AC.10/C.4/2018/28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40558E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40558E" w:rsidRDefault="0040558E" w:rsidP="0040558E">
            <w:pPr>
              <w:spacing w:line="240" w:lineRule="exact"/>
            </w:pPr>
            <w:r>
              <w:t>20 septembre 2018</w:t>
            </w:r>
          </w:p>
          <w:p w:rsidR="0040558E" w:rsidRDefault="0040558E" w:rsidP="0040558E">
            <w:pPr>
              <w:spacing w:line="240" w:lineRule="exact"/>
            </w:pPr>
            <w:r>
              <w:t>Français</w:t>
            </w:r>
          </w:p>
          <w:p w:rsidR="0040558E" w:rsidRPr="00DB58B5" w:rsidRDefault="0040558E" w:rsidP="0040558E">
            <w:pPr>
              <w:spacing w:line="240" w:lineRule="exact"/>
            </w:pPr>
            <w:r>
              <w:t>Original : anglais</w:t>
            </w:r>
          </w:p>
        </w:tc>
      </w:tr>
    </w:tbl>
    <w:p w:rsidR="0040558E" w:rsidRPr="00CA0680" w:rsidRDefault="0040558E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BA06ED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BA06ED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806259" w:rsidRPr="00CA0680" w:rsidRDefault="00806259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BA06ED">
        <w:rPr>
          <w:b/>
        </w:rPr>
        <w:t>’</w:t>
      </w:r>
      <w:r w:rsidRPr="00CA0680">
        <w:rPr>
          <w:b/>
        </w:rPr>
        <w:t xml:space="preserve">experts </w:t>
      </w:r>
      <w:r>
        <w:rPr>
          <w:b/>
        </w:rPr>
        <w:t>du Système général harmonisé</w:t>
      </w:r>
      <w:r>
        <w:rPr>
          <w:b/>
        </w:rPr>
        <w:br/>
        <w:t>de classification et d</w:t>
      </w:r>
      <w:r w:rsidR="00BA06ED">
        <w:rPr>
          <w:b/>
        </w:rPr>
        <w:t>’</w:t>
      </w:r>
      <w:r>
        <w:rPr>
          <w:b/>
        </w:rPr>
        <w:t>étiquetage des produits chimiques</w:t>
      </w:r>
    </w:p>
    <w:p w:rsidR="00806259" w:rsidRDefault="00806259" w:rsidP="000305D3">
      <w:pPr>
        <w:spacing w:before="120"/>
        <w:rPr>
          <w:b/>
        </w:rPr>
      </w:pPr>
      <w:r>
        <w:rPr>
          <w:b/>
          <w:lang w:val="fr-FR"/>
        </w:rPr>
        <w:t>Trente-sixième</w:t>
      </w:r>
      <w:r w:rsidRPr="007B7B92">
        <w:rPr>
          <w:b/>
          <w:lang w:val="fr-FR"/>
        </w:rPr>
        <w:t xml:space="preserve"> </w:t>
      </w:r>
      <w:r w:rsidRPr="00CA0680">
        <w:rPr>
          <w:b/>
        </w:rPr>
        <w:t>session</w:t>
      </w:r>
    </w:p>
    <w:p w:rsidR="00806259" w:rsidRPr="007B7B92" w:rsidRDefault="00806259" w:rsidP="00806259">
      <w:pPr>
        <w:rPr>
          <w:lang w:val="fr-FR"/>
        </w:rPr>
      </w:pPr>
      <w:r w:rsidRPr="007B7B92">
        <w:rPr>
          <w:lang w:val="fr-FR"/>
        </w:rPr>
        <w:t>Genève, 5-7 décembre 2018</w:t>
      </w:r>
    </w:p>
    <w:p w:rsidR="00806259" w:rsidRPr="007B7B92" w:rsidRDefault="00806259" w:rsidP="00806259">
      <w:pPr>
        <w:rPr>
          <w:lang w:val="fr-FR"/>
        </w:rPr>
      </w:pPr>
      <w:r w:rsidRPr="007B7B92">
        <w:rPr>
          <w:lang w:val="fr-FR"/>
        </w:rPr>
        <w:t>Point 3 e) de l</w:t>
      </w:r>
      <w:r w:rsidR="00BA06ED">
        <w:rPr>
          <w:lang w:val="fr-FR"/>
        </w:rPr>
        <w:t>’</w:t>
      </w:r>
      <w:r w:rsidRPr="007B7B92">
        <w:rPr>
          <w:lang w:val="fr-FR"/>
        </w:rPr>
        <w:t>ordre du jour provisoire</w:t>
      </w:r>
    </w:p>
    <w:p w:rsidR="00806259" w:rsidRDefault="00806259" w:rsidP="00806259">
      <w:pPr>
        <w:rPr>
          <w:b/>
          <w:lang w:val="fr-FR"/>
        </w:rPr>
      </w:pPr>
      <w:r w:rsidRPr="007B7B92">
        <w:rPr>
          <w:b/>
          <w:lang w:val="fr-FR"/>
        </w:rPr>
        <w:t>Critères de classification et communication des dangers y relatifs :</w:t>
      </w:r>
      <w:r w:rsidRPr="007B7B92">
        <w:rPr>
          <w:b/>
          <w:lang w:val="fr-FR"/>
        </w:rPr>
        <w:br/>
      </w:r>
      <w:r>
        <w:rPr>
          <w:b/>
          <w:lang w:val="fr-FR"/>
        </w:rPr>
        <w:t>Questions pratiques de classification</w:t>
      </w:r>
    </w:p>
    <w:p w:rsidR="002A0CC2" w:rsidRPr="008B4FB8" w:rsidRDefault="002A0CC2" w:rsidP="002A0CC2">
      <w:pPr>
        <w:pStyle w:val="HChG"/>
        <w:rPr>
          <w:lang w:val="fr-FR"/>
        </w:rPr>
      </w:pPr>
      <w:r w:rsidRPr="007B7B92">
        <w:rPr>
          <w:lang w:val="fr-FR"/>
        </w:rPr>
        <w:tab/>
      </w:r>
      <w:r w:rsidRPr="007B7B92">
        <w:rPr>
          <w:lang w:val="fr-FR"/>
        </w:rPr>
        <w:tab/>
      </w:r>
      <w:r w:rsidRPr="008B4FB8">
        <w:rPr>
          <w:lang w:val="fr-FR"/>
        </w:rPr>
        <w:t xml:space="preserve">Propositions tendant à régler des questions inscrites </w:t>
      </w:r>
      <w:r>
        <w:rPr>
          <w:lang w:val="fr-FR"/>
        </w:rPr>
        <w:br/>
      </w:r>
      <w:r w:rsidRPr="008B4FB8">
        <w:rPr>
          <w:lang w:val="fr-FR"/>
        </w:rPr>
        <w:t xml:space="preserve">au programme de travail du groupe de travail </w:t>
      </w:r>
      <w:r>
        <w:rPr>
          <w:lang w:val="fr-FR"/>
        </w:rPr>
        <w:t>informel</w:t>
      </w:r>
      <w:r>
        <w:rPr>
          <w:lang w:val="fr-FR"/>
        </w:rPr>
        <w:br/>
      </w:r>
      <w:r w:rsidRPr="008B4FB8">
        <w:rPr>
          <w:lang w:val="fr-FR"/>
        </w:rPr>
        <w:t xml:space="preserve">par </w:t>
      </w:r>
      <w:r w:rsidRPr="002A0CC2">
        <w:t>correspondance</w:t>
      </w:r>
      <w:r w:rsidRPr="008B4FB8">
        <w:rPr>
          <w:lang w:val="fr-FR"/>
        </w:rPr>
        <w:t xml:space="preserve"> chargé des questions pratiques </w:t>
      </w:r>
      <w:r>
        <w:rPr>
          <w:lang w:val="fr-FR"/>
        </w:rPr>
        <w:br/>
      </w:r>
      <w:r w:rsidRPr="008B4FB8">
        <w:rPr>
          <w:lang w:val="fr-FR"/>
        </w:rPr>
        <w:t>de classification</w:t>
      </w:r>
    </w:p>
    <w:p w:rsidR="002A0CC2" w:rsidRPr="008B4FB8" w:rsidRDefault="002A0CC2" w:rsidP="002A0CC2">
      <w:pPr>
        <w:pStyle w:val="H1G"/>
        <w:rPr>
          <w:sz w:val="20"/>
          <w:lang w:val="fr-FR"/>
        </w:rPr>
      </w:pPr>
      <w:r w:rsidRPr="008B4FB8">
        <w:rPr>
          <w:lang w:val="fr-FR"/>
        </w:rPr>
        <w:tab/>
      </w:r>
      <w:r w:rsidRPr="008B4FB8">
        <w:rPr>
          <w:lang w:val="fr-FR"/>
        </w:rPr>
        <w:tab/>
        <w:t>Communication de l</w:t>
      </w:r>
      <w:r w:rsidR="00BA06ED">
        <w:rPr>
          <w:lang w:val="fr-FR"/>
        </w:rPr>
        <w:t>’</w:t>
      </w:r>
      <w:r w:rsidRPr="008B4FB8">
        <w:rPr>
          <w:lang w:val="fr-FR"/>
        </w:rPr>
        <w:t>expert des États-Unis d</w:t>
      </w:r>
      <w:r w:rsidR="00BA06ED">
        <w:rPr>
          <w:lang w:val="fr-FR"/>
        </w:rPr>
        <w:t>’</w:t>
      </w:r>
      <w:r w:rsidRPr="008B4FB8">
        <w:rPr>
          <w:lang w:val="fr-FR"/>
        </w:rPr>
        <w:t xml:space="preserve">Amérique au nom </w:t>
      </w:r>
      <w:r>
        <w:rPr>
          <w:lang w:val="fr-FR"/>
        </w:rPr>
        <w:br/>
        <w:t xml:space="preserve">du </w:t>
      </w:r>
      <w:r w:rsidRPr="008B4FB8">
        <w:rPr>
          <w:lang w:val="fr-FR"/>
        </w:rPr>
        <w:t xml:space="preserve">groupe de travail </w:t>
      </w:r>
      <w:r w:rsidRPr="002A0CC2">
        <w:t>informel</w:t>
      </w:r>
      <w:r>
        <w:rPr>
          <w:lang w:val="fr-FR"/>
        </w:rPr>
        <w:t xml:space="preserve"> </w:t>
      </w:r>
      <w:r w:rsidRPr="008B4FB8">
        <w:rPr>
          <w:lang w:val="fr-FR"/>
        </w:rPr>
        <w:t>par correspond</w:t>
      </w:r>
      <w:r>
        <w:rPr>
          <w:lang w:val="fr-FR"/>
        </w:rPr>
        <w:t>a</w:t>
      </w:r>
      <w:r w:rsidRPr="008B4FB8">
        <w:rPr>
          <w:lang w:val="fr-FR"/>
        </w:rPr>
        <w:t xml:space="preserve">nce chargé </w:t>
      </w:r>
      <w:r>
        <w:rPr>
          <w:lang w:val="fr-FR"/>
        </w:rPr>
        <w:br/>
      </w:r>
      <w:r w:rsidRPr="008B4FB8">
        <w:rPr>
          <w:lang w:val="fr-FR"/>
        </w:rPr>
        <w:t>des questions pratiques de classification</w:t>
      </w:r>
      <w:r w:rsidRPr="002A0CC2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2A0CC2" w:rsidRDefault="002A0CC2" w:rsidP="002A0CC2">
      <w:pPr>
        <w:pStyle w:val="HChG"/>
        <w:rPr>
          <w:lang w:val="fr-FR"/>
        </w:rPr>
      </w:pPr>
      <w:r w:rsidRPr="008B4FB8">
        <w:rPr>
          <w:lang w:val="fr-FR"/>
        </w:rPr>
        <w:tab/>
      </w:r>
      <w:r w:rsidRPr="008B4FB8">
        <w:rPr>
          <w:lang w:val="fr-FR"/>
        </w:rPr>
        <w:tab/>
      </w:r>
      <w:r w:rsidRPr="00DE5AF5">
        <w:rPr>
          <w:lang w:val="fr-FR"/>
        </w:rPr>
        <w:t>Objet</w:t>
      </w:r>
    </w:p>
    <w:p w:rsidR="002A0CC2" w:rsidRPr="00787287" w:rsidRDefault="002A0CC2" w:rsidP="002A0CC2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2C11E3">
        <w:rPr>
          <w:lang w:val="fr-FR"/>
        </w:rPr>
        <w:t xml:space="preserve">Par le présent document, le </w:t>
      </w:r>
      <w:r w:rsidRPr="008B4FB8">
        <w:rPr>
          <w:lang w:val="fr-FR"/>
        </w:rPr>
        <w:t xml:space="preserve">groupe de travail </w:t>
      </w:r>
      <w:r>
        <w:rPr>
          <w:lang w:val="fr-FR"/>
        </w:rPr>
        <w:t xml:space="preserve">informel </w:t>
      </w:r>
      <w:r w:rsidRPr="008B4FB8">
        <w:rPr>
          <w:lang w:val="fr-FR"/>
        </w:rPr>
        <w:t>par correspond</w:t>
      </w:r>
      <w:r>
        <w:rPr>
          <w:lang w:val="fr-FR"/>
        </w:rPr>
        <w:t>a</w:t>
      </w:r>
      <w:r w:rsidRPr="008B4FB8">
        <w:rPr>
          <w:lang w:val="fr-FR"/>
        </w:rPr>
        <w:t>nce chargé des questions pratiques de classification</w:t>
      </w:r>
      <w:r w:rsidRPr="00787287">
        <w:rPr>
          <w:lang w:val="fr-FR"/>
        </w:rPr>
        <w:t xml:space="preserve"> </w:t>
      </w:r>
      <w:r>
        <w:rPr>
          <w:lang w:val="fr-FR"/>
        </w:rPr>
        <w:t xml:space="preserve">(groupe de travail PCI) </w:t>
      </w:r>
      <w:r w:rsidRPr="002C11E3">
        <w:rPr>
          <w:lang w:val="fr-FR"/>
        </w:rPr>
        <w:t>formule des recommandations devant permettre de préciser les critères de classification dans le SGH</w:t>
      </w:r>
      <w:r w:rsidRPr="00787287">
        <w:rPr>
          <w:lang w:val="fr-FR"/>
        </w:rPr>
        <w:t>.</w:t>
      </w:r>
    </w:p>
    <w:p w:rsidR="002A0CC2" w:rsidRPr="00DC7F87" w:rsidRDefault="002A0CC2" w:rsidP="002A0CC2">
      <w:pPr>
        <w:pStyle w:val="HChG"/>
        <w:rPr>
          <w:lang w:val="fr-FR"/>
        </w:rPr>
      </w:pPr>
      <w:r w:rsidRPr="00787287">
        <w:rPr>
          <w:lang w:val="fr-FR"/>
        </w:rPr>
        <w:tab/>
      </w:r>
      <w:r w:rsidRPr="00787287">
        <w:rPr>
          <w:lang w:val="fr-FR"/>
        </w:rPr>
        <w:tab/>
      </w:r>
      <w:r w:rsidRPr="00DC7F87">
        <w:rPr>
          <w:lang w:val="fr-FR"/>
        </w:rPr>
        <w:t>Historique</w:t>
      </w:r>
    </w:p>
    <w:p w:rsidR="002A0CC2" w:rsidRPr="00DC7F87" w:rsidRDefault="002A0CC2" w:rsidP="002A0CC2">
      <w:pPr>
        <w:pStyle w:val="SingleTxtG"/>
        <w:tabs>
          <w:tab w:val="left" w:pos="1701"/>
        </w:tabs>
        <w:spacing w:before="120"/>
        <w:rPr>
          <w:lang w:val="fr-FR"/>
        </w:rPr>
      </w:pPr>
      <w:r w:rsidRPr="002C11E3">
        <w:rPr>
          <w:lang w:val="fr-FR"/>
        </w:rPr>
        <w:t>2.</w:t>
      </w:r>
      <w:r w:rsidRPr="002C11E3">
        <w:rPr>
          <w:lang w:val="fr-FR"/>
        </w:rPr>
        <w:tab/>
        <w:t xml:space="preserve">À la trente-cinquième session, </w:t>
      </w:r>
      <w:r>
        <w:rPr>
          <w:lang w:val="fr-FR"/>
        </w:rPr>
        <w:t xml:space="preserve">le </w:t>
      </w:r>
      <w:r w:rsidRPr="008B4FB8">
        <w:rPr>
          <w:lang w:val="fr-FR"/>
        </w:rPr>
        <w:t xml:space="preserve">groupe de travail </w:t>
      </w:r>
      <w:r>
        <w:rPr>
          <w:lang w:val="fr-FR"/>
        </w:rPr>
        <w:t>PCI a soumis au Sous-Comité</w:t>
      </w:r>
      <w:r w:rsidRPr="002C11E3">
        <w:rPr>
          <w:lang w:val="fr-FR"/>
        </w:rPr>
        <w:t xml:space="preserve"> </w:t>
      </w:r>
      <w:r>
        <w:rPr>
          <w:lang w:val="fr-FR"/>
        </w:rPr>
        <w:t xml:space="preserve">un </w:t>
      </w:r>
      <w:r w:rsidRPr="002C11E3">
        <w:rPr>
          <w:lang w:val="fr-FR"/>
        </w:rPr>
        <w:t xml:space="preserve">document </w:t>
      </w:r>
      <w:r>
        <w:rPr>
          <w:lang w:val="fr-FR"/>
        </w:rPr>
        <w:t>informel (</w:t>
      </w:r>
      <w:r w:rsidRPr="002C11E3">
        <w:rPr>
          <w:lang w:val="fr-FR"/>
        </w:rPr>
        <w:t>INF.21</w:t>
      </w:r>
      <w:r>
        <w:rPr>
          <w:lang w:val="fr-FR"/>
        </w:rPr>
        <w:t xml:space="preserve">) </w:t>
      </w:r>
      <w:r w:rsidRPr="00DC7F87">
        <w:rPr>
          <w:lang w:val="fr-FR"/>
        </w:rPr>
        <w:t>faisant le point sur les travaux menés en son sein</w:t>
      </w:r>
      <w:r w:rsidRPr="002C11E3">
        <w:rPr>
          <w:lang w:val="fr-FR"/>
        </w:rPr>
        <w:t xml:space="preserve">. </w:t>
      </w:r>
      <w:r w:rsidRPr="00DC7F87">
        <w:rPr>
          <w:lang w:val="fr-FR"/>
        </w:rPr>
        <w:t xml:space="preserve">Les membres du groupe de travail se sont en outre réunis </w:t>
      </w:r>
      <w:r w:rsidRPr="002C11E3">
        <w:rPr>
          <w:lang w:val="fr-FR"/>
        </w:rPr>
        <w:t>en marge de la session du Sous</w:t>
      </w:r>
      <w:r w:rsidR="000E68BE">
        <w:rPr>
          <w:lang w:val="fr-FR"/>
        </w:rPr>
        <w:noBreakHyphen/>
      </w:r>
      <w:r w:rsidRPr="002C11E3">
        <w:rPr>
          <w:lang w:val="fr-FR"/>
        </w:rPr>
        <w:t xml:space="preserve">Comité </w:t>
      </w:r>
      <w:r>
        <w:rPr>
          <w:lang w:val="fr-FR"/>
        </w:rPr>
        <w:t xml:space="preserve">pour </w:t>
      </w:r>
      <w:r w:rsidRPr="002C11E3">
        <w:rPr>
          <w:lang w:val="fr-FR"/>
        </w:rPr>
        <w:t xml:space="preserve">examiner plus avant les propositions formulées dans ce document, </w:t>
      </w:r>
      <w:r>
        <w:rPr>
          <w:lang w:val="fr-FR"/>
        </w:rPr>
        <w:t>ainsi que des propositions supplémentaires relevant d</w:t>
      </w:r>
      <w:r w:rsidR="00BA06ED">
        <w:rPr>
          <w:lang w:val="fr-FR"/>
        </w:rPr>
        <w:t>’</w:t>
      </w:r>
      <w:r>
        <w:rPr>
          <w:lang w:val="fr-FR"/>
        </w:rPr>
        <w:t>autres points de son programme de travail pour l</w:t>
      </w:r>
      <w:r w:rsidR="00BA06ED">
        <w:rPr>
          <w:lang w:val="fr-FR"/>
        </w:rPr>
        <w:t>’</w:t>
      </w:r>
      <w:r>
        <w:rPr>
          <w:lang w:val="fr-FR"/>
        </w:rPr>
        <w:t>exercice biennal en cours</w:t>
      </w:r>
      <w:r w:rsidRPr="002C11E3">
        <w:rPr>
          <w:lang w:val="fr-FR"/>
        </w:rPr>
        <w:t xml:space="preserve"> (document </w:t>
      </w:r>
      <w:r>
        <w:rPr>
          <w:lang w:val="fr-FR"/>
        </w:rPr>
        <w:t xml:space="preserve">informel </w:t>
      </w:r>
      <w:r w:rsidRPr="002C11E3">
        <w:rPr>
          <w:lang w:val="fr-FR"/>
        </w:rPr>
        <w:t>INF.39 (</w:t>
      </w:r>
      <w:r>
        <w:rPr>
          <w:lang w:val="fr-FR"/>
        </w:rPr>
        <w:t xml:space="preserve">trente-deuxième </w:t>
      </w:r>
      <w:r w:rsidRPr="002C11E3">
        <w:rPr>
          <w:lang w:val="fr-FR"/>
        </w:rPr>
        <w:t>session)).</w:t>
      </w:r>
      <w:r w:rsidRPr="002C11E3">
        <w:rPr>
          <w:sz w:val="24"/>
          <w:szCs w:val="24"/>
          <w:lang w:val="fr-FR"/>
        </w:rPr>
        <w:t xml:space="preserve"> </w:t>
      </w:r>
      <w:r w:rsidRPr="00DC7F87">
        <w:rPr>
          <w:lang w:val="fr-FR"/>
        </w:rPr>
        <w:t xml:space="preserve">Sur la base des discussions menées sur ces questions, le groupe de travail a élaboré </w:t>
      </w:r>
      <w:r>
        <w:rPr>
          <w:lang w:val="fr-FR"/>
        </w:rPr>
        <w:t>les propositions de modifications d</w:t>
      </w:r>
      <w:r w:rsidR="00BA06ED">
        <w:rPr>
          <w:lang w:val="fr-FR"/>
        </w:rPr>
        <w:t>’</w:t>
      </w:r>
      <w:r>
        <w:rPr>
          <w:lang w:val="fr-FR"/>
        </w:rPr>
        <w:t>ordre rédactionnel à apporter au texte du SGH</w:t>
      </w:r>
      <w:r w:rsidRPr="00DC7F87">
        <w:rPr>
          <w:lang w:val="fr-FR"/>
        </w:rPr>
        <w:t xml:space="preserve"> qui figurent dans le présent document.</w:t>
      </w:r>
    </w:p>
    <w:p w:rsidR="002A0CC2" w:rsidRPr="00DC7F87" w:rsidRDefault="002A0CC2" w:rsidP="002A0CC2">
      <w:pPr>
        <w:pStyle w:val="HChG"/>
        <w:rPr>
          <w:lang w:val="fr-FR"/>
        </w:rPr>
      </w:pPr>
      <w:r w:rsidRPr="00DC7F87">
        <w:rPr>
          <w:lang w:val="fr-FR"/>
        </w:rPr>
        <w:lastRenderedPageBreak/>
        <w:tab/>
      </w:r>
      <w:r w:rsidRPr="00DC7F87">
        <w:rPr>
          <w:lang w:val="fr-FR"/>
        </w:rPr>
        <w:tab/>
        <w:t>Proposition</w:t>
      </w:r>
    </w:p>
    <w:p w:rsidR="002A0CC2" w:rsidRDefault="002A0CC2" w:rsidP="008804E0">
      <w:pPr>
        <w:pStyle w:val="SingleTxtG"/>
        <w:rPr>
          <w:lang w:val="fr-FR"/>
        </w:rPr>
      </w:pPr>
      <w:r w:rsidRPr="00DC7F87">
        <w:rPr>
          <w:lang w:val="fr-FR"/>
        </w:rPr>
        <w:t>3.</w:t>
      </w:r>
      <w:r w:rsidRPr="00DC7F87">
        <w:rPr>
          <w:lang w:val="fr-FR"/>
        </w:rPr>
        <w:tab/>
        <w:t>Le groupe de travail par correspondance invite le Sous-Comité à examiner les propositions de modifications à apporter au texte du SGH qui sont énoncées dans l</w:t>
      </w:r>
      <w:r w:rsidR="00BA06ED">
        <w:rPr>
          <w:lang w:val="fr-FR"/>
        </w:rPr>
        <w:t>’</w:t>
      </w:r>
      <w:r w:rsidRPr="00DC7F87">
        <w:rPr>
          <w:lang w:val="fr-FR"/>
        </w:rPr>
        <w:t xml:space="preserve">annexe </w:t>
      </w:r>
      <w:r>
        <w:rPr>
          <w:lang w:val="fr-FR"/>
        </w:rPr>
        <w:t>d</w:t>
      </w:r>
      <w:r w:rsidRPr="00DC7F87">
        <w:rPr>
          <w:lang w:val="fr-FR"/>
        </w:rPr>
        <w:t>u présent document.</w:t>
      </w:r>
    </w:p>
    <w:p w:rsidR="008804E0" w:rsidRDefault="008804E0" w:rsidP="008804E0">
      <w:pPr>
        <w:pStyle w:val="HCh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>Annexe</w:t>
      </w:r>
    </w:p>
    <w:p w:rsidR="008804E0" w:rsidRPr="00BD2C07" w:rsidRDefault="008804E0" w:rsidP="008804E0">
      <w:pPr>
        <w:pStyle w:val="HChG"/>
        <w:rPr>
          <w:lang w:val="fr-FR"/>
        </w:rPr>
      </w:pPr>
      <w:r w:rsidRPr="00BD2C07">
        <w:rPr>
          <w:lang w:val="fr-FR"/>
        </w:rPr>
        <w:tab/>
      </w:r>
      <w:r w:rsidRPr="00BD2C07">
        <w:rPr>
          <w:lang w:val="fr-FR"/>
        </w:rPr>
        <w:tab/>
        <w:t xml:space="preserve">Point b) du programme de travail du groupe </w:t>
      </w:r>
      <w:r>
        <w:rPr>
          <w:lang w:val="fr-FR"/>
        </w:rPr>
        <w:t>de travail PCI</w:t>
      </w:r>
    </w:p>
    <w:p w:rsidR="008804E0" w:rsidRDefault="008804E0" w:rsidP="008804E0">
      <w:pPr>
        <w:pStyle w:val="SingleTxtG"/>
        <w:rPr>
          <w:lang w:val="fr-FR" w:eastAsia="fr-FR"/>
        </w:rPr>
      </w:pPr>
      <w:r w:rsidRPr="009B4057">
        <w:rPr>
          <w:lang w:val="fr-FR" w:eastAsia="fr-FR"/>
        </w:rPr>
        <w:t>Envisager d</w:t>
      </w:r>
      <w:r w:rsidR="00BA06ED">
        <w:rPr>
          <w:lang w:val="fr-FR" w:eastAsia="fr-FR"/>
        </w:rPr>
        <w:t>’</w:t>
      </w:r>
      <w:r w:rsidRPr="009B4057">
        <w:rPr>
          <w:lang w:val="fr-FR" w:eastAsia="fr-FR"/>
        </w:rPr>
        <w:t>élaborer un ou plusieurs exemples illustrant la manière d</w:t>
      </w:r>
      <w:r w:rsidR="00BA06ED">
        <w:rPr>
          <w:lang w:val="fr-FR" w:eastAsia="fr-FR"/>
        </w:rPr>
        <w:t>’</w:t>
      </w:r>
      <w:r w:rsidRPr="009B4057">
        <w:rPr>
          <w:lang w:val="fr-FR" w:eastAsia="fr-FR"/>
        </w:rPr>
        <w:t xml:space="preserve">interpréter les données relatives à une exposition unique et à une exposition répétée, dans le </w:t>
      </w:r>
      <w:r>
        <w:rPr>
          <w:lang w:val="fr-FR" w:eastAsia="fr-FR"/>
        </w:rPr>
        <w:t>contexte de l</w:t>
      </w:r>
      <w:r w:rsidR="00BA06ED">
        <w:rPr>
          <w:lang w:val="fr-FR" w:eastAsia="fr-FR"/>
        </w:rPr>
        <w:t>’</w:t>
      </w:r>
      <w:r>
        <w:rPr>
          <w:lang w:val="fr-FR" w:eastAsia="fr-FR"/>
        </w:rPr>
        <w:t xml:space="preserve">affirmation figurant au chapitre </w:t>
      </w:r>
      <w:r w:rsidRPr="009B4057">
        <w:rPr>
          <w:lang w:val="fr-FR" w:eastAsia="fr-FR"/>
        </w:rPr>
        <w:t xml:space="preserve">3.8 </w:t>
      </w:r>
      <w:r>
        <w:rPr>
          <w:lang w:val="fr-FR" w:eastAsia="fr-FR"/>
        </w:rPr>
        <w:t>(T</w:t>
      </w:r>
      <w:r w:rsidRPr="009B4057">
        <w:rPr>
          <w:lang w:val="fr-FR" w:eastAsia="fr-FR"/>
        </w:rPr>
        <w:t>oxicité pour certains organes cibles</w:t>
      </w:r>
      <w:r>
        <w:rPr>
          <w:lang w:val="fr-FR" w:eastAsia="fr-FR"/>
        </w:rPr>
        <w:t xml:space="preserve"> </w:t>
      </w:r>
      <w:r w:rsidR="000E68BE">
        <w:rPr>
          <w:lang w:val="fr-FR" w:eastAsia="fr-FR"/>
        </w:rPr>
        <w:t>−</w:t>
      </w:r>
      <w:r>
        <w:rPr>
          <w:lang w:val="fr-FR" w:eastAsia="fr-FR"/>
        </w:rPr>
        <w:t xml:space="preserve"> E</w:t>
      </w:r>
      <w:r w:rsidRPr="009B4057">
        <w:rPr>
          <w:lang w:val="fr-FR" w:eastAsia="fr-FR"/>
        </w:rPr>
        <w:t>xposition unique</w:t>
      </w:r>
      <w:r>
        <w:rPr>
          <w:lang w:val="fr-FR" w:eastAsia="fr-FR"/>
        </w:rPr>
        <w:t>)</w:t>
      </w:r>
      <w:r w:rsidRPr="009B4057">
        <w:rPr>
          <w:lang w:val="fr-FR" w:eastAsia="fr-FR"/>
        </w:rPr>
        <w:t xml:space="preserve"> (par</w:t>
      </w:r>
      <w:r w:rsidR="000E68BE">
        <w:rPr>
          <w:lang w:val="fr-FR" w:eastAsia="fr-FR"/>
        </w:rPr>
        <w:t>. </w:t>
      </w:r>
      <w:r w:rsidRPr="009B4057">
        <w:rPr>
          <w:lang w:val="fr-FR" w:eastAsia="fr-FR"/>
        </w:rPr>
        <w:t xml:space="preserve">3.8.1.6) </w:t>
      </w:r>
      <w:r>
        <w:rPr>
          <w:lang w:val="fr-FR" w:eastAsia="fr-FR"/>
        </w:rPr>
        <w:t xml:space="preserve">et au chapitre </w:t>
      </w:r>
      <w:r w:rsidRPr="009B4057">
        <w:rPr>
          <w:lang w:val="fr-FR" w:eastAsia="fr-FR"/>
        </w:rPr>
        <w:t xml:space="preserve">3.9 </w:t>
      </w:r>
      <w:r>
        <w:rPr>
          <w:lang w:val="fr-FR" w:eastAsia="fr-FR"/>
        </w:rPr>
        <w:t>(T</w:t>
      </w:r>
      <w:r w:rsidRPr="009B4057">
        <w:rPr>
          <w:lang w:val="fr-FR" w:eastAsia="fr-FR"/>
        </w:rPr>
        <w:t>oxicité pour certains organes cibles</w:t>
      </w:r>
      <w:r>
        <w:rPr>
          <w:lang w:val="fr-FR" w:eastAsia="fr-FR"/>
        </w:rPr>
        <w:t xml:space="preserve"> </w:t>
      </w:r>
      <w:r w:rsidR="000E68BE">
        <w:rPr>
          <w:lang w:val="fr-FR" w:eastAsia="fr-FR"/>
        </w:rPr>
        <w:t>−</w:t>
      </w:r>
      <w:r>
        <w:rPr>
          <w:lang w:val="fr-FR" w:eastAsia="fr-FR"/>
        </w:rPr>
        <w:t xml:space="preserve"> E</w:t>
      </w:r>
      <w:r w:rsidRPr="009B4057">
        <w:rPr>
          <w:lang w:val="fr-FR" w:eastAsia="fr-FR"/>
        </w:rPr>
        <w:t>xposition</w:t>
      </w:r>
      <w:r>
        <w:rPr>
          <w:lang w:val="fr-FR" w:eastAsia="fr-FR"/>
        </w:rPr>
        <w:t xml:space="preserve"> répétée)</w:t>
      </w:r>
      <w:r w:rsidRPr="009B4057">
        <w:rPr>
          <w:lang w:val="fr-FR" w:eastAsia="fr-FR"/>
        </w:rPr>
        <w:t xml:space="preserve"> (par</w:t>
      </w:r>
      <w:r w:rsidR="000E68BE">
        <w:rPr>
          <w:lang w:val="fr-FR" w:eastAsia="fr-FR"/>
        </w:rPr>
        <w:t>. </w:t>
      </w:r>
      <w:r w:rsidRPr="009B4057">
        <w:rPr>
          <w:lang w:val="fr-FR" w:eastAsia="fr-FR"/>
        </w:rPr>
        <w:t xml:space="preserve">3.9.1.6) </w:t>
      </w:r>
      <w:r>
        <w:rPr>
          <w:lang w:val="fr-FR" w:eastAsia="fr-FR"/>
        </w:rPr>
        <w:t>selon laquelle les effets toxiques évalués dans d</w:t>
      </w:r>
      <w:r w:rsidR="00BA06ED">
        <w:rPr>
          <w:lang w:val="fr-FR" w:eastAsia="fr-FR"/>
        </w:rPr>
        <w:t>’</w:t>
      </w:r>
      <w:r>
        <w:rPr>
          <w:lang w:val="fr-FR" w:eastAsia="fr-FR"/>
        </w:rPr>
        <w:t>autres chapitres ne sont pas inclus dans les chapitres</w:t>
      </w:r>
      <w:r w:rsidR="000E68BE">
        <w:rPr>
          <w:lang w:val="fr-FR" w:eastAsia="fr-FR"/>
        </w:rPr>
        <w:t> </w:t>
      </w:r>
      <w:r w:rsidRPr="009B4057">
        <w:rPr>
          <w:lang w:val="fr-FR" w:eastAsia="fr-FR"/>
        </w:rPr>
        <w:t xml:space="preserve">3.8 </w:t>
      </w:r>
      <w:r>
        <w:rPr>
          <w:lang w:val="fr-FR" w:eastAsia="fr-FR"/>
        </w:rPr>
        <w:t xml:space="preserve">et </w:t>
      </w:r>
      <w:r w:rsidRPr="009B4057">
        <w:rPr>
          <w:lang w:val="fr-FR" w:eastAsia="fr-FR"/>
        </w:rPr>
        <w:t>3.9. En outre, le groupe de travail se penchera sur l</w:t>
      </w:r>
      <w:r w:rsidR="00BA06ED">
        <w:rPr>
          <w:lang w:val="fr-FR" w:eastAsia="fr-FR"/>
        </w:rPr>
        <w:t>’</w:t>
      </w:r>
      <w:r w:rsidRPr="009B4057">
        <w:rPr>
          <w:lang w:val="fr-FR" w:eastAsia="fr-FR"/>
        </w:rPr>
        <w:t>opportunité d</w:t>
      </w:r>
      <w:r w:rsidR="00BA06ED">
        <w:rPr>
          <w:lang w:val="fr-FR" w:eastAsia="fr-FR"/>
        </w:rPr>
        <w:t>’</w:t>
      </w:r>
      <w:r w:rsidRPr="009B4057">
        <w:rPr>
          <w:lang w:val="fr-FR" w:eastAsia="fr-FR"/>
        </w:rPr>
        <w:t xml:space="preserve">apporter des </w:t>
      </w:r>
      <w:r>
        <w:rPr>
          <w:lang w:val="fr-FR" w:eastAsia="fr-FR"/>
        </w:rPr>
        <w:t>modifications rédactionnelles supplémentaires au texte du SGH, le cas échéant</w:t>
      </w:r>
      <w:r w:rsidRPr="009B4057">
        <w:rPr>
          <w:lang w:val="fr-FR" w:eastAsia="fr-FR"/>
        </w:rPr>
        <w:t>.</w:t>
      </w:r>
    </w:p>
    <w:p w:rsidR="008804E0" w:rsidRPr="00AE04FD" w:rsidRDefault="008804E0" w:rsidP="008804E0">
      <w:pPr>
        <w:pStyle w:val="HChG"/>
        <w:rPr>
          <w:lang w:val="fr-FR" w:eastAsia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AE04FD">
        <w:rPr>
          <w:lang w:val="fr-FR" w:eastAsia="fr-FR"/>
        </w:rPr>
        <w:t>Chapitre 3.8 (</w:t>
      </w:r>
      <w:r>
        <w:rPr>
          <w:lang w:val="fr-FR" w:eastAsia="fr-FR"/>
        </w:rPr>
        <w:t>T</w:t>
      </w:r>
      <w:r w:rsidRPr="009B4057">
        <w:rPr>
          <w:lang w:val="fr-FR" w:eastAsia="fr-FR"/>
        </w:rPr>
        <w:t>oxicité pour certains organes cibles</w:t>
      </w:r>
      <w:r>
        <w:rPr>
          <w:lang w:val="fr-FR" w:eastAsia="fr-FR"/>
        </w:rPr>
        <w:t xml:space="preserve"> − E</w:t>
      </w:r>
      <w:r w:rsidRPr="009B4057">
        <w:rPr>
          <w:lang w:val="fr-FR" w:eastAsia="fr-FR"/>
        </w:rPr>
        <w:t xml:space="preserve">xposition </w:t>
      </w:r>
      <w:r w:rsidRPr="008804E0">
        <w:t>unique</w:t>
      </w:r>
      <w:r>
        <w:rPr>
          <w:lang w:val="fr-FR" w:eastAsia="fr-FR"/>
        </w:rPr>
        <w:t>)</w:t>
      </w:r>
    </w:p>
    <w:p w:rsidR="008804E0" w:rsidRDefault="008804E0" w:rsidP="00D045D1">
      <w:pPr>
        <w:pStyle w:val="H1G"/>
        <w:ind w:left="2268"/>
        <w:rPr>
          <w:lang w:val="fr-FR" w:eastAsia="fr-FR"/>
        </w:rPr>
      </w:pPr>
      <w:r w:rsidRPr="00AE04FD">
        <w:rPr>
          <w:lang w:val="fr-FR" w:eastAsia="fr-FR"/>
        </w:rPr>
        <w:t>3.8.1</w:t>
      </w:r>
      <w:r w:rsidRPr="00AE04FD">
        <w:rPr>
          <w:lang w:val="fr-FR" w:eastAsia="fr-FR"/>
        </w:rPr>
        <w:tab/>
        <w:t>Définitions et considérations générales</w:t>
      </w:r>
    </w:p>
    <w:p w:rsidR="008804E0" w:rsidRDefault="008804E0" w:rsidP="008804E0">
      <w:pPr>
        <w:pStyle w:val="SingleTxtG"/>
        <w:rPr>
          <w:bCs/>
          <w:lang w:val="fr-FR" w:eastAsia="fr-FR"/>
        </w:rPr>
      </w:pPr>
      <w:r w:rsidRPr="008804E0">
        <w:rPr>
          <w:b/>
          <w:lang w:val="fr-FR" w:eastAsia="fr-FR"/>
        </w:rPr>
        <w:t>Recommandation</w:t>
      </w:r>
      <w:r w:rsidRPr="00D045D1">
        <w:rPr>
          <w:lang w:val="fr-FR" w:eastAsia="fr-FR"/>
        </w:rPr>
        <w:t> :</w:t>
      </w:r>
      <w:r w:rsidRPr="008804E0">
        <w:rPr>
          <w:lang w:val="fr-FR" w:eastAsia="fr-FR"/>
        </w:rPr>
        <w:t xml:space="preserve"> Modifier le paragraphe </w:t>
      </w:r>
      <w:r w:rsidRPr="008804E0">
        <w:rPr>
          <w:bCs/>
          <w:lang w:val="fr-FR" w:eastAsia="fr-FR"/>
        </w:rPr>
        <w:t>3.8.1.6 comme suit (les modifications figurent en caractères gras soulignés)</w:t>
      </w:r>
    </w:p>
    <w:p w:rsidR="00704C7F" w:rsidRPr="00131A15" w:rsidRDefault="00704C7F" w:rsidP="00D045D1">
      <w:pPr>
        <w:pStyle w:val="SingleTxtG"/>
        <w:tabs>
          <w:tab w:val="left" w:pos="2268"/>
        </w:tabs>
        <w:rPr>
          <w:snapToGrid w:val="0"/>
          <w:lang w:val="fr-FR"/>
        </w:rPr>
      </w:pPr>
      <w:r w:rsidRPr="00131A15">
        <w:rPr>
          <w:snapToGrid w:val="0"/>
          <w:lang w:val="fr-FR" w:eastAsia="fr-FR"/>
        </w:rPr>
        <w:t>3.8.1.6</w:t>
      </w:r>
      <w:r w:rsidRPr="00131A15">
        <w:rPr>
          <w:snapToGrid w:val="0"/>
          <w:lang w:val="fr-FR" w:eastAsia="fr-FR"/>
        </w:rPr>
        <w:tab/>
      </w:r>
      <w:r w:rsidRPr="00131A15">
        <w:rPr>
          <w:lang w:val="fr-FR"/>
        </w:rPr>
        <w:t>La toxicité pour des organes cibles résultant d</w:t>
      </w:r>
      <w:r w:rsidR="00BA06ED">
        <w:rPr>
          <w:lang w:val="fr-FR"/>
        </w:rPr>
        <w:t>’</w:t>
      </w:r>
      <w:r w:rsidRPr="00131A15">
        <w:rPr>
          <w:lang w:val="fr-FR"/>
        </w:rPr>
        <w:t>expositions répétées est classée dans le GHS ainsi que décrit au chapitre</w:t>
      </w:r>
      <w:r w:rsidR="00075B29">
        <w:rPr>
          <w:lang w:val="fr-FR"/>
        </w:rPr>
        <w:t> </w:t>
      </w:r>
      <w:r w:rsidRPr="00131A15">
        <w:rPr>
          <w:lang w:val="fr-FR"/>
        </w:rPr>
        <w:t>3.9 «</w:t>
      </w:r>
      <w:r w:rsidR="00075B29">
        <w:rPr>
          <w:lang w:val="fr-FR"/>
        </w:rPr>
        <w:t> </w:t>
      </w:r>
      <w:r w:rsidRPr="00131A15">
        <w:rPr>
          <w:i/>
          <w:lang w:val="fr-FR"/>
        </w:rPr>
        <w:t>Toxicité pour certains organes cibles</w:t>
      </w:r>
      <w:r w:rsidR="00075B29">
        <w:rPr>
          <w:i/>
          <w:lang w:val="fr-FR"/>
        </w:rPr>
        <w:t> − </w:t>
      </w:r>
      <w:r w:rsidRPr="00131A15">
        <w:rPr>
          <w:i/>
          <w:lang w:val="fr-FR"/>
        </w:rPr>
        <w:t>Expositions répétées</w:t>
      </w:r>
      <w:r w:rsidR="00075B29">
        <w:rPr>
          <w:lang w:val="fr-FR"/>
        </w:rPr>
        <w:t> </w:t>
      </w:r>
      <w:r w:rsidRPr="00131A15">
        <w:rPr>
          <w:lang w:val="fr-FR"/>
        </w:rPr>
        <w:t>» et de ce fait est exclue du présent chapitre</w:t>
      </w:r>
      <w:r w:rsidRPr="00131A15">
        <w:rPr>
          <w:snapToGrid w:val="0"/>
          <w:lang w:val="fr-FR" w:eastAsia="fr-FR"/>
        </w:rPr>
        <w:t>.</w:t>
      </w:r>
      <w:r w:rsidR="00075B29">
        <w:rPr>
          <w:snapToGrid w:val="0"/>
          <w:lang w:val="fr-FR" w:eastAsia="fr-FR"/>
        </w:rPr>
        <w:t xml:space="preserve"> </w:t>
      </w:r>
      <w:r w:rsidRPr="00131A15">
        <w:rPr>
          <w:b/>
          <w:bCs/>
          <w:snapToGrid w:val="0"/>
          <w:u w:val="single"/>
          <w:lang w:val="fr-FR"/>
        </w:rPr>
        <w:t xml:space="preserve">Les </w:t>
      </w:r>
      <w:r>
        <w:rPr>
          <w:b/>
          <w:bCs/>
          <w:snapToGrid w:val="0"/>
          <w:u w:val="single"/>
          <w:lang w:val="fr-FR"/>
        </w:rPr>
        <w:t>substances</w:t>
      </w:r>
      <w:r w:rsidRPr="00131A15">
        <w:rPr>
          <w:b/>
          <w:bCs/>
          <w:snapToGrid w:val="0"/>
          <w:u w:val="single"/>
          <w:lang w:val="fr-FR"/>
        </w:rPr>
        <w:t xml:space="preserve"> et </w:t>
      </w:r>
      <w:r>
        <w:rPr>
          <w:b/>
          <w:bCs/>
          <w:snapToGrid w:val="0"/>
          <w:u w:val="single"/>
          <w:lang w:val="fr-FR"/>
        </w:rPr>
        <w:t xml:space="preserve">les </w:t>
      </w:r>
      <w:r w:rsidRPr="00131A15">
        <w:rPr>
          <w:b/>
          <w:bCs/>
          <w:snapToGrid w:val="0"/>
          <w:u w:val="single"/>
          <w:lang w:val="fr-FR"/>
        </w:rPr>
        <w:t xml:space="preserve">mélanges devraient être classés </w:t>
      </w:r>
      <w:r>
        <w:rPr>
          <w:b/>
          <w:bCs/>
          <w:snapToGrid w:val="0"/>
          <w:u w:val="single"/>
          <w:lang w:val="fr-FR"/>
        </w:rPr>
        <w:t>séparément en raison de</w:t>
      </w:r>
      <w:r w:rsidRPr="00131A15">
        <w:rPr>
          <w:b/>
          <w:bCs/>
          <w:snapToGrid w:val="0"/>
          <w:u w:val="single"/>
          <w:lang w:val="fr-FR"/>
        </w:rPr>
        <w:t xml:space="preserve"> </w:t>
      </w:r>
      <w:r>
        <w:rPr>
          <w:b/>
          <w:bCs/>
          <w:snapToGrid w:val="0"/>
          <w:u w:val="single"/>
          <w:lang w:val="fr-FR"/>
        </w:rPr>
        <w:t>leur toxicité à la suite d</w:t>
      </w:r>
      <w:r w:rsidR="00BA06ED">
        <w:rPr>
          <w:b/>
          <w:bCs/>
          <w:snapToGrid w:val="0"/>
          <w:u w:val="single"/>
          <w:lang w:val="fr-FR"/>
        </w:rPr>
        <w:t>’</w:t>
      </w:r>
      <w:r>
        <w:rPr>
          <w:b/>
          <w:bCs/>
          <w:snapToGrid w:val="0"/>
          <w:u w:val="single"/>
          <w:lang w:val="fr-FR"/>
        </w:rPr>
        <w:t>une exposition unique et de leur toxicité à la suite d</w:t>
      </w:r>
      <w:r w:rsidR="00BA06ED">
        <w:rPr>
          <w:b/>
          <w:bCs/>
          <w:snapToGrid w:val="0"/>
          <w:u w:val="single"/>
          <w:lang w:val="fr-FR"/>
        </w:rPr>
        <w:t>’</w:t>
      </w:r>
      <w:r>
        <w:rPr>
          <w:b/>
          <w:bCs/>
          <w:snapToGrid w:val="0"/>
          <w:u w:val="single"/>
          <w:lang w:val="fr-FR"/>
        </w:rPr>
        <w:t>expositions répétées</w:t>
      </w:r>
      <w:r w:rsidRPr="00131A15">
        <w:rPr>
          <w:b/>
          <w:bCs/>
          <w:snapToGrid w:val="0"/>
          <w:u w:val="single"/>
          <w:lang w:val="fr-FR"/>
        </w:rPr>
        <w:t>.</w:t>
      </w:r>
    </w:p>
    <w:p w:rsidR="00704C7F" w:rsidRPr="00131A15" w:rsidRDefault="00704C7F" w:rsidP="00704C7F">
      <w:pPr>
        <w:pStyle w:val="SingleTxtG"/>
        <w:rPr>
          <w:b/>
          <w:bCs/>
          <w:snapToGrid w:val="0"/>
          <w:u w:val="single"/>
          <w:lang w:val="fr-FR"/>
        </w:rPr>
      </w:pPr>
      <w:r>
        <w:rPr>
          <w:b/>
          <w:bCs/>
          <w:snapToGrid w:val="0"/>
          <w:u w:val="single"/>
          <w:lang w:val="fr-FR"/>
        </w:rPr>
        <w:t>D</w:t>
      </w:r>
      <w:r w:rsidR="00BA06ED">
        <w:rPr>
          <w:b/>
          <w:bCs/>
          <w:snapToGrid w:val="0"/>
          <w:u w:val="single"/>
          <w:lang w:val="fr-FR"/>
        </w:rPr>
        <w:t>’</w:t>
      </w:r>
      <w:r w:rsidRPr="00131A15">
        <w:rPr>
          <w:b/>
          <w:bCs/>
          <w:snapToGrid w:val="0"/>
          <w:u w:val="single"/>
          <w:lang w:val="fr-FR"/>
        </w:rPr>
        <w:t>autres effets toxiques</w:t>
      </w:r>
      <w:r>
        <w:rPr>
          <w:b/>
          <w:bCs/>
          <w:snapToGrid w:val="0"/>
          <w:u w:val="single"/>
          <w:lang w:val="fr-FR"/>
        </w:rPr>
        <w:t xml:space="preserve"> spécifiques</w:t>
      </w:r>
      <w:r w:rsidRPr="00131A15">
        <w:rPr>
          <w:b/>
          <w:bCs/>
          <w:snapToGrid w:val="0"/>
          <w:u w:val="single"/>
          <w:lang w:val="fr-FR"/>
        </w:rPr>
        <w:t xml:space="preserve">, tels que la toxicité aiguë, la corrosion </w:t>
      </w:r>
      <w:r>
        <w:rPr>
          <w:b/>
          <w:bCs/>
          <w:snapToGrid w:val="0"/>
          <w:u w:val="single"/>
          <w:lang w:val="fr-FR"/>
        </w:rPr>
        <w:t>et l</w:t>
      </w:r>
      <w:r w:rsidR="00BA06ED">
        <w:rPr>
          <w:b/>
          <w:bCs/>
          <w:snapToGrid w:val="0"/>
          <w:u w:val="single"/>
          <w:lang w:val="fr-FR"/>
        </w:rPr>
        <w:t>’</w:t>
      </w:r>
      <w:r w:rsidRPr="00131A15">
        <w:rPr>
          <w:b/>
          <w:bCs/>
          <w:snapToGrid w:val="0"/>
          <w:u w:val="single"/>
          <w:lang w:val="fr-FR"/>
        </w:rPr>
        <w:t>irritation cutanée</w:t>
      </w:r>
      <w:r>
        <w:rPr>
          <w:b/>
          <w:bCs/>
          <w:snapToGrid w:val="0"/>
          <w:u w:val="single"/>
          <w:lang w:val="fr-FR"/>
        </w:rPr>
        <w:t>s</w:t>
      </w:r>
      <w:r w:rsidRPr="00131A15">
        <w:rPr>
          <w:b/>
          <w:bCs/>
          <w:snapToGrid w:val="0"/>
          <w:u w:val="single"/>
          <w:lang w:val="fr-FR"/>
        </w:rPr>
        <w:t xml:space="preserve">, </w:t>
      </w:r>
      <w:r>
        <w:rPr>
          <w:b/>
          <w:bCs/>
          <w:snapToGrid w:val="0"/>
          <w:u w:val="single"/>
          <w:lang w:val="fr-FR"/>
        </w:rPr>
        <w:t>les lésions oculaires graves et l</w:t>
      </w:r>
      <w:r w:rsidR="00BA06ED">
        <w:rPr>
          <w:b/>
          <w:bCs/>
          <w:snapToGrid w:val="0"/>
          <w:u w:val="single"/>
          <w:lang w:val="fr-FR"/>
        </w:rPr>
        <w:t>’</w:t>
      </w:r>
      <w:r w:rsidRPr="00131A15">
        <w:rPr>
          <w:b/>
          <w:bCs/>
          <w:snapToGrid w:val="0"/>
          <w:u w:val="single"/>
          <w:lang w:val="fr-FR"/>
        </w:rPr>
        <w:t xml:space="preserve">irritation oculaire, </w:t>
      </w:r>
      <w:r>
        <w:rPr>
          <w:b/>
          <w:bCs/>
          <w:snapToGrid w:val="0"/>
          <w:u w:val="single"/>
          <w:lang w:val="fr-FR"/>
        </w:rPr>
        <w:t xml:space="preserve">la </w:t>
      </w:r>
      <w:r w:rsidRPr="00131A15">
        <w:rPr>
          <w:b/>
          <w:bCs/>
          <w:snapToGrid w:val="0"/>
          <w:u w:val="single"/>
          <w:lang w:val="fr-FR"/>
        </w:rPr>
        <w:t xml:space="preserve">sensibilisation respiratoire ou cutanée, </w:t>
      </w:r>
      <w:r>
        <w:rPr>
          <w:b/>
          <w:bCs/>
          <w:snapToGrid w:val="0"/>
          <w:u w:val="single"/>
          <w:lang w:val="fr-FR"/>
        </w:rPr>
        <w:t xml:space="preserve">la </w:t>
      </w:r>
      <w:r w:rsidRPr="00131A15">
        <w:rPr>
          <w:b/>
          <w:bCs/>
          <w:snapToGrid w:val="0"/>
          <w:u w:val="single"/>
          <w:lang w:val="fr-FR"/>
        </w:rPr>
        <w:t xml:space="preserve">mutagénicité sur les cellules germinales, </w:t>
      </w:r>
      <w:r>
        <w:rPr>
          <w:b/>
          <w:bCs/>
          <w:snapToGrid w:val="0"/>
          <w:u w:val="single"/>
          <w:lang w:val="fr-FR"/>
        </w:rPr>
        <w:t xml:space="preserve">la </w:t>
      </w:r>
      <w:r w:rsidRPr="00131A15">
        <w:rPr>
          <w:b/>
          <w:bCs/>
          <w:snapToGrid w:val="0"/>
          <w:u w:val="single"/>
          <w:lang w:val="fr-FR"/>
        </w:rPr>
        <w:t>cancérogénicité,</w:t>
      </w:r>
      <w:r>
        <w:rPr>
          <w:b/>
          <w:bCs/>
          <w:snapToGrid w:val="0"/>
          <w:u w:val="single"/>
          <w:lang w:val="fr-FR"/>
        </w:rPr>
        <w:t xml:space="preserve"> la </w:t>
      </w:r>
      <w:r w:rsidRPr="00462BCF">
        <w:rPr>
          <w:b/>
          <w:bCs/>
          <w:snapToGrid w:val="0"/>
          <w:u w:val="single"/>
          <w:lang w:val="fr-FR"/>
        </w:rPr>
        <w:t>toxicité pour la reproduction</w:t>
      </w:r>
      <w:r>
        <w:rPr>
          <w:b/>
          <w:bCs/>
          <w:snapToGrid w:val="0"/>
          <w:u w:val="single"/>
          <w:lang w:val="fr-FR"/>
        </w:rPr>
        <w:t xml:space="preserve"> et la toxicité par aspiration, </w:t>
      </w:r>
      <w:r w:rsidRPr="00462BCF">
        <w:rPr>
          <w:b/>
          <w:bCs/>
          <w:snapToGrid w:val="0"/>
          <w:u w:val="single"/>
          <w:lang w:val="fr-FR"/>
        </w:rPr>
        <w:t>sont évalués séparément dans le SGH et ne sont donc pas inclus</w:t>
      </w:r>
      <w:r>
        <w:rPr>
          <w:b/>
          <w:bCs/>
          <w:snapToGrid w:val="0"/>
          <w:u w:val="single"/>
          <w:lang w:val="fr-FR"/>
        </w:rPr>
        <w:t xml:space="preserve"> </w:t>
      </w:r>
      <w:r w:rsidRPr="00462BCF">
        <w:rPr>
          <w:b/>
          <w:bCs/>
          <w:snapToGrid w:val="0"/>
          <w:u w:val="single"/>
          <w:lang w:val="fr-FR"/>
        </w:rPr>
        <w:t>ici</w:t>
      </w:r>
      <w:r w:rsidRPr="00131A15">
        <w:rPr>
          <w:b/>
          <w:bCs/>
          <w:snapToGrid w:val="0"/>
          <w:u w:val="single"/>
          <w:lang w:val="fr-FR"/>
        </w:rPr>
        <w:t>.</w:t>
      </w:r>
    </w:p>
    <w:p w:rsidR="00704C7F" w:rsidRPr="00DE7548" w:rsidRDefault="00704C7F" w:rsidP="00275BD1">
      <w:pPr>
        <w:pStyle w:val="H1G"/>
        <w:ind w:left="2268"/>
        <w:rPr>
          <w:lang w:val="fr-FR"/>
        </w:rPr>
      </w:pPr>
      <w:r w:rsidRPr="00DE7548">
        <w:rPr>
          <w:lang w:val="fr-FR"/>
        </w:rPr>
        <w:t>3.8.3</w:t>
      </w:r>
      <w:r w:rsidRPr="00DE7548">
        <w:rPr>
          <w:lang w:val="fr-FR"/>
        </w:rPr>
        <w:tab/>
        <w:t>Critères de classification des mélanges</w:t>
      </w:r>
    </w:p>
    <w:p w:rsidR="00704C7F" w:rsidRPr="00D21929" w:rsidRDefault="00704C7F" w:rsidP="00704C7F">
      <w:pPr>
        <w:pStyle w:val="SingleTxtG"/>
        <w:rPr>
          <w:b/>
          <w:lang w:val="fr-FR"/>
        </w:rPr>
      </w:pPr>
      <w:r w:rsidRPr="00D21929">
        <w:rPr>
          <w:b/>
          <w:bCs/>
          <w:lang w:val="fr-FR"/>
        </w:rPr>
        <w:t>Recommandation</w:t>
      </w:r>
      <w:r>
        <w:rPr>
          <w:b/>
          <w:bCs/>
          <w:lang w:val="fr-FR"/>
        </w:rPr>
        <w:t> </w:t>
      </w:r>
      <w:r w:rsidRPr="00D21929">
        <w:rPr>
          <w:lang w:val="fr-FR"/>
        </w:rPr>
        <w:t xml:space="preserve">: Modifier les paragraphes </w:t>
      </w:r>
      <w:r w:rsidRPr="00D21929">
        <w:rPr>
          <w:snapToGrid w:val="0"/>
          <w:lang w:val="fr-FR"/>
        </w:rPr>
        <w:t>3.8.3.1 et 3.8.3.4.1 comme suit (</w:t>
      </w:r>
      <w:r>
        <w:rPr>
          <w:bCs/>
          <w:snapToGrid w:val="0"/>
          <w:color w:val="000000"/>
          <w:lang w:val="fr-FR" w:eastAsia="fr-FR"/>
        </w:rPr>
        <w:t>les modifications figurent en caractères gras soulignés</w:t>
      </w:r>
      <w:r w:rsidRPr="00D21929">
        <w:rPr>
          <w:snapToGrid w:val="0"/>
          <w:lang w:val="fr-FR"/>
        </w:rPr>
        <w:t>)</w:t>
      </w:r>
    </w:p>
    <w:p w:rsidR="00704C7F" w:rsidRPr="00A220E1" w:rsidRDefault="00704C7F" w:rsidP="00275BD1">
      <w:pPr>
        <w:pStyle w:val="SingleTxtG"/>
        <w:tabs>
          <w:tab w:val="left" w:pos="2268"/>
        </w:tabs>
        <w:rPr>
          <w:snapToGrid w:val="0"/>
          <w:u w:val="single"/>
          <w:lang w:val="fr-FR"/>
        </w:rPr>
      </w:pPr>
      <w:r w:rsidRPr="00151212">
        <w:rPr>
          <w:snapToGrid w:val="0"/>
          <w:lang w:val="fr-FR"/>
        </w:rPr>
        <w:t>3.8.3.1</w:t>
      </w:r>
      <w:r w:rsidRPr="00151212">
        <w:rPr>
          <w:snapToGrid w:val="0"/>
          <w:lang w:val="fr-FR"/>
        </w:rPr>
        <w:tab/>
      </w:r>
      <w:r w:rsidRPr="00151212">
        <w:rPr>
          <w:lang w:val="fr-FR"/>
        </w:rPr>
        <w:t xml:space="preserve">Les mélanges sont classés selon les mêmes critères que les substances ou suivant les principes décrits ci-après. </w:t>
      </w:r>
      <w:r w:rsidRPr="00A220E1">
        <w:rPr>
          <w:lang w:val="fr-FR"/>
        </w:rPr>
        <w:t>À l</w:t>
      </w:r>
      <w:r w:rsidR="00BA06ED">
        <w:rPr>
          <w:lang w:val="fr-FR"/>
        </w:rPr>
        <w:t>’</w:t>
      </w:r>
      <w:r w:rsidRPr="00A220E1">
        <w:rPr>
          <w:lang w:val="fr-FR"/>
        </w:rPr>
        <w:t>instar des substances, les mélanges</w:t>
      </w:r>
      <w:r w:rsidR="008F341B">
        <w:rPr>
          <w:lang w:val="fr-FR"/>
        </w:rPr>
        <w:t xml:space="preserve"> </w:t>
      </w:r>
      <w:r w:rsidRPr="00A220E1">
        <w:rPr>
          <w:b/>
          <w:bCs/>
          <w:snapToGrid w:val="0"/>
          <w:u w:val="single"/>
          <w:lang w:val="fr-FR"/>
        </w:rPr>
        <w:t xml:space="preserve">devraient </w:t>
      </w:r>
      <w:r w:rsidRPr="00A220E1">
        <w:rPr>
          <w:bCs/>
          <w:snapToGrid w:val="0"/>
          <w:lang w:val="fr-FR"/>
        </w:rPr>
        <w:t>être classés</w:t>
      </w:r>
      <w:r>
        <w:rPr>
          <w:lang w:val="fr-FR"/>
        </w:rPr>
        <w:t xml:space="preserve"> </w:t>
      </w:r>
      <w:r>
        <w:rPr>
          <w:b/>
          <w:u w:val="single"/>
          <w:lang w:val="fr-FR"/>
        </w:rPr>
        <w:t xml:space="preserve">séparément </w:t>
      </w:r>
      <w:r w:rsidRPr="00A220E1">
        <w:rPr>
          <w:lang w:val="fr-FR"/>
        </w:rPr>
        <w:t>en raison de leur toxicité pour un organe cible</w:t>
      </w:r>
      <w:r w:rsidRPr="00DD2F6C">
        <w:rPr>
          <w:u w:val="single"/>
          <w:lang w:val="fr-FR"/>
        </w:rPr>
        <w:t xml:space="preserve"> </w:t>
      </w:r>
      <w:r>
        <w:rPr>
          <w:b/>
          <w:bCs/>
          <w:snapToGrid w:val="0"/>
          <w:u w:val="single"/>
          <w:lang w:val="fr-FR"/>
        </w:rPr>
        <w:t>à la suite d</w:t>
      </w:r>
      <w:r w:rsidR="00BA06ED">
        <w:rPr>
          <w:b/>
          <w:bCs/>
          <w:snapToGrid w:val="0"/>
          <w:u w:val="single"/>
          <w:lang w:val="fr-FR"/>
        </w:rPr>
        <w:t>’</w:t>
      </w:r>
      <w:r>
        <w:rPr>
          <w:b/>
          <w:bCs/>
          <w:snapToGrid w:val="0"/>
          <w:u w:val="single"/>
          <w:lang w:val="fr-FR"/>
        </w:rPr>
        <w:t>une exposition unique et à la suite d</w:t>
      </w:r>
      <w:r w:rsidR="00BA06ED">
        <w:rPr>
          <w:b/>
          <w:bCs/>
          <w:snapToGrid w:val="0"/>
          <w:u w:val="single"/>
          <w:lang w:val="fr-FR"/>
        </w:rPr>
        <w:t>’</w:t>
      </w:r>
      <w:r>
        <w:rPr>
          <w:b/>
          <w:bCs/>
          <w:snapToGrid w:val="0"/>
          <w:u w:val="single"/>
          <w:lang w:val="fr-FR"/>
        </w:rPr>
        <w:t>expositions répétées</w:t>
      </w:r>
      <w:r w:rsidRPr="00A220E1">
        <w:rPr>
          <w:b/>
          <w:snapToGrid w:val="0"/>
          <w:u w:val="single"/>
          <w:lang w:val="fr-FR"/>
        </w:rPr>
        <w:t xml:space="preserve"> (cha</w:t>
      </w:r>
      <w:r w:rsidR="00BF21C2">
        <w:rPr>
          <w:b/>
          <w:snapToGrid w:val="0"/>
          <w:u w:val="single"/>
          <w:lang w:val="fr-FR"/>
        </w:rPr>
        <w:t>p. </w:t>
      </w:r>
      <w:r w:rsidRPr="00A220E1">
        <w:rPr>
          <w:b/>
          <w:snapToGrid w:val="0"/>
          <w:u w:val="single"/>
          <w:lang w:val="fr-FR"/>
        </w:rPr>
        <w:t>3.9)</w:t>
      </w:r>
      <w:r w:rsidRPr="00A220E1">
        <w:rPr>
          <w:snapToGrid w:val="0"/>
          <w:lang w:val="fr-FR"/>
        </w:rPr>
        <w:t>.</w:t>
      </w:r>
    </w:p>
    <w:p w:rsidR="00704C7F" w:rsidRPr="003132C6" w:rsidRDefault="00704C7F" w:rsidP="00704C7F">
      <w:pPr>
        <w:pStyle w:val="SingleTxtG"/>
        <w:rPr>
          <w:snapToGrid w:val="0"/>
          <w:lang w:val="fr-FR"/>
        </w:rPr>
      </w:pPr>
      <w:r w:rsidRPr="00A220E1">
        <w:rPr>
          <w:snapToGrid w:val="0"/>
          <w:lang w:val="fr-FR"/>
        </w:rPr>
        <w:t>3.8.3.4.1</w:t>
      </w:r>
      <w:r w:rsidRPr="00A220E1">
        <w:rPr>
          <w:snapToGrid w:val="0"/>
          <w:lang w:val="fr-FR"/>
        </w:rPr>
        <w:tab/>
      </w:r>
      <w:r w:rsidRPr="00A220E1">
        <w:rPr>
          <w:lang w:val="fr-FR"/>
        </w:rPr>
        <w:t>S</w:t>
      </w:r>
      <w:r w:rsidR="00BA06ED">
        <w:rPr>
          <w:lang w:val="fr-FR"/>
        </w:rPr>
        <w:t>’</w:t>
      </w:r>
      <w:r w:rsidRPr="00A220E1">
        <w:rPr>
          <w:lang w:val="fr-FR"/>
        </w:rPr>
        <w:t>il n</w:t>
      </w:r>
      <w:r w:rsidR="00BA06ED">
        <w:rPr>
          <w:lang w:val="fr-FR"/>
        </w:rPr>
        <w:t>’</w:t>
      </w:r>
      <w:r w:rsidRPr="00A220E1">
        <w:rPr>
          <w:lang w:val="fr-FR"/>
        </w:rPr>
        <w:t>existe pas de données fiables ou de données expérimentales concernant le mélange lui-même et que les principes d</w:t>
      </w:r>
      <w:r w:rsidR="00BA06ED">
        <w:rPr>
          <w:lang w:val="fr-FR"/>
        </w:rPr>
        <w:t>’</w:t>
      </w:r>
      <w:r w:rsidRPr="00A220E1">
        <w:rPr>
          <w:lang w:val="fr-FR"/>
        </w:rPr>
        <w:t>extrapolation ne peuvent s</w:t>
      </w:r>
      <w:r w:rsidR="00BA06ED">
        <w:rPr>
          <w:lang w:val="fr-FR"/>
        </w:rPr>
        <w:t>’</w:t>
      </w:r>
      <w:r w:rsidRPr="00A220E1">
        <w:rPr>
          <w:lang w:val="fr-FR"/>
        </w:rPr>
        <w:t xml:space="preserve">appliquer à la classification, alors la classification du mélange se fonde sur celle des composants. </w:t>
      </w:r>
      <w:r w:rsidRPr="003132C6">
        <w:rPr>
          <w:lang w:val="fr-FR"/>
        </w:rPr>
        <w:t>Dans ce cas, le mélange sera classé comme toxique pour un organe cible (l</w:t>
      </w:r>
      <w:r w:rsidR="00BA06ED">
        <w:rPr>
          <w:lang w:val="fr-FR"/>
        </w:rPr>
        <w:t>’</w:t>
      </w:r>
      <w:r w:rsidRPr="003132C6">
        <w:rPr>
          <w:lang w:val="fr-FR"/>
        </w:rPr>
        <w:t>organe étant spécifié)</w:t>
      </w:r>
      <w:r w:rsidRPr="003132C6">
        <w:rPr>
          <w:snapToGrid w:val="0"/>
          <w:lang w:val="fr-FR"/>
        </w:rPr>
        <w:t xml:space="preserve">, </w:t>
      </w:r>
      <w:r w:rsidRPr="003132C6">
        <w:rPr>
          <w:b/>
          <w:bCs/>
          <w:snapToGrid w:val="0"/>
          <w:u w:val="single"/>
          <w:lang w:val="fr-FR"/>
        </w:rPr>
        <w:t>à</w:t>
      </w:r>
      <w:r w:rsidR="00BF21C2">
        <w:rPr>
          <w:b/>
          <w:bCs/>
          <w:snapToGrid w:val="0"/>
          <w:u w:val="single"/>
          <w:lang w:val="fr-FR"/>
        </w:rPr>
        <w:t> </w:t>
      </w:r>
      <w:r w:rsidRPr="003132C6">
        <w:rPr>
          <w:b/>
          <w:bCs/>
          <w:snapToGrid w:val="0"/>
          <w:u w:val="single"/>
          <w:lang w:val="fr-FR"/>
        </w:rPr>
        <w:t>la suite d</w:t>
      </w:r>
      <w:r w:rsidR="00BA06ED">
        <w:rPr>
          <w:b/>
          <w:bCs/>
          <w:snapToGrid w:val="0"/>
          <w:u w:val="single"/>
          <w:lang w:val="fr-FR"/>
        </w:rPr>
        <w:t>’</w:t>
      </w:r>
      <w:r w:rsidRPr="003132C6">
        <w:rPr>
          <w:b/>
          <w:bCs/>
          <w:snapToGrid w:val="0"/>
          <w:u w:val="single"/>
          <w:lang w:val="fr-FR"/>
        </w:rPr>
        <w:t>une exposition unique,</w:t>
      </w:r>
      <w:r w:rsidRPr="00BF21C2">
        <w:rPr>
          <w:bCs/>
          <w:snapToGrid w:val="0"/>
          <w:u w:val="single"/>
          <w:lang w:val="fr-FR"/>
        </w:rPr>
        <w:t xml:space="preserve"> </w:t>
      </w:r>
      <w:r w:rsidRPr="003132C6">
        <w:rPr>
          <w:lang w:val="fr-FR"/>
        </w:rPr>
        <w:t>s</w:t>
      </w:r>
      <w:r w:rsidR="00BA06ED">
        <w:rPr>
          <w:lang w:val="fr-FR"/>
        </w:rPr>
        <w:t>’</w:t>
      </w:r>
      <w:r w:rsidRPr="003132C6">
        <w:rPr>
          <w:lang w:val="fr-FR"/>
        </w:rPr>
        <w:t>il renferme au moins un composant classé comme toxique systémique ou toxique pour un orga</w:t>
      </w:r>
      <w:r>
        <w:rPr>
          <w:lang w:val="fr-FR"/>
        </w:rPr>
        <w:t>ne cible de la Catégorie 1 ou 2</w:t>
      </w:r>
      <w:r w:rsidRPr="003132C6">
        <w:rPr>
          <w:snapToGrid w:val="0"/>
          <w:lang w:val="fr-FR"/>
        </w:rPr>
        <w:t xml:space="preserve"> </w:t>
      </w:r>
      <w:r>
        <w:rPr>
          <w:b/>
          <w:bCs/>
          <w:snapToGrid w:val="0"/>
          <w:u w:val="single"/>
          <w:lang w:val="fr-FR"/>
        </w:rPr>
        <w:t>(exposition unique)</w:t>
      </w:r>
      <w:r w:rsidRPr="003132C6">
        <w:rPr>
          <w:snapToGrid w:val="0"/>
          <w:lang w:val="fr-FR"/>
        </w:rPr>
        <w:t xml:space="preserve"> </w:t>
      </w:r>
      <w:r w:rsidRPr="003132C6">
        <w:rPr>
          <w:lang w:val="fr-FR"/>
        </w:rPr>
        <w:t>à une concentration supérieure ou égale à la valeur seuil/limite de concentration appropriée mentio</w:t>
      </w:r>
      <w:r>
        <w:rPr>
          <w:lang w:val="fr-FR"/>
        </w:rPr>
        <w:t>nnée au tableau</w:t>
      </w:r>
      <w:r w:rsidR="0032781F">
        <w:rPr>
          <w:lang w:val="fr-FR"/>
        </w:rPr>
        <w:t> </w:t>
      </w:r>
      <w:r>
        <w:rPr>
          <w:lang w:val="fr-FR"/>
        </w:rPr>
        <w:t>3.8.2 pour les C</w:t>
      </w:r>
      <w:r w:rsidRPr="003132C6">
        <w:rPr>
          <w:lang w:val="fr-FR"/>
        </w:rPr>
        <w:t>atégories 1 et 2</w:t>
      </w:r>
      <w:r w:rsidRPr="003132C6">
        <w:rPr>
          <w:snapToGrid w:val="0"/>
          <w:lang w:val="fr-FR"/>
        </w:rPr>
        <w:t>.</w:t>
      </w:r>
    </w:p>
    <w:p w:rsidR="00704C7F" w:rsidRPr="00FA5816" w:rsidRDefault="00704C7F" w:rsidP="00704C7F">
      <w:pPr>
        <w:pStyle w:val="SingleTxtG"/>
        <w:rPr>
          <w:snapToGrid w:val="0"/>
          <w:lang w:val="fr-FR"/>
        </w:rPr>
      </w:pPr>
      <w:r w:rsidRPr="00FA5816">
        <w:rPr>
          <w:b/>
          <w:lang w:val="fr-FR"/>
        </w:rPr>
        <w:t>Recommandation</w:t>
      </w:r>
      <w:r w:rsidRPr="005B62CB">
        <w:rPr>
          <w:lang w:val="fr-FR"/>
        </w:rPr>
        <w:t xml:space="preserve"> : </w:t>
      </w:r>
      <w:r w:rsidRPr="00FA5816">
        <w:rPr>
          <w:lang w:val="fr-FR"/>
        </w:rPr>
        <w:t xml:space="preserve">Supprimer les paragraphes 3.8.3.4.2 </w:t>
      </w:r>
      <w:r>
        <w:rPr>
          <w:lang w:val="fr-FR"/>
        </w:rPr>
        <w:t xml:space="preserve">et </w:t>
      </w:r>
      <w:r w:rsidRPr="00FA5816">
        <w:rPr>
          <w:lang w:val="fr-FR"/>
        </w:rPr>
        <w:t>3.8.3.4.3.</w:t>
      </w:r>
    </w:p>
    <w:p w:rsidR="00704C7F" w:rsidRPr="00DE7548" w:rsidRDefault="00704C7F" w:rsidP="00704C7F">
      <w:pPr>
        <w:pStyle w:val="H1G"/>
        <w:rPr>
          <w:lang w:val="fr-FR"/>
        </w:rPr>
      </w:pPr>
      <w:r w:rsidRPr="00FA5816">
        <w:rPr>
          <w:lang w:val="fr-FR"/>
        </w:rPr>
        <w:lastRenderedPageBreak/>
        <w:tab/>
      </w:r>
      <w:r w:rsidRPr="00FA5816">
        <w:rPr>
          <w:lang w:val="fr-FR"/>
        </w:rPr>
        <w:tab/>
      </w:r>
      <w:r w:rsidRPr="00DE7548">
        <w:rPr>
          <w:lang w:val="fr-FR"/>
        </w:rPr>
        <w:t xml:space="preserve">Chapitre 3.9 </w:t>
      </w:r>
      <w:r>
        <w:rPr>
          <w:lang w:val="fr-FR"/>
        </w:rPr>
        <w:t>(T</w:t>
      </w:r>
      <w:r w:rsidRPr="00DE7548">
        <w:rPr>
          <w:bCs/>
          <w:color w:val="000000"/>
          <w:lang w:val="fr-FR" w:eastAsia="fr-FR"/>
        </w:rPr>
        <w:t>oxicité pour certains organes cibles</w:t>
      </w:r>
      <w:r>
        <w:rPr>
          <w:bCs/>
          <w:color w:val="000000"/>
          <w:lang w:val="fr-FR" w:eastAsia="fr-FR"/>
        </w:rPr>
        <w:t xml:space="preserve"> </w:t>
      </w:r>
      <w:r w:rsidR="007014D2">
        <w:rPr>
          <w:bCs/>
          <w:color w:val="000000"/>
          <w:lang w:val="fr-FR" w:eastAsia="fr-FR"/>
        </w:rPr>
        <w:t>−</w:t>
      </w:r>
      <w:r>
        <w:rPr>
          <w:bCs/>
          <w:color w:val="000000"/>
          <w:lang w:val="fr-FR" w:eastAsia="fr-FR"/>
        </w:rPr>
        <w:t xml:space="preserve"> Ex</w:t>
      </w:r>
      <w:r w:rsidRPr="00DE7548">
        <w:rPr>
          <w:bCs/>
          <w:color w:val="000000"/>
          <w:lang w:val="fr-FR" w:eastAsia="fr-FR"/>
        </w:rPr>
        <w:t>positions répétées</w:t>
      </w:r>
      <w:r>
        <w:rPr>
          <w:bCs/>
          <w:color w:val="000000"/>
          <w:lang w:val="fr-FR" w:eastAsia="fr-FR"/>
        </w:rPr>
        <w:t>)</w:t>
      </w:r>
    </w:p>
    <w:p w:rsidR="00704C7F" w:rsidRPr="00DE7548" w:rsidRDefault="00704C7F" w:rsidP="007014D2">
      <w:pPr>
        <w:pStyle w:val="H1G"/>
        <w:ind w:left="2268"/>
        <w:rPr>
          <w:lang w:val="fr-FR" w:eastAsia="fr-FR"/>
        </w:rPr>
      </w:pPr>
      <w:r w:rsidRPr="00DE7548">
        <w:rPr>
          <w:lang w:val="fr-FR" w:eastAsia="fr-FR"/>
        </w:rPr>
        <w:t>3.9.1</w:t>
      </w:r>
      <w:r w:rsidRPr="00DE7548">
        <w:rPr>
          <w:lang w:val="fr-FR" w:eastAsia="fr-FR"/>
        </w:rPr>
        <w:tab/>
      </w:r>
      <w:r w:rsidRPr="00DE7548">
        <w:rPr>
          <w:lang w:val="fr-FR"/>
        </w:rPr>
        <w:t>Définitions et considérations générales</w:t>
      </w:r>
    </w:p>
    <w:p w:rsidR="00704C7F" w:rsidRPr="00DE7548" w:rsidRDefault="00704C7F" w:rsidP="00704C7F">
      <w:pPr>
        <w:pStyle w:val="SingleTxtG"/>
        <w:rPr>
          <w:bCs/>
          <w:color w:val="000000"/>
          <w:lang w:val="fr-FR" w:eastAsia="fr-FR"/>
        </w:rPr>
      </w:pPr>
      <w:r w:rsidRPr="00DE7548">
        <w:rPr>
          <w:b/>
          <w:lang w:val="fr-FR"/>
        </w:rPr>
        <w:t>Recommandation</w:t>
      </w:r>
      <w:r w:rsidRPr="007014D2">
        <w:rPr>
          <w:lang w:val="fr-FR"/>
        </w:rPr>
        <w:t xml:space="preserve"> : </w:t>
      </w:r>
      <w:r w:rsidRPr="00DE7548">
        <w:rPr>
          <w:lang w:val="fr-FR"/>
        </w:rPr>
        <w:t>Modifier la deuxième phrase du paragraphe</w:t>
      </w:r>
      <w:r>
        <w:rPr>
          <w:lang w:val="fr-FR"/>
        </w:rPr>
        <w:t> </w:t>
      </w:r>
      <w:r w:rsidRPr="00DE7548">
        <w:rPr>
          <w:lang w:val="fr-FR"/>
        </w:rPr>
        <w:t xml:space="preserve">3.9.1.1 </w:t>
      </w:r>
      <w:r>
        <w:rPr>
          <w:lang w:val="fr-FR"/>
        </w:rPr>
        <w:t xml:space="preserve">comme suit </w:t>
      </w:r>
      <w:r w:rsidRPr="00DE7548">
        <w:rPr>
          <w:lang w:val="fr-FR"/>
        </w:rPr>
        <w:t>(</w:t>
      </w:r>
      <w:r>
        <w:rPr>
          <w:lang w:val="fr-FR"/>
        </w:rPr>
        <w:t xml:space="preserve">les ajouts </w:t>
      </w:r>
      <w:r>
        <w:rPr>
          <w:bCs/>
          <w:snapToGrid w:val="0"/>
          <w:color w:val="000000"/>
          <w:lang w:val="fr-FR" w:eastAsia="fr-FR"/>
        </w:rPr>
        <w:t>figurent en caractères gras soulignés</w:t>
      </w:r>
      <w:r w:rsidRPr="00DE7548">
        <w:rPr>
          <w:lang w:val="fr-FR"/>
        </w:rPr>
        <w:t>)</w:t>
      </w:r>
    </w:p>
    <w:p w:rsidR="00704C7F" w:rsidRPr="00DE7548" w:rsidRDefault="00704C7F" w:rsidP="00704C7F">
      <w:pPr>
        <w:pStyle w:val="SingleTxtG"/>
        <w:rPr>
          <w:snapToGrid w:val="0"/>
          <w:lang w:val="fr-FR"/>
        </w:rPr>
      </w:pPr>
      <w:r w:rsidRPr="00DE7548">
        <w:rPr>
          <w:lang w:val="fr-FR"/>
        </w:rPr>
        <w:t>Il englobe tous les effets marquants susceptibles d</w:t>
      </w:r>
      <w:r w:rsidR="00BA06ED">
        <w:rPr>
          <w:lang w:val="fr-FR"/>
        </w:rPr>
        <w:t>’</w:t>
      </w:r>
      <w:r w:rsidRPr="00DE7548">
        <w:rPr>
          <w:lang w:val="fr-FR"/>
        </w:rPr>
        <w:t>altérer le fonctionnement, qu</w:t>
      </w:r>
      <w:r w:rsidR="00BA06ED">
        <w:rPr>
          <w:lang w:val="fr-FR"/>
        </w:rPr>
        <w:t>’</w:t>
      </w:r>
      <w:r w:rsidRPr="00DE7548">
        <w:rPr>
          <w:lang w:val="fr-FR"/>
        </w:rPr>
        <w:t>ils soient réversibles ou irréversibles, immédiats et/ou retardés</w:t>
      </w:r>
      <w:r w:rsidRPr="00DE7548">
        <w:rPr>
          <w:snapToGrid w:val="0"/>
          <w:lang w:val="fr-FR"/>
        </w:rPr>
        <w:t xml:space="preserve"> </w:t>
      </w:r>
      <w:r>
        <w:rPr>
          <w:b/>
          <w:snapToGrid w:val="0"/>
          <w:u w:val="single"/>
          <w:lang w:val="fr-FR"/>
        </w:rPr>
        <w:t xml:space="preserve">et qui ne sont pas spécifiquement traités dans les </w:t>
      </w:r>
      <w:r w:rsidRPr="00DB5F58">
        <w:rPr>
          <w:b/>
          <w:snapToGrid w:val="0"/>
          <w:u w:val="single"/>
          <w:lang w:val="fr-FR"/>
        </w:rPr>
        <w:t xml:space="preserve">chapitres 3.1 à 3.7 et 3.10 </w:t>
      </w:r>
      <w:r w:rsidRPr="00DB5F58">
        <w:rPr>
          <w:b/>
          <w:bCs/>
          <w:snapToGrid w:val="0"/>
          <w:u w:val="single"/>
          <w:lang w:val="fr-FR"/>
        </w:rPr>
        <w:t>(voir</w:t>
      </w:r>
      <w:r>
        <w:rPr>
          <w:b/>
          <w:bCs/>
          <w:snapToGrid w:val="0"/>
          <w:u w:val="single"/>
          <w:lang w:val="fr-FR"/>
        </w:rPr>
        <w:t xml:space="preserve"> aussi </w:t>
      </w:r>
      <w:r w:rsidRPr="00DE7548">
        <w:rPr>
          <w:b/>
          <w:bCs/>
          <w:snapToGrid w:val="0"/>
          <w:u w:val="single"/>
          <w:lang w:val="fr-FR"/>
        </w:rPr>
        <w:t>3.9.1.6).</w:t>
      </w:r>
    </w:p>
    <w:p w:rsidR="00704C7F" w:rsidRPr="006F7B3F" w:rsidRDefault="00704C7F" w:rsidP="00704C7F">
      <w:pPr>
        <w:pStyle w:val="SingleTxtG"/>
        <w:rPr>
          <w:b/>
          <w:lang w:val="fr-FR"/>
        </w:rPr>
      </w:pPr>
      <w:r w:rsidRPr="006F7B3F">
        <w:rPr>
          <w:b/>
          <w:lang w:val="fr-FR"/>
        </w:rPr>
        <w:t>R</w:t>
      </w:r>
      <w:r>
        <w:rPr>
          <w:b/>
          <w:lang w:val="fr-FR"/>
        </w:rPr>
        <w:t>ecomma</w:t>
      </w:r>
      <w:r w:rsidRPr="006F7B3F">
        <w:rPr>
          <w:b/>
          <w:lang w:val="fr-FR"/>
        </w:rPr>
        <w:t>ndation</w:t>
      </w:r>
      <w:r>
        <w:rPr>
          <w:b/>
          <w:lang w:val="fr-FR"/>
        </w:rPr>
        <w:t> </w:t>
      </w:r>
      <w:r w:rsidRPr="006F7B3F">
        <w:rPr>
          <w:b/>
          <w:lang w:val="fr-FR"/>
        </w:rPr>
        <w:t xml:space="preserve">: </w:t>
      </w:r>
      <w:r w:rsidRPr="006F7B3F">
        <w:rPr>
          <w:lang w:val="fr-FR"/>
        </w:rPr>
        <w:t>Modifier le paragraphe</w:t>
      </w:r>
      <w:r>
        <w:rPr>
          <w:lang w:val="fr-FR"/>
        </w:rPr>
        <w:t> </w:t>
      </w:r>
      <w:r w:rsidRPr="006F7B3F">
        <w:rPr>
          <w:lang w:val="fr-FR"/>
        </w:rPr>
        <w:t>3.9.1.6 comme suit (les ajouts et les modifications figurant en caractères gras soulignés</w:t>
      </w:r>
      <w:r>
        <w:rPr>
          <w:lang w:val="fr-FR"/>
        </w:rPr>
        <w:t>)</w:t>
      </w:r>
    </w:p>
    <w:p w:rsidR="00704C7F" w:rsidRPr="007C7723" w:rsidRDefault="00704C7F" w:rsidP="007014D2">
      <w:pPr>
        <w:pStyle w:val="SingleTxtG"/>
        <w:tabs>
          <w:tab w:val="left" w:pos="2268"/>
        </w:tabs>
        <w:rPr>
          <w:snapToGrid w:val="0"/>
          <w:lang w:val="fr-FR"/>
        </w:rPr>
      </w:pPr>
      <w:r w:rsidRPr="007C7723">
        <w:rPr>
          <w:snapToGrid w:val="0"/>
          <w:lang w:val="fr-FR"/>
        </w:rPr>
        <w:t>3.9.1.6</w:t>
      </w:r>
      <w:r w:rsidRPr="007C7723">
        <w:rPr>
          <w:snapToGrid w:val="0"/>
          <w:lang w:val="fr-FR"/>
        </w:rPr>
        <w:tab/>
      </w:r>
      <w:r w:rsidRPr="007C7723">
        <w:rPr>
          <w:lang w:val="fr-FR"/>
        </w:rPr>
        <w:t>Les effets toxiques non létaux observés à la suite d</w:t>
      </w:r>
      <w:r w:rsidR="00BA06ED">
        <w:rPr>
          <w:lang w:val="fr-FR"/>
        </w:rPr>
        <w:t>’</w:t>
      </w:r>
      <w:r w:rsidRPr="007C7723">
        <w:rPr>
          <w:lang w:val="fr-FR"/>
        </w:rPr>
        <w:t>une exposition unique étant classés dans le SGH, ainsi que le décrit le chapitre</w:t>
      </w:r>
      <w:r w:rsidR="002D5C4C">
        <w:rPr>
          <w:lang w:val="fr-FR"/>
        </w:rPr>
        <w:t> </w:t>
      </w:r>
      <w:r w:rsidRPr="007C7723">
        <w:rPr>
          <w:lang w:val="fr-FR"/>
        </w:rPr>
        <w:t xml:space="preserve">3.8 « </w:t>
      </w:r>
      <w:r w:rsidRPr="007C7723">
        <w:rPr>
          <w:i/>
          <w:lang w:val="fr-FR"/>
        </w:rPr>
        <w:t xml:space="preserve">Toxicité pour certains organes cibles </w:t>
      </w:r>
      <w:r w:rsidR="002D5C4C">
        <w:rPr>
          <w:i/>
          <w:lang w:val="fr-FR"/>
        </w:rPr>
        <w:t>−</w:t>
      </w:r>
      <w:r w:rsidRPr="007C7723">
        <w:rPr>
          <w:i/>
          <w:lang w:val="fr-FR"/>
        </w:rPr>
        <w:t xml:space="preserve"> Exposition unique</w:t>
      </w:r>
      <w:r w:rsidRPr="007C7723">
        <w:rPr>
          <w:lang w:val="fr-FR"/>
        </w:rPr>
        <w:t xml:space="preserve"> »</w:t>
      </w:r>
      <w:r>
        <w:rPr>
          <w:lang w:val="fr-FR"/>
        </w:rPr>
        <w:t>,</w:t>
      </w:r>
      <w:r w:rsidRPr="007C7723">
        <w:rPr>
          <w:lang w:val="fr-FR"/>
        </w:rPr>
        <w:t xml:space="preserve"> ils sont donc exclus du présent chapitre.</w:t>
      </w:r>
      <w:r w:rsidRPr="007C7723">
        <w:rPr>
          <w:snapToGrid w:val="0"/>
          <w:lang w:val="fr-FR"/>
        </w:rPr>
        <w:t xml:space="preserve"> </w:t>
      </w:r>
      <w:r w:rsidRPr="007C7723">
        <w:rPr>
          <w:b/>
          <w:bCs/>
          <w:snapToGrid w:val="0"/>
          <w:u w:val="single"/>
          <w:lang w:val="fr-FR"/>
        </w:rPr>
        <w:t xml:space="preserve">Les </w:t>
      </w:r>
      <w:r>
        <w:rPr>
          <w:b/>
          <w:bCs/>
          <w:snapToGrid w:val="0"/>
          <w:u w:val="single"/>
          <w:lang w:val="fr-FR"/>
        </w:rPr>
        <w:t>substance</w:t>
      </w:r>
      <w:r w:rsidRPr="007C7723">
        <w:rPr>
          <w:b/>
          <w:bCs/>
          <w:snapToGrid w:val="0"/>
          <w:u w:val="single"/>
          <w:lang w:val="fr-FR"/>
        </w:rPr>
        <w:t xml:space="preserve">s et </w:t>
      </w:r>
      <w:r>
        <w:rPr>
          <w:b/>
          <w:bCs/>
          <w:snapToGrid w:val="0"/>
          <w:u w:val="single"/>
          <w:lang w:val="fr-FR"/>
        </w:rPr>
        <w:t xml:space="preserve">les </w:t>
      </w:r>
      <w:r w:rsidRPr="007C7723">
        <w:rPr>
          <w:b/>
          <w:bCs/>
          <w:snapToGrid w:val="0"/>
          <w:u w:val="single"/>
          <w:lang w:val="fr-FR"/>
        </w:rPr>
        <w:t xml:space="preserve">mélanges devraient </w:t>
      </w:r>
      <w:r w:rsidRPr="00131A15">
        <w:rPr>
          <w:b/>
          <w:bCs/>
          <w:snapToGrid w:val="0"/>
          <w:u w:val="single"/>
          <w:lang w:val="fr-FR"/>
        </w:rPr>
        <w:t xml:space="preserve">être classés </w:t>
      </w:r>
      <w:r>
        <w:rPr>
          <w:b/>
          <w:bCs/>
          <w:snapToGrid w:val="0"/>
          <w:u w:val="single"/>
          <w:lang w:val="fr-FR"/>
        </w:rPr>
        <w:t>séparément en raison de</w:t>
      </w:r>
      <w:r w:rsidRPr="00131A15">
        <w:rPr>
          <w:b/>
          <w:bCs/>
          <w:snapToGrid w:val="0"/>
          <w:u w:val="single"/>
          <w:lang w:val="fr-FR"/>
        </w:rPr>
        <w:t xml:space="preserve"> </w:t>
      </w:r>
      <w:r>
        <w:rPr>
          <w:b/>
          <w:bCs/>
          <w:snapToGrid w:val="0"/>
          <w:u w:val="single"/>
          <w:lang w:val="fr-FR"/>
        </w:rPr>
        <w:t>leur toxicité à la suite d</w:t>
      </w:r>
      <w:r w:rsidR="00BA06ED">
        <w:rPr>
          <w:b/>
          <w:bCs/>
          <w:snapToGrid w:val="0"/>
          <w:u w:val="single"/>
          <w:lang w:val="fr-FR"/>
        </w:rPr>
        <w:t>’</w:t>
      </w:r>
      <w:r>
        <w:rPr>
          <w:b/>
          <w:bCs/>
          <w:snapToGrid w:val="0"/>
          <w:u w:val="single"/>
          <w:lang w:val="fr-FR"/>
        </w:rPr>
        <w:t>une exposition unique et de leur toxicité à la suite d</w:t>
      </w:r>
      <w:r w:rsidR="00BA06ED">
        <w:rPr>
          <w:b/>
          <w:bCs/>
          <w:snapToGrid w:val="0"/>
          <w:u w:val="single"/>
          <w:lang w:val="fr-FR"/>
        </w:rPr>
        <w:t>’</w:t>
      </w:r>
      <w:r>
        <w:rPr>
          <w:b/>
          <w:bCs/>
          <w:snapToGrid w:val="0"/>
          <w:u w:val="single"/>
          <w:lang w:val="fr-FR"/>
        </w:rPr>
        <w:t>expositions répétées</w:t>
      </w:r>
      <w:r w:rsidRPr="00131A15">
        <w:rPr>
          <w:b/>
          <w:bCs/>
          <w:snapToGrid w:val="0"/>
          <w:u w:val="single"/>
          <w:lang w:val="fr-FR"/>
        </w:rPr>
        <w:t>.</w:t>
      </w:r>
      <w:r w:rsidRPr="007C7723">
        <w:rPr>
          <w:snapToGrid w:val="0"/>
          <w:lang w:val="fr-FR"/>
        </w:rPr>
        <w:t xml:space="preserve"> </w:t>
      </w:r>
      <w:r w:rsidRPr="007C7723">
        <w:rPr>
          <w:lang w:val="fr-FR"/>
        </w:rPr>
        <w:t>D</w:t>
      </w:r>
      <w:r w:rsidR="00BA06ED">
        <w:rPr>
          <w:lang w:val="fr-FR"/>
        </w:rPr>
        <w:t>’</w:t>
      </w:r>
      <w:r w:rsidRPr="007C7723">
        <w:rPr>
          <w:lang w:val="fr-FR"/>
        </w:rPr>
        <w:t>autres effets toxiques spécifiques, tels que la toxicité aiguë</w:t>
      </w:r>
      <w:r w:rsidRPr="007C7723">
        <w:rPr>
          <w:snapToGrid w:val="0"/>
          <w:lang w:val="fr-FR"/>
        </w:rPr>
        <w:t xml:space="preserve">, </w:t>
      </w:r>
      <w:r w:rsidRPr="007C7723">
        <w:rPr>
          <w:b/>
          <w:bCs/>
          <w:snapToGrid w:val="0"/>
          <w:u w:val="single"/>
          <w:lang w:val="fr-FR"/>
        </w:rPr>
        <w:t>la corrosion et l</w:t>
      </w:r>
      <w:r w:rsidR="00BA06ED">
        <w:rPr>
          <w:b/>
          <w:bCs/>
          <w:snapToGrid w:val="0"/>
          <w:u w:val="single"/>
          <w:lang w:val="fr-FR"/>
        </w:rPr>
        <w:t>’</w:t>
      </w:r>
      <w:r w:rsidRPr="007C7723">
        <w:rPr>
          <w:b/>
          <w:bCs/>
          <w:snapToGrid w:val="0"/>
          <w:u w:val="single"/>
          <w:lang w:val="fr-FR"/>
        </w:rPr>
        <w:t>irritation cutanées, les lésions oculaires graves et l</w:t>
      </w:r>
      <w:r w:rsidR="00BA06ED">
        <w:rPr>
          <w:b/>
          <w:bCs/>
          <w:snapToGrid w:val="0"/>
          <w:u w:val="single"/>
          <w:lang w:val="fr-FR"/>
        </w:rPr>
        <w:t>’</w:t>
      </w:r>
      <w:r w:rsidRPr="007C7723">
        <w:rPr>
          <w:b/>
          <w:bCs/>
          <w:snapToGrid w:val="0"/>
          <w:u w:val="single"/>
          <w:lang w:val="fr-FR"/>
        </w:rPr>
        <w:t>irritation</w:t>
      </w:r>
      <w:r>
        <w:rPr>
          <w:b/>
          <w:bCs/>
          <w:snapToGrid w:val="0"/>
          <w:u w:val="single"/>
          <w:lang w:val="fr-FR"/>
        </w:rPr>
        <w:t xml:space="preserve"> </w:t>
      </w:r>
      <w:r w:rsidRPr="007C7723">
        <w:rPr>
          <w:b/>
          <w:bCs/>
          <w:snapToGrid w:val="0"/>
          <w:u w:val="single"/>
          <w:lang w:val="fr-FR"/>
        </w:rPr>
        <w:t>oculaire,</w:t>
      </w:r>
      <w:r w:rsidRPr="007C7723">
        <w:rPr>
          <w:snapToGrid w:val="0"/>
          <w:lang w:val="fr-FR"/>
        </w:rPr>
        <w:t xml:space="preserve"> </w:t>
      </w:r>
      <w:r w:rsidRPr="007C7723">
        <w:rPr>
          <w:lang w:val="fr-FR"/>
        </w:rPr>
        <w:t>la sensibilisation cutanée ou respiratoire</w:t>
      </w:r>
      <w:r w:rsidRPr="007C7723">
        <w:rPr>
          <w:snapToGrid w:val="0"/>
          <w:lang w:val="fr-FR"/>
        </w:rPr>
        <w:t xml:space="preserve">, </w:t>
      </w:r>
      <w:r w:rsidRPr="007C7723">
        <w:rPr>
          <w:b/>
          <w:bCs/>
          <w:snapToGrid w:val="0"/>
          <w:u w:val="single"/>
          <w:lang w:val="fr-FR"/>
        </w:rPr>
        <w:t>la</w:t>
      </w:r>
      <w:r>
        <w:rPr>
          <w:b/>
          <w:bCs/>
          <w:snapToGrid w:val="0"/>
          <w:u w:val="single"/>
          <w:lang w:val="fr-FR"/>
        </w:rPr>
        <w:t xml:space="preserve"> </w:t>
      </w:r>
      <w:r w:rsidRPr="007C7723">
        <w:rPr>
          <w:b/>
          <w:bCs/>
          <w:snapToGrid w:val="0"/>
          <w:u w:val="single"/>
          <w:lang w:val="fr-FR"/>
        </w:rPr>
        <w:t xml:space="preserve">mutagénicité sur les cellules germinales, </w:t>
      </w:r>
      <w:r>
        <w:rPr>
          <w:b/>
          <w:bCs/>
          <w:snapToGrid w:val="0"/>
          <w:u w:val="single"/>
          <w:lang w:val="fr-FR"/>
        </w:rPr>
        <w:t xml:space="preserve">la </w:t>
      </w:r>
      <w:r w:rsidRPr="007C7723">
        <w:rPr>
          <w:b/>
          <w:bCs/>
          <w:snapToGrid w:val="0"/>
          <w:u w:val="single"/>
          <w:lang w:val="fr-FR"/>
        </w:rPr>
        <w:t>cancérogénicité</w:t>
      </w:r>
      <w:r w:rsidRPr="00816F2E">
        <w:rPr>
          <w:b/>
          <w:bCs/>
          <w:snapToGrid w:val="0"/>
          <w:u w:val="single"/>
          <w:lang w:val="fr-FR"/>
        </w:rPr>
        <w:t>,</w:t>
      </w:r>
      <w:r w:rsidRPr="00816F2E">
        <w:rPr>
          <w:snapToGrid w:val="0"/>
          <w:u w:val="single"/>
          <w:lang w:val="fr-FR"/>
        </w:rPr>
        <w:t xml:space="preserve"> </w:t>
      </w:r>
      <w:r w:rsidRPr="007C7723">
        <w:rPr>
          <w:lang w:val="fr-FR"/>
        </w:rPr>
        <w:t>la toxicité pour la reproduction et la toxicité par aspiration, aussi évalués séparément dans le SGH, ne sont pas inclus ici.</w:t>
      </w:r>
    </w:p>
    <w:p w:rsidR="00704C7F" w:rsidRPr="00EA442B" w:rsidRDefault="00704C7F" w:rsidP="00816F2E">
      <w:pPr>
        <w:pStyle w:val="H1G"/>
        <w:ind w:left="2268"/>
      </w:pPr>
      <w:r w:rsidRPr="00EA442B">
        <w:t>3.9.3</w:t>
      </w:r>
      <w:r w:rsidRPr="00EA442B">
        <w:tab/>
      </w:r>
      <w:r w:rsidRPr="00BA06ED">
        <w:t>Critères</w:t>
      </w:r>
      <w:r w:rsidRPr="00EA442B">
        <w:t xml:space="preserve"> de classification des mélanges</w:t>
      </w:r>
    </w:p>
    <w:p w:rsidR="00704C7F" w:rsidRPr="006C12F2" w:rsidRDefault="00704C7F" w:rsidP="00704C7F">
      <w:pPr>
        <w:pStyle w:val="SingleTxtG"/>
        <w:rPr>
          <w:snapToGrid w:val="0"/>
          <w:lang w:val="fr-FR"/>
        </w:rPr>
      </w:pPr>
      <w:r w:rsidRPr="006C12F2">
        <w:rPr>
          <w:b/>
          <w:lang w:val="fr-FR"/>
        </w:rPr>
        <w:t>Recommandation</w:t>
      </w:r>
      <w:r>
        <w:rPr>
          <w:b/>
          <w:lang w:val="fr-FR"/>
        </w:rPr>
        <w:t> </w:t>
      </w:r>
      <w:r w:rsidRPr="006C12F2">
        <w:rPr>
          <w:snapToGrid w:val="0"/>
          <w:lang w:val="fr-FR"/>
        </w:rPr>
        <w:t>: Modifier les paragraphes 3.9.3.1 et 3.9.3.4.1 comme suit (</w:t>
      </w:r>
      <w:r w:rsidRPr="006F7B3F">
        <w:rPr>
          <w:lang w:val="fr-FR"/>
        </w:rPr>
        <w:t>les ajouts et les modifications figurant en caractères gras soulignés</w:t>
      </w:r>
      <w:r w:rsidRPr="006C12F2">
        <w:rPr>
          <w:snapToGrid w:val="0"/>
          <w:lang w:val="fr-FR"/>
        </w:rPr>
        <w:t>)</w:t>
      </w:r>
    </w:p>
    <w:p w:rsidR="00704C7F" w:rsidRPr="000470FF" w:rsidRDefault="00704C7F" w:rsidP="00816F2E">
      <w:pPr>
        <w:pStyle w:val="SingleTxtG"/>
        <w:tabs>
          <w:tab w:val="left" w:pos="2268"/>
        </w:tabs>
        <w:rPr>
          <w:snapToGrid w:val="0"/>
          <w:lang w:val="fr-FR"/>
        </w:rPr>
      </w:pPr>
      <w:r w:rsidRPr="006C12F2">
        <w:rPr>
          <w:snapToGrid w:val="0"/>
          <w:lang w:val="fr-FR"/>
        </w:rPr>
        <w:t>3.9.3.1</w:t>
      </w:r>
      <w:r w:rsidRPr="006C12F2">
        <w:rPr>
          <w:snapToGrid w:val="0"/>
          <w:lang w:val="fr-FR"/>
        </w:rPr>
        <w:tab/>
      </w:r>
      <w:r w:rsidRPr="006C12F2">
        <w:rPr>
          <w:lang w:val="fr-FR"/>
        </w:rPr>
        <w:t xml:space="preserve">Les mélanges sont classés selon les mêmes critères que les substances ou suivant les principes décrits ci-après. </w:t>
      </w:r>
      <w:r w:rsidRPr="000470FF">
        <w:rPr>
          <w:lang w:val="fr-FR"/>
        </w:rPr>
        <w:t>À l</w:t>
      </w:r>
      <w:r w:rsidR="00BA06ED">
        <w:rPr>
          <w:lang w:val="fr-FR"/>
        </w:rPr>
        <w:t>’</w:t>
      </w:r>
      <w:r w:rsidRPr="000470FF">
        <w:rPr>
          <w:lang w:val="fr-FR"/>
        </w:rPr>
        <w:t>instar des substances, les mélanges</w:t>
      </w:r>
      <w:r w:rsidRPr="000470FF">
        <w:rPr>
          <w:snapToGrid w:val="0"/>
          <w:lang w:val="fr-FR"/>
        </w:rPr>
        <w:t xml:space="preserve"> </w:t>
      </w:r>
      <w:r w:rsidRPr="007C7723">
        <w:rPr>
          <w:b/>
          <w:bCs/>
          <w:snapToGrid w:val="0"/>
          <w:u w:val="single"/>
          <w:lang w:val="fr-FR"/>
        </w:rPr>
        <w:t xml:space="preserve">devraient </w:t>
      </w:r>
      <w:r w:rsidRPr="00131A15">
        <w:rPr>
          <w:b/>
          <w:bCs/>
          <w:snapToGrid w:val="0"/>
          <w:u w:val="single"/>
          <w:lang w:val="fr-FR"/>
        </w:rPr>
        <w:t xml:space="preserve">être classés </w:t>
      </w:r>
      <w:r>
        <w:rPr>
          <w:b/>
          <w:bCs/>
          <w:snapToGrid w:val="0"/>
          <w:u w:val="single"/>
          <w:lang w:val="fr-FR"/>
        </w:rPr>
        <w:t>séparément en raison de</w:t>
      </w:r>
      <w:r w:rsidRPr="00131A15">
        <w:rPr>
          <w:b/>
          <w:bCs/>
          <w:snapToGrid w:val="0"/>
          <w:u w:val="single"/>
          <w:lang w:val="fr-FR"/>
        </w:rPr>
        <w:t xml:space="preserve"> </w:t>
      </w:r>
      <w:r>
        <w:rPr>
          <w:b/>
          <w:bCs/>
          <w:snapToGrid w:val="0"/>
          <w:u w:val="single"/>
          <w:lang w:val="fr-FR"/>
        </w:rPr>
        <w:t xml:space="preserve">leur toxicité </w:t>
      </w:r>
      <w:r w:rsidRPr="000470FF">
        <w:rPr>
          <w:b/>
          <w:bCs/>
          <w:snapToGrid w:val="0"/>
          <w:u w:val="single"/>
          <w:lang w:val="fr-FR"/>
        </w:rPr>
        <w:t xml:space="preserve">pour certains organes cibles </w:t>
      </w:r>
      <w:r>
        <w:rPr>
          <w:b/>
          <w:bCs/>
          <w:snapToGrid w:val="0"/>
          <w:u w:val="single"/>
          <w:lang w:val="fr-FR"/>
        </w:rPr>
        <w:t>à la suite d</w:t>
      </w:r>
      <w:r w:rsidR="00BA06ED">
        <w:rPr>
          <w:b/>
          <w:bCs/>
          <w:snapToGrid w:val="0"/>
          <w:u w:val="single"/>
          <w:lang w:val="fr-FR"/>
        </w:rPr>
        <w:t>’</w:t>
      </w:r>
      <w:r>
        <w:rPr>
          <w:b/>
          <w:bCs/>
          <w:snapToGrid w:val="0"/>
          <w:u w:val="single"/>
          <w:lang w:val="fr-FR"/>
        </w:rPr>
        <w:t xml:space="preserve">une exposition unique </w:t>
      </w:r>
      <w:r w:rsidRPr="000470FF">
        <w:rPr>
          <w:b/>
          <w:bCs/>
          <w:snapToGrid w:val="0"/>
          <w:u w:val="single"/>
          <w:lang w:val="fr-FR"/>
        </w:rPr>
        <w:t>(</w:t>
      </w:r>
      <w:r>
        <w:rPr>
          <w:b/>
          <w:bCs/>
          <w:snapToGrid w:val="0"/>
          <w:u w:val="single"/>
          <w:lang w:val="fr-FR"/>
        </w:rPr>
        <w:t>chap</w:t>
      </w:r>
      <w:r w:rsidR="00816F2E">
        <w:rPr>
          <w:b/>
          <w:bCs/>
          <w:snapToGrid w:val="0"/>
          <w:u w:val="single"/>
          <w:lang w:val="fr-FR"/>
        </w:rPr>
        <w:t>. </w:t>
      </w:r>
      <w:r w:rsidRPr="000470FF">
        <w:rPr>
          <w:b/>
          <w:bCs/>
          <w:snapToGrid w:val="0"/>
          <w:u w:val="single"/>
          <w:lang w:val="fr-FR"/>
        </w:rPr>
        <w:t xml:space="preserve">3.8) </w:t>
      </w:r>
      <w:r>
        <w:rPr>
          <w:b/>
          <w:bCs/>
          <w:snapToGrid w:val="0"/>
          <w:u w:val="single"/>
          <w:lang w:val="fr-FR"/>
        </w:rPr>
        <w:t>et d</w:t>
      </w:r>
      <w:r w:rsidR="00BA06ED">
        <w:rPr>
          <w:b/>
          <w:bCs/>
          <w:snapToGrid w:val="0"/>
          <w:u w:val="single"/>
          <w:lang w:val="fr-FR"/>
        </w:rPr>
        <w:t>’</w:t>
      </w:r>
      <w:r>
        <w:rPr>
          <w:b/>
          <w:bCs/>
          <w:snapToGrid w:val="0"/>
          <w:u w:val="single"/>
          <w:lang w:val="fr-FR"/>
        </w:rPr>
        <w:t>expositions répétées</w:t>
      </w:r>
      <w:r w:rsidRPr="000470FF">
        <w:rPr>
          <w:b/>
          <w:bCs/>
          <w:snapToGrid w:val="0"/>
          <w:u w:val="single"/>
          <w:lang w:val="fr-FR"/>
        </w:rPr>
        <w:t>.</w:t>
      </w:r>
    </w:p>
    <w:p w:rsidR="00704C7F" w:rsidRPr="00BF3751" w:rsidRDefault="00704C7F" w:rsidP="00704C7F">
      <w:pPr>
        <w:pStyle w:val="SingleTxtG"/>
        <w:rPr>
          <w:snapToGrid w:val="0"/>
          <w:lang w:val="fr-FR"/>
        </w:rPr>
      </w:pPr>
      <w:r w:rsidRPr="00BF3751">
        <w:rPr>
          <w:snapToGrid w:val="0"/>
          <w:lang w:val="fr-FR"/>
        </w:rPr>
        <w:t>3.9.3.4.1</w:t>
      </w:r>
      <w:r w:rsidRPr="00BF3751">
        <w:rPr>
          <w:snapToGrid w:val="0"/>
          <w:lang w:val="fr-FR"/>
        </w:rPr>
        <w:tab/>
      </w:r>
      <w:r w:rsidRPr="00BF3751">
        <w:rPr>
          <w:lang w:val="fr-FR"/>
        </w:rPr>
        <w:t>S</w:t>
      </w:r>
      <w:r w:rsidR="00BA06ED">
        <w:rPr>
          <w:lang w:val="fr-FR"/>
        </w:rPr>
        <w:t>’</w:t>
      </w:r>
      <w:r w:rsidRPr="00BF3751">
        <w:rPr>
          <w:lang w:val="fr-FR"/>
        </w:rPr>
        <w:t>il n</w:t>
      </w:r>
      <w:r w:rsidR="00BA06ED">
        <w:rPr>
          <w:lang w:val="fr-FR"/>
        </w:rPr>
        <w:t>’</w:t>
      </w:r>
      <w:r w:rsidRPr="00BF3751">
        <w:rPr>
          <w:lang w:val="fr-FR"/>
        </w:rPr>
        <w:t>existe pas de données fiables ou de résultats expérimentaux concernant le mélange lui-même et que les principes d</w:t>
      </w:r>
      <w:r w:rsidR="00BA06ED">
        <w:rPr>
          <w:lang w:val="fr-FR"/>
        </w:rPr>
        <w:t>’</w:t>
      </w:r>
      <w:r w:rsidRPr="00BF3751">
        <w:rPr>
          <w:lang w:val="fr-FR"/>
        </w:rPr>
        <w:t>extrapolation ne peuvent s</w:t>
      </w:r>
      <w:r w:rsidR="00BA06ED">
        <w:rPr>
          <w:lang w:val="fr-FR"/>
        </w:rPr>
        <w:t>’</w:t>
      </w:r>
      <w:r w:rsidRPr="00BF3751">
        <w:rPr>
          <w:lang w:val="fr-FR"/>
        </w:rPr>
        <w:t>appliquer à la classification, alors la classification du mélange se fonde sur celle des composants. Dans ce cas, le mélange sera classé comme toxique pour certains organes cibles (les organes étant spécifiés), à la suite</w:t>
      </w:r>
      <w:r w:rsidRPr="00F76D4F">
        <w:rPr>
          <w:b/>
          <w:snapToGrid w:val="0"/>
          <w:u w:val="single"/>
          <w:lang w:val="fr-FR"/>
        </w:rPr>
        <w:t xml:space="preserve"> </w:t>
      </w:r>
      <w:r w:rsidRPr="00BF3751">
        <w:rPr>
          <w:b/>
          <w:bCs/>
          <w:snapToGrid w:val="0"/>
          <w:u w:val="single"/>
          <w:lang w:val="fr-FR"/>
        </w:rPr>
        <w:t>d</w:t>
      </w:r>
      <w:r w:rsidR="00BA06ED">
        <w:rPr>
          <w:b/>
          <w:bCs/>
          <w:snapToGrid w:val="0"/>
          <w:u w:val="single"/>
          <w:lang w:val="fr-FR"/>
        </w:rPr>
        <w:t>’</w:t>
      </w:r>
      <w:r w:rsidRPr="00BF3751">
        <w:rPr>
          <w:b/>
          <w:bCs/>
          <w:snapToGrid w:val="0"/>
          <w:u w:val="single"/>
          <w:lang w:val="fr-FR"/>
        </w:rPr>
        <w:t>expositions rép</w:t>
      </w:r>
      <w:r>
        <w:rPr>
          <w:b/>
          <w:bCs/>
          <w:snapToGrid w:val="0"/>
          <w:u w:val="single"/>
          <w:lang w:val="fr-FR"/>
        </w:rPr>
        <w:t>é</w:t>
      </w:r>
      <w:r w:rsidRPr="00BF3751">
        <w:rPr>
          <w:b/>
          <w:bCs/>
          <w:snapToGrid w:val="0"/>
          <w:u w:val="single"/>
          <w:lang w:val="fr-FR"/>
        </w:rPr>
        <w:t>tées,</w:t>
      </w:r>
      <w:r w:rsidRPr="00BF3751">
        <w:rPr>
          <w:snapToGrid w:val="0"/>
          <w:lang w:val="fr-FR"/>
        </w:rPr>
        <w:t xml:space="preserve"> </w:t>
      </w:r>
      <w:r w:rsidRPr="00BF3751">
        <w:rPr>
          <w:lang w:val="fr-FR"/>
        </w:rPr>
        <w:t>s</w:t>
      </w:r>
      <w:r w:rsidR="00BA06ED">
        <w:rPr>
          <w:lang w:val="fr-FR"/>
        </w:rPr>
        <w:t>’</w:t>
      </w:r>
      <w:r w:rsidRPr="00BF3751">
        <w:rPr>
          <w:lang w:val="fr-FR"/>
        </w:rPr>
        <w:t xml:space="preserve">il contient au moins un composant classé comme toxique pour certains organes cibles de la </w:t>
      </w:r>
      <w:r>
        <w:rPr>
          <w:lang w:val="fr-FR"/>
        </w:rPr>
        <w:t>C</w:t>
      </w:r>
      <w:r w:rsidRPr="00BF3751">
        <w:rPr>
          <w:lang w:val="fr-FR"/>
        </w:rPr>
        <w:t xml:space="preserve">atégorie 1 ou 2 </w:t>
      </w:r>
      <w:r w:rsidRPr="007156C3">
        <w:rPr>
          <w:b/>
          <w:u w:val="single"/>
          <w:lang w:val="fr-FR"/>
        </w:rPr>
        <w:t>(expositions répétées)</w:t>
      </w:r>
      <w:r w:rsidRPr="007156C3">
        <w:rPr>
          <w:b/>
          <w:snapToGrid w:val="0"/>
          <w:u w:val="single"/>
          <w:lang w:val="fr-FR"/>
        </w:rPr>
        <w:t xml:space="preserve"> </w:t>
      </w:r>
      <w:r w:rsidRPr="00BF3751">
        <w:rPr>
          <w:lang w:val="fr-FR"/>
        </w:rPr>
        <w:t>à une concentration supérieure ou égale à la valeur seuil/limite de concentration appropriée mentionnée au tableau</w:t>
      </w:r>
      <w:r w:rsidR="003C4DE0">
        <w:rPr>
          <w:lang w:val="fr-FR"/>
        </w:rPr>
        <w:t> </w:t>
      </w:r>
      <w:r w:rsidRPr="00BF3751">
        <w:rPr>
          <w:lang w:val="fr-FR"/>
        </w:rPr>
        <w:t>3.9.3 pour les Catégories 1 et 2</w:t>
      </w:r>
      <w:r w:rsidRPr="00BF3751">
        <w:rPr>
          <w:snapToGrid w:val="0"/>
          <w:lang w:val="fr-FR"/>
        </w:rPr>
        <w:t>.</w:t>
      </w:r>
    </w:p>
    <w:p w:rsidR="00704C7F" w:rsidRPr="003D2418" w:rsidRDefault="00704C7F" w:rsidP="00BA06ED">
      <w:pPr>
        <w:pStyle w:val="HChG"/>
        <w:rPr>
          <w:lang w:val="fr-FR"/>
        </w:rPr>
      </w:pPr>
      <w:r w:rsidRPr="00BF3751">
        <w:rPr>
          <w:lang w:val="fr-FR"/>
        </w:rPr>
        <w:tab/>
      </w:r>
      <w:r w:rsidRPr="00BF3751">
        <w:rPr>
          <w:lang w:val="fr-FR"/>
        </w:rPr>
        <w:tab/>
      </w:r>
      <w:r w:rsidRPr="00BD2C07">
        <w:rPr>
          <w:lang w:val="fr-FR"/>
        </w:rPr>
        <w:t xml:space="preserve">Point </w:t>
      </w:r>
      <w:r w:rsidR="00B15707">
        <w:rPr>
          <w:lang w:val="fr-FR"/>
        </w:rPr>
        <w:t>e</w:t>
      </w:r>
      <w:r w:rsidRPr="00BD2C07">
        <w:rPr>
          <w:lang w:val="fr-FR"/>
        </w:rPr>
        <w:t xml:space="preserve">) du </w:t>
      </w:r>
      <w:r w:rsidRPr="00BA06ED">
        <w:t>programme</w:t>
      </w:r>
      <w:r w:rsidRPr="00BD2C07">
        <w:rPr>
          <w:lang w:val="fr-FR"/>
        </w:rPr>
        <w:t xml:space="preserve"> de travail du groupe </w:t>
      </w:r>
      <w:r>
        <w:rPr>
          <w:lang w:val="fr-FR"/>
        </w:rPr>
        <w:t>de travail PCI</w:t>
      </w:r>
    </w:p>
    <w:p w:rsidR="00704C7F" w:rsidRPr="003D2418" w:rsidRDefault="00704C7F" w:rsidP="00704C7F">
      <w:pPr>
        <w:pStyle w:val="SingleTxtG"/>
        <w:rPr>
          <w:lang w:val="fr-FR"/>
        </w:rPr>
      </w:pPr>
      <w:r w:rsidRPr="003D2418">
        <w:rPr>
          <w:lang w:val="fr-FR"/>
        </w:rPr>
        <w:t>Examiner l</w:t>
      </w:r>
      <w:r w:rsidR="00BA06ED">
        <w:rPr>
          <w:lang w:val="fr-FR"/>
        </w:rPr>
        <w:t>’</w:t>
      </w:r>
      <w:r w:rsidRPr="003D2418">
        <w:rPr>
          <w:lang w:val="fr-FR"/>
        </w:rPr>
        <w:t xml:space="preserve">opportunité de clarifier les critères existants concernant </w:t>
      </w:r>
      <w:r>
        <w:rPr>
          <w:lang w:val="fr-FR"/>
        </w:rPr>
        <w:t>les principes d</w:t>
      </w:r>
      <w:r w:rsidR="00BA06ED">
        <w:rPr>
          <w:lang w:val="fr-FR"/>
        </w:rPr>
        <w:t>’</w:t>
      </w:r>
      <w:r w:rsidRPr="003D2418">
        <w:rPr>
          <w:lang w:val="fr-FR"/>
        </w:rPr>
        <w:t xml:space="preserve">extrapolation, </w:t>
      </w:r>
      <w:r>
        <w:rPr>
          <w:lang w:val="fr-FR"/>
        </w:rPr>
        <w:t>en apportant des</w:t>
      </w:r>
      <w:r w:rsidRPr="003D2418">
        <w:rPr>
          <w:lang w:val="fr-FR"/>
        </w:rPr>
        <w:t xml:space="preserve"> modifications </w:t>
      </w:r>
      <w:r>
        <w:rPr>
          <w:lang w:val="fr-FR"/>
        </w:rPr>
        <w:t>d</w:t>
      </w:r>
      <w:r w:rsidR="00BA06ED">
        <w:rPr>
          <w:lang w:val="fr-FR"/>
        </w:rPr>
        <w:t>’</w:t>
      </w:r>
      <w:r>
        <w:rPr>
          <w:lang w:val="fr-FR"/>
        </w:rPr>
        <w:t>ordre rédactionnel</w:t>
      </w:r>
      <w:r w:rsidRPr="003D2418">
        <w:rPr>
          <w:lang w:val="fr-FR"/>
        </w:rPr>
        <w:t xml:space="preserve"> </w:t>
      </w:r>
      <w:r>
        <w:rPr>
          <w:lang w:val="fr-FR"/>
        </w:rPr>
        <w:t>et/</w:t>
      </w:r>
      <w:r w:rsidRPr="003D2418">
        <w:rPr>
          <w:lang w:val="fr-FR"/>
        </w:rPr>
        <w:t>ou en élaborant des indications ou des exemples supplémentaires illustrant l</w:t>
      </w:r>
      <w:r w:rsidR="00BA06ED">
        <w:rPr>
          <w:lang w:val="fr-FR"/>
        </w:rPr>
        <w:t>’</w:t>
      </w:r>
      <w:r w:rsidRPr="003D2418">
        <w:rPr>
          <w:lang w:val="fr-FR"/>
        </w:rPr>
        <w:t>application de cette méthode. Il s</w:t>
      </w:r>
      <w:r w:rsidR="00BA06ED">
        <w:rPr>
          <w:lang w:val="fr-FR"/>
        </w:rPr>
        <w:t>’</w:t>
      </w:r>
      <w:r w:rsidRPr="003D2418">
        <w:rPr>
          <w:lang w:val="fr-FR"/>
        </w:rPr>
        <w:t>agirait</w:t>
      </w:r>
      <w:r>
        <w:rPr>
          <w:lang w:val="fr-FR"/>
        </w:rPr>
        <w:t>,</w:t>
      </w:r>
      <w:r w:rsidRPr="003D2418">
        <w:rPr>
          <w:lang w:val="fr-FR"/>
        </w:rPr>
        <w:t xml:space="preserve"> entre autres</w:t>
      </w:r>
      <w:r>
        <w:rPr>
          <w:lang w:val="fr-FR"/>
        </w:rPr>
        <w:t>,</w:t>
      </w:r>
      <w:r w:rsidRPr="003D2418">
        <w:rPr>
          <w:lang w:val="fr-FR"/>
        </w:rPr>
        <w:t xml:space="preserve"> de définir le terme </w:t>
      </w:r>
      <w:r>
        <w:rPr>
          <w:lang w:val="fr-FR"/>
        </w:rPr>
        <w:t>« composant »</w:t>
      </w:r>
      <w:r w:rsidRPr="003D2418">
        <w:rPr>
          <w:lang w:val="fr-FR"/>
        </w:rPr>
        <w:t xml:space="preserve"> dans le contexte de l</w:t>
      </w:r>
      <w:r w:rsidR="00BA06ED">
        <w:rPr>
          <w:lang w:val="fr-FR"/>
        </w:rPr>
        <w:t>’</w:t>
      </w:r>
      <w:r w:rsidRPr="003D2418">
        <w:rPr>
          <w:lang w:val="fr-FR"/>
        </w:rPr>
        <w:t>extrapolation (</w:t>
      </w:r>
      <w:r>
        <w:rPr>
          <w:lang w:val="fr-FR"/>
        </w:rPr>
        <w:t>et en particulier</w:t>
      </w:r>
      <w:r w:rsidRPr="003D2418">
        <w:rPr>
          <w:lang w:val="fr-FR"/>
        </w:rPr>
        <w:t xml:space="preserve"> </w:t>
      </w:r>
      <w:r>
        <w:rPr>
          <w:lang w:val="fr-FR"/>
        </w:rPr>
        <w:t>de déterminer si un</w:t>
      </w:r>
      <w:r w:rsidRPr="003D2418">
        <w:rPr>
          <w:lang w:val="fr-FR"/>
        </w:rPr>
        <w:t xml:space="preserve"> </w:t>
      </w:r>
      <w:r>
        <w:rPr>
          <w:lang w:val="fr-FR"/>
        </w:rPr>
        <w:t>composant</w:t>
      </w:r>
      <w:r w:rsidRPr="003D2418">
        <w:rPr>
          <w:lang w:val="fr-FR"/>
        </w:rPr>
        <w:t xml:space="preserve"> peut être </w:t>
      </w:r>
      <w:r>
        <w:rPr>
          <w:lang w:val="fr-FR"/>
        </w:rPr>
        <w:t>constitué</w:t>
      </w:r>
      <w:r w:rsidRPr="003D2418">
        <w:rPr>
          <w:lang w:val="fr-FR"/>
        </w:rPr>
        <w:t xml:space="preserve"> de plusieur</w:t>
      </w:r>
      <w:r>
        <w:rPr>
          <w:lang w:val="fr-FR"/>
        </w:rPr>
        <w:t>s substances ou s</w:t>
      </w:r>
      <w:r w:rsidR="00BA06ED">
        <w:rPr>
          <w:lang w:val="fr-FR"/>
        </w:rPr>
        <w:t>’</w:t>
      </w:r>
      <w:r>
        <w:rPr>
          <w:lang w:val="fr-FR"/>
        </w:rPr>
        <w:t>il peut être un mélange) et</w:t>
      </w:r>
      <w:r w:rsidRPr="003D2418">
        <w:rPr>
          <w:lang w:val="fr-FR"/>
        </w:rPr>
        <w:t xml:space="preserve"> </w:t>
      </w:r>
      <w:r>
        <w:rPr>
          <w:lang w:val="fr-FR"/>
        </w:rPr>
        <w:t>de se pencher sur l</w:t>
      </w:r>
      <w:r w:rsidR="00BA06ED">
        <w:rPr>
          <w:lang w:val="fr-FR"/>
        </w:rPr>
        <w:t>’</w:t>
      </w:r>
      <w:r w:rsidRPr="003D2418">
        <w:rPr>
          <w:lang w:val="fr-FR"/>
        </w:rPr>
        <w:t xml:space="preserve">application </w:t>
      </w:r>
      <w:r>
        <w:rPr>
          <w:lang w:val="fr-FR"/>
        </w:rPr>
        <w:t>du principe relatif aux « mélanges globalement similaires » dans le cas des mélanges ayant plus de deux composants</w:t>
      </w:r>
      <w:r w:rsidRPr="003D2418">
        <w:rPr>
          <w:lang w:val="fr-FR"/>
        </w:rPr>
        <w:t>.</w:t>
      </w:r>
    </w:p>
    <w:p w:rsidR="00704C7F" w:rsidRPr="00954952" w:rsidRDefault="00704C7F" w:rsidP="00BA06ED">
      <w:pPr>
        <w:pStyle w:val="HChG"/>
        <w:rPr>
          <w:lang w:val="fr-FR"/>
        </w:rPr>
      </w:pPr>
      <w:r w:rsidRPr="003D2418">
        <w:rPr>
          <w:lang w:val="fr-FR"/>
        </w:rPr>
        <w:lastRenderedPageBreak/>
        <w:tab/>
      </w:r>
      <w:r w:rsidRPr="003D2418">
        <w:rPr>
          <w:lang w:val="fr-FR"/>
        </w:rPr>
        <w:tab/>
      </w:r>
      <w:r w:rsidRPr="00BA06ED">
        <w:t>Chapitre</w:t>
      </w:r>
      <w:r w:rsidRPr="00954952">
        <w:rPr>
          <w:lang w:val="fr-FR"/>
        </w:rPr>
        <w:t xml:space="preserve"> 1.3 Classification des substances et des mélanges dangereux</w:t>
      </w:r>
    </w:p>
    <w:p w:rsidR="00704C7F" w:rsidRPr="00954952" w:rsidRDefault="00704C7F" w:rsidP="00BA06ED">
      <w:pPr>
        <w:pStyle w:val="H1G"/>
        <w:rPr>
          <w:lang w:val="fr-FR"/>
        </w:rPr>
      </w:pPr>
      <w:r w:rsidRPr="00954952">
        <w:rPr>
          <w:lang w:val="fr-FR"/>
        </w:rPr>
        <w:tab/>
      </w:r>
      <w:r w:rsidRPr="00954952">
        <w:rPr>
          <w:lang w:val="fr-FR"/>
        </w:rPr>
        <w:tab/>
        <w:t>1.3.2.3</w:t>
      </w:r>
      <w:r w:rsidRPr="00954952">
        <w:rPr>
          <w:lang w:val="fr-FR"/>
        </w:rPr>
        <w:tab/>
      </w:r>
      <w:r w:rsidRPr="00BA06ED">
        <w:rPr>
          <w:i/>
        </w:rPr>
        <w:t>Critères</w:t>
      </w:r>
      <w:r w:rsidRPr="00BA06ED">
        <w:rPr>
          <w:i/>
          <w:lang w:val="fr-FR"/>
        </w:rPr>
        <w:t xml:space="preserve"> de classification</w:t>
      </w:r>
    </w:p>
    <w:p w:rsidR="00704C7F" w:rsidRPr="00954952" w:rsidRDefault="00704C7F" w:rsidP="00704C7F">
      <w:pPr>
        <w:pStyle w:val="SingleTxtG"/>
        <w:rPr>
          <w:lang w:val="fr-FR"/>
        </w:rPr>
      </w:pPr>
      <w:r w:rsidRPr="00954952">
        <w:rPr>
          <w:b/>
          <w:lang w:val="fr-FR"/>
        </w:rPr>
        <w:t>R</w:t>
      </w:r>
      <w:r>
        <w:rPr>
          <w:b/>
          <w:lang w:val="fr-FR"/>
        </w:rPr>
        <w:t>ecomma</w:t>
      </w:r>
      <w:r w:rsidRPr="00954952">
        <w:rPr>
          <w:b/>
          <w:lang w:val="fr-FR"/>
        </w:rPr>
        <w:t>ndation</w:t>
      </w:r>
      <w:r>
        <w:rPr>
          <w:b/>
          <w:lang w:val="fr-FR"/>
        </w:rPr>
        <w:t> </w:t>
      </w:r>
      <w:r w:rsidRPr="003434A6">
        <w:rPr>
          <w:lang w:val="fr-FR"/>
        </w:rPr>
        <w:t>:</w:t>
      </w:r>
      <w:r w:rsidRPr="00954952">
        <w:rPr>
          <w:lang w:val="fr-FR"/>
        </w:rPr>
        <w:t xml:space="preserve"> Modifier le paragraph</w:t>
      </w:r>
      <w:r>
        <w:rPr>
          <w:lang w:val="fr-FR"/>
        </w:rPr>
        <w:t>e</w:t>
      </w:r>
      <w:r w:rsidR="00BA06ED">
        <w:rPr>
          <w:lang w:val="fr-FR"/>
        </w:rPr>
        <w:t> </w:t>
      </w:r>
      <w:r w:rsidRPr="00954952">
        <w:rPr>
          <w:lang w:val="fr-FR"/>
        </w:rPr>
        <w:t>1.3.2.3.1</w:t>
      </w:r>
      <w:r w:rsidR="00BA06ED">
        <w:rPr>
          <w:lang w:val="fr-FR"/>
        </w:rPr>
        <w:t> </w:t>
      </w:r>
      <w:r w:rsidRPr="00954952">
        <w:rPr>
          <w:lang w:val="fr-FR"/>
        </w:rPr>
        <w:t xml:space="preserve">b) </w:t>
      </w:r>
      <w:r>
        <w:rPr>
          <w:lang w:val="fr-FR"/>
        </w:rPr>
        <w:t>en y ajoutant une deuxième phrase libellée comme suit </w:t>
      </w:r>
      <w:r w:rsidR="00BA06ED">
        <w:rPr>
          <w:lang w:val="fr-FR"/>
        </w:rPr>
        <w:t>:</w:t>
      </w:r>
    </w:p>
    <w:p w:rsidR="008804E0" w:rsidRDefault="00704C7F" w:rsidP="00704C7F">
      <w:pPr>
        <w:pStyle w:val="SingleTxtG"/>
        <w:rPr>
          <w:lang w:val="fr-FR"/>
        </w:rPr>
      </w:pPr>
      <w:r>
        <w:rPr>
          <w:lang w:val="fr-FR"/>
        </w:rPr>
        <w:t>« </w:t>
      </w:r>
      <w:r w:rsidRPr="00954952">
        <w:rPr>
          <w:lang w:val="fr-FR"/>
        </w:rPr>
        <w:t>L</w:t>
      </w:r>
      <w:r w:rsidR="00BA06ED">
        <w:rPr>
          <w:lang w:val="fr-FR"/>
        </w:rPr>
        <w:t>’</w:t>
      </w:r>
      <w:r w:rsidRPr="00954952">
        <w:rPr>
          <w:lang w:val="fr-FR"/>
        </w:rPr>
        <w:t>approche par extrapolation peut aussi être appliquée lorsque les données d</w:t>
      </w:r>
      <w:r w:rsidR="00BA06ED">
        <w:rPr>
          <w:lang w:val="fr-FR"/>
        </w:rPr>
        <w:t>’</w:t>
      </w:r>
      <w:r w:rsidRPr="00954952">
        <w:rPr>
          <w:lang w:val="fr-FR"/>
        </w:rPr>
        <w:t>essais</w:t>
      </w:r>
      <w:r>
        <w:rPr>
          <w:lang w:val="fr-FR"/>
        </w:rPr>
        <w:t>/d</w:t>
      </w:r>
      <w:r w:rsidR="00BA06ED">
        <w:rPr>
          <w:lang w:val="fr-FR"/>
        </w:rPr>
        <w:t>’</w:t>
      </w:r>
      <w:r>
        <w:rPr>
          <w:lang w:val="fr-FR"/>
        </w:rPr>
        <w:t>épreuves prouvent formellement qu</w:t>
      </w:r>
      <w:r w:rsidR="00BA06ED">
        <w:rPr>
          <w:lang w:val="fr-FR"/>
        </w:rPr>
        <w:t>’</w:t>
      </w:r>
      <w:r>
        <w:rPr>
          <w:lang w:val="fr-FR"/>
        </w:rPr>
        <w:t>aucune classification n</w:t>
      </w:r>
      <w:r w:rsidR="00BA06ED">
        <w:rPr>
          <w:lang w:val="fr-FR"/>
        </w:rPr>
        <w:t>’</w:t>
      </w:r>
      <w:r>
        <w:rPr>
          <w:lang w:val="fr-FR"/>
        </w:rPr>
        <w:t>est justifiée </w:t>
      </w:r>
      <w:r w:rsidRPr="00954952">
        <w:rPr>
          <w:lang w:val="fr-FR"/>
        </w:rPr>
        <w:t>;</w:t>
      </w:r>
      <w:r>
        <w:rPr>
          <w:lang w:val="fr-FR"/>
        </w:rPr>
        <w:t> »</w:t>
      </w:r>
    </w:p>
    <w:p w:rsidR="00BA06ED" w:rsidRPr="00BA06ED" w:rsidRDefault="00BA06ED" w:rsidP="00BA06ED">
      <w:pPr>
        <w:pStyle w:val="SingleTxtG"/>
        <w:spacing w:before="240" w:after="0"/>
        <w:jc w:val="center"/>
        <w:rPr>
          <w:u w:val="single"/>
          <w:lang w:val="fr-FR" w:eastAsia="fr-FR"/>
        </w:rPr>
      </w:pPr>
      <w:r>
        <w:rPr>
          <w:u w:val="single"/>
          <w:lang w:val="fr-FR" w:eastAsia="fr-FR"/>
        </w:rPr>
        <w:tab/>
      </w:r>
      <w:r>
        <w:rPr>
          <w:u w:val="single"/>
          <w:lang w:val="fr-FR" w:eastAsia="fr-FR"/>
        </w:rPr>
        <w:tab/>
      </w:r>
      <w:r>
        <w:rPr>
          <w:u w:val="single"/>
          <w:lang w:val="fr-FR" w:eastAsia="fr-FR"/>
        </w:rPr>
        <w:tab/>
      </w:r>
    </w:p>
    <w:sectPr w:rsidR="00BA06ED" w:rsidRPr="00BA06ED" w:rsidSect="0040558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316" w:rsidRDefault="008B0316" w:rsidP="00F95C08">
      <w:pPr>
        <w:spacing w:line="240" w:lineRule="auto"/>
      </w:pPr>
    </w:p>
  </w:endnote>
  <w:endnote w:type="continuationSeparator" w:id="0">
    <w:p w:rsidR="008B0316" w:rsidRPr="00AC3823" w:rsidRDefault="008B0316" w:rsidP="00AC3823">
      <w:pPr>
        <w:pStyle w:val="Footer"/>
      </w:pPr>
    </w:p>
  </w:endnote>
  <w:endnote w:type="continuationNotice" w:id="1">
    <w:p w:rsidR="008B0316" w:rsidRDefault="008B03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58E" w:rsidRPr="0040558E" w:rsidRDefault="0040558E" w:rsidP="0040558E">
    <w:pPr>
      <w:pStyle w:val="Footer"/>
      <w:tabs>
        <w:tab w:val="right" w:pos="9638"/>
      </w:tabs>
    </w:pPr>
    <w:r w:rsidRPr="0040558E">
      <w:rPr>
        <w:b/>
        <w:sz w:val="18"/>
      </w:rPr>
      <w:fldChar w:fldCharType="begin"/>
    </w:r>
    <w:r w:rsidRPr="0040558E">
      <w:rPr>
        <w:b/>
        <w:sz w:val="18"/>
      </w:rPr>
      <w:instrText xml:space="preserve"> PAGE  \* MERGEFORMAT </w:instrText>
    </w:r>
    <w:r w:rsidRPr="0040558E">
      <w:rPr>
        <w:b/>
        <w:sz w:val="18"/>
      </w:rPr>
      <w:fldChar w:fldCharType="separate"/>
    </w:r>
    <w:r w:rsidR="00562365">
      <w:rPr>
        <w:b/>
        <w:noProof/>
        <w:sz w:val="18"/>
      </w:rPr>
      <w:t>4</w:t>
    </w:r>
    <w:r w:rsidRPr="0040558E">
      <w:rPr>
        <w:b/>
        <w:sz w:val="18"/>
      </w:rPr>
      <w:fldChar w:fldCharType="end"/>
    </w:r>
    <w:r>
      <w:rPr>
        <w:b/>
        <w:sz w:val="18"/>
      </w:rPr>
      <w:tab/>
    </w:r>
    <w:r>
      <w:t>GE.18-15595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58E" w:rsidRPr="0040558E" w:rsidRDefault="0040558E" w:rsidP="0040558E">
    <w:pPr>
      <w:pStyle w:val="Footer"/>
      <w:tabs>
        <w:tab w:val="right" w:pos="9638"/>
      </w:tabs>
      <w:rPr>
        <w:b/>
        <w:sz w:val="18"/>
      </w:rPr>
    </w:pPr>
    <w:r>
      <w:t>GE.18-15595</w:t>
    </w:r>
    <w:r>
      <w:tab/>
    </w:r>
    <w:r w:rsidRPr="0040558E">
      <w:rPr>
        <w:b/>
        <w:sz w:val="18"/>
      </w:rPr>
      <w:fldChar w:fldCharType="begin"/>
    </w:r>
    <w:r w:rsidRPr="0040558E">
      <w:rPr>
        <w:b/>
        <w:sz w:val="18"/>
      </w:rPr>
      <w:instrText xml:space="preserve"> PAGE  \* MERGEFORMAT </w:instrText>
    </w:r>
    <w:r w:rsidRPr="0040558E">
      <w:rPr>
        <w:b/>
        <w:sz w:val="18"/>
      </w:rPr>
      <w:fldChar w:fldCharType="separate"/>
    </w:r>
    <w:r w:rsidR="00562365">
      <w:rPr>
        <w:b/>
        <w:noProof/>
        <w:sz w:val="18"/>
      </w:rPr>
      <w:t>5</w:t>
    </w:r>
    <w:r w:rsidRPr="004055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40558E" w:rsidRDefault="0040558E" w:rsidP="0040558E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15595  (</w:t>
    </w:r>
    <w:proofErr w:type="gramEnd"/>
    <w:r>
      <w:rPr>
        <w:sz w:val="20"/>
      </w:rPr>
      <w:t>F)</w:t>
    </w:r>
    <w:r w:rsidR="008804E0">
      <w:rPr>
        <w:sz w:val="20"/>
      </w:rPr>
      <w:t xml:space="preserve">    121018    231018</w:t>
    </w:r>
    <w:r>
      <w:rPr>
        <w:sz w:val="20"/>
      </w:rPr>
      <w:br/>
    </w:r>
    <w:r w:rsidRPr="0040558E">
      <w:rPr>
        <w:rFonts w:ascii="C39T30Lfz" w:hAnsi="C39T30Lfz"/>
        <w:sz w:val="56"/>
      </w:rPr>
      <w:t></w:t>
    </w:r>
    <w:r w:rsidRPr="0040558E">
      <w:rPr>
        <w:rFonts w:ascii="C39T30Lfz" w:hAnsi="C39T30Lfz"/>
        <w:sz w:val="56"/>
      </w:rPr>
      <w:t></w:t>
    </w:r>
    <w:r w:rsidRPr="0040558E">
      <w:rPr>
        <w:rFonts w:ascii="C39T30Lfz" w:hAnsi="C39T30Lfz"/>
        <w:sz w:val="56"/>
      </w:rPr>
      <w:t></w:t>
    </w:r>
    <w:r w:rsidRPr="0040558E">
      <w:rPr>
        <w:rFonts w:ascii="C39T30Lfz" w:hAnsi="C39T30Lfz"/>
        <w:sz w:val="56"/>
      </w:rPr>
      <w:t></w:t>
    </w:r>
    <w:r w:rsidRPr="0040558E">
      <w:rPr>
        <w:rFonts w:ascii="C39T30Lfz" w:hAnsi="C39T30Lfz"/>
        <w:sz w:val="56"/>
      </w:rPr>
      <w:t></w:t>
    </w:r>
    <w:r w:rsidRPr="0040558E">
      <w:rPr>
        <w:rFonts w:ascii="C39T30Lfz" w:hAnsi="C39T30Lfz"/>
        <w:sz w:val="56"/>
      </w:rPr>
      <w:t></w:t>
    </w:r>
    <w:r w:rsidRPr="0040558E">
      <w:rPr>
        <w:rFonts w:ascii="C39T30Lfz" w:hAnsi="C39T30Lfz"/>
        <w:sz w:val="56"/>
      </w:rPr>
      <w:t></w:t>
    </w:r>
    <w:r w:rsidRPr="0040558E">
      <w:rPr>
        <w:rFonts w:ascii="C39T30Lfz" w:hAnsi="C39T30Lfz"/>
        <w:sz w:val="56"/>
      </w:rPr>
      <w:t></w:t>
    </w:r>
    <w:r w:rsidRPr="0040558E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4/2018/2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4/2018/2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316" w:rsidRPr="00AC3823" w:rsidRDefault="008B031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B0316" w:rsidRPr="00AC3823" w:rsidRDefault="008B031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B0316" w:rsidRPr="00AC3823" w:rsidRDefault="008B0316">
      <w:pPr>
        <w:spacing w:line="240" w:lineRule="auto"/>
        <w:rPr>
          <w:sz w:val="2"/>
          <w:szCs w:val="2"/>
        </w:rPr>
      </w:pPr>
    </w:p>
  </w:footnote>
  <w:footnote w:id="2">
    <w:p w:rsidR="002A0CC2" w:rsidRPr="008B4FB8" w:rsidRDefault="002A0CC2" w:rsidP="002A0CC2">
      <w:pPr>
        <w:pStyle w:val="FootnoteText"/>
        <w:tabs>
          <w:tab w:val="left" w:pos="1418"/>
        </w:tabs>
        <w:rPr>
          <w:lang w:val="fr-FR"/>
        </w:rPr>
      </w:pPr>
      <w:r>
        <w:tab/>
      </w:r>
      <w:r w:rsidRPr="008804E0">
        <w:rPr>
          <w:rStyle w:val="FootnoteReference"/>
          <w:sz w:val="20"/>
          <w:vertAlign w:val="baseline"/>
          <w:lang w:val="fr-FR"/>
        </w:rPr>
        <w:t>*</w:t>
      </w:r>
      <w:r w:rsidRPr="008B4FB8">
        <w:rPr>
          <w:lang w:val="fr-FR"/>
        </w:rPr>
        <w:tab/>
      </w:r>
      <w:r w:rsidRPr="00C16DDE">
        <w:rPr>
          <w:color w:val="000000"/>
          <w:lang w:val="fr-FR" w:eastAsia="en-GB"/>
        </w:rPr>
        <w:t>Conformément au programme de travail du Sous-Comité pour la période biennale 2017-2018, approuvé par le Comité à sa huitième session (voir ST/SG/AC.10/C.3/100, par.</w:t>
      </w:r>
      <w:r w:rsidR="008804E0">
        <w:rPr>
          <w:color w:val="000000"/>
          <w:lang w:val="fr-FR" w:eastAsia="en-GB"/>
        </w:rPr>
        <w:t> </w:t>
      </w:r>
      <w:r w:rsidRPr="00C16DDE">
        <w:rPr>
          <w:color w:val="000000"/>
          <w:lang w:val="fr-FR" w:eastAsia="en-GB"/>
        </w:rPr>
        <w:t>98, et</w:t>
      </w:r>
      <w:r w:rsidR="008804E0">
        <w:rPr>
          <w:color w:val="000000"/>
          <w:lang w:val="fr-FR" w:eastAsia="en-GB"/>
        </w:rPr>
        <w:t> </w:t>
      </w:r>
      <w:r w:rsidRPr="00C16DDE">
        <w:rPr>
          <w:color w:val="000000"/>
          <w:lang w:val="fr-FR" w:eastAsia="en-GB"/>
        </w:rPr>
        <w:t>ST/SG/AC.10/44, par.</w:t>
      </w:r>
      <w:r w:rsidR="008804E0">
        <w:rPr>
          <w:color w:val="000000"/>
          <w:lang w:val="fr-FR" w:eastAsia="en-GB"/>
        </w:rPr>
        <w:t> </w:t>
      </w:r>
      <w:r w:rsidRPr="00C16DDE">
        <w:rPr>
          <w:color w:val="000000"/>
          <w:lang w:val="fr-FR" w:eastAsia="en-GB"/>
        </w:rPr>
        <w:t>14</w:t>
      </w:r>
      <w:r w:rsidRPr="008B4FB8">
        <w:rPr>
          <w:lang w:val="fr-FR"/>
        </w:rPr>
        <w:t>)</w:t>
      </w:r>
      <w:r w:rsidRPr="008B4FB8">
        <w:rPr>
          <w:color w:val="000000"/>
          <w:lang w:val="fr-FR"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58E" w:rsidRPr="0040558E" w:rsidRDefault="00604BE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ST/SG/AC.10/C.4/2018/28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58E" w:rsidRPr="0040558E" w:rsidRDefault="00604BE6" w:rsidP="0040558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ST/SG/AC.10/C.4/2018/28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16"/>
    <w:rsid w:val="00017F94"/>
    <w:rsid w:val="00023842"/>
    <w:rsid w:val="000305D3"/>
    <w:rsid w:val="000334F9"/>
    <w:rsid w:val="00075B29"/>
    <w:rsid w:val="0007796D"/>
    <w:rsid w:val="000B7790"/>
    <w:rsid w:val="000E68BE"/>
    <w:rsid w:val="00111F2F"/>
    <w:rsid w:val="00132EA9"/>
    <w:rsid w:val="0014365E"/>
    <w:rsid w:val="00176178"/>
    <w:rsid w:val="001F525A"/>
    <w:rsid w:val="00223272"/>
    <w:rsid w:val="0024779E"/>
    <w:rsid w:val="00275BD1"/>
    <w:rsid w:val="00283190"/>
    <w:rsid w:val="002832AC"/>
    <w:rsid w:val="002A0CC2"/>
    <w:rsid w:val="002D5C4C"/>
    <w:rsid w:val="002D7C93"/>
    <w:rsid w:val="0032781F"/>
    <w:rsid w:val="003434A6"/>
    <w:rsid w:val="003C4DE0"/>
    <w:rsid w:val="0040558E"/>
    <w:rsid w:val="00441C3B"/>
    <w:rsid w:val="00446FE5"/>
    <w:rsid w:val="00452396"/>
    <w:rsid w:val="004E468C"/>
    <w:rsid w:val="005505B7"/>
    <w:rsid w:val="00562365"/>
    <w:rsid w:val="00573BE5"/>
    <w:rsid w:val="00584DC4"/>
    <w:rsid w:val="00586ED3"/>
    <w:rsid w:val="00596AA9"/>
    <w:rsid w:val="005B62CB"/>
    <w:rsid w:val="00604BE6"/>
    <w:rsid w:val="0068456F"/>
    <w:rsid w:val="006B1C08"/>
    <w:rsid w:val="007014D2"/>
    <w:rsid w:val="00704C7F"/>
    <w:rsid w:val="007156C3"/>
    <w:rsid w:val="0071601D"/>
    <w:rsid w:val="007A62E6"/>
    <w:rsid w:val="00806259"/>
    <w:rsid w:val="0080684C"/>
    <w:rsid w:val="00816F2E"/>
    <w:rsid w:val="00871C75"/>
    <w:rsid w:val="008776DC"/>
    <w:rsid w:val="008804E0"/>
    <w:rsid w:val="008B0316"/>
    <w:rsid w:val="008B40CD"/>
    <w:rsid w:val="008F341B"/>
    <w:rsid w:val="009705C8"/>
    <w:rsid w:val="009C1CF4"/>
    <w:rsid w:val="00A30353"/>
    <w:rsid w:val="00AC3823"/>
    <w:rsid w:val="00AE323C"/>
    <w:rsid w:val="00B00181"/>
    <w:rsid w:val="00B00B0D"/>
    <w:rsid w:val="00B15707"/>
    <w:rsid w:val="00B765F7"/>
    <w:rsid w:val="00BA06ED"/>
    <w:rsid w:val="00BA0CA9"/>
    <w:rsid w:val="00BF21C2"/>
    <w:rsid w:val="00C02897"/>
    <w:rsid w:val="00D045D1"/>
    <w:rsid w:val="00D3439C"/>
    <w:rsid w:val="00DB1831"/>
    <w:rsid w:val="00DD2F6C"/>
    <w:rsid w:val="00DD3BFD"/>
    <w:rsid w:val="00DF6678"/>
    <w:rsid w:val="00EF2E22"/>
    <w:rsid w:val="00F01738"/>
    <w:rsid w:val="00F660DF"/>
    <w:rsid w:val="00F730C8"/>
    <w:rsid w:val="00F76D4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EFCF93-BCE4-4A33-A6CD-C6E34CB2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1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2A0CC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2A0CC2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1">
    <w:name w:val="_ Single Txt_G Char1"/>
    <w:link w:val="SingleTxtG"/>
    <w:locked/>
    <w:rsid w:val="002A0CC2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GHSHeading3">
    <w:name w:val="GHSHeading3"/>
    <w:basedOn w:val="Heading3"/>
    <w:rsid w:val="002A0CC2"/>
    <w:pPr>
      <w:keepNext/>
      <w:tabs>
        <w:tab w:val="left" w:pos="1418"/>
      </w:tabs>
      <w:suppressAutoHyphens w:val="0"/>
      <w:kinsoku/>
      <w:overflowPunct/>
      <w:snapToGrid/>
      <w:spacing w:line="240" w:lineRule="auto"/>
    </w:pPr>
    <w:rPr>
      <w:rFonts w:eastAsia="Times New Roman"/>
      <w:b/>
      <w:bCs/>
      <w:color w:val="000000"/>
      <w:sz w:val="22"/>
      <w:szCs w:val="22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0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C7F"/>
    <w:pPr>
      <w:kinsoku/>
      <w:overflowPunct/>
      <w:autoSpaceDE/>
      <w:autoSpaceDN/>
      <w:adjustRightInd/>
      <w:snapToGrid/>
      <w:spacing w:line="240" w:lineRule="auto"/>
    </w:pPr>
    <w:rPr>
      <w:rFonts w:eastAsia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C7F"/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ST/SG/AC.10/C.4/2018/28</vt:lpstr>
      <vt:lpstr>ST/SG/AC.10/C.4/2018/28</vt:lpstr>
    </vt:vector>
  </TitlesOfParts>
  <Company>DCM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ST/SG/AC.10/C.4/2018/28</dc:title>
  <dc:subject/>
  <dc:creator>Corinne ROBERT</dc:creator>
  <cp:keywords/>
  <cp:lastModifiedBy>Laurence Berthet</cp:lastModifiedBy>
  <cp:revision>3</cp:revision>
  <cp:lastPrinted>2018-10-23T12:44:00Z</cp:lastPrinted>
  <dcterms:created xsi:type="dcterms:W3CDTF">2018-10-23T12:44:00Z</dcterms:created>
  <dcterms:modified xsi:type="dcterms:W3CDTF">2018-10-23T12:44:00Z</dcterms:modified>
</cp:coreProperties>
</file>