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6B206D" w:rsidTr="00F01738">
        <w:trPr>
          <w:trHeight w:hRule="exact" w:val="851"/>
        </w:trPr>
        <w:tc>
          <w:tcPr>
            <w:tcW w:w="1276" w:type="dxa"/>
            <w:tcBorders>
              <w:bottom w:val="single" w:sz="4" w:space="0" w:color="auto"/>
            </w:tcBorders>
          </w:tcPr>
          <w:p w:rsidR="00132EA9" w:rsidRPr="00DB58B5" w:rsidRDefault="00132EA9" w:rsidP="006B206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B206D" w:rsidRPr="006B206D" w:rsidRDefault="006B206D" w:rsidP="006B206D">
            <w:pPr>
              <w:jc w:val="right"/>
              <w:rPr>
                <w:lang w:val="en-US"/>
              </w:rPr>
            </w:pPr>
            <w:r w:rsidRPr="006B206D">
              <w:rPr>
                <w:sz w:val="40"/>
                <w:lang w:val="en-US"/>
              </w:rPr>
              <w:t>ST</w:t>
            </w:r>
            <w:r w:rsidRPr="006B206D">
              <w:rPr>
                <w:lang w:val="en-US"/>
              </w:rPr>
              <w:t>/SG/AC.10/C.3/2018/94−</w:t>
            </w:r>
            <w:r w:rsidRPr="006B206D">
              <w:rPr>
                <w:sz w:val="40"/>
                <w:lang w:val="en-US"/>
              </w:rPr>
              <w:t>ST</w:t>
            </w:r>
            <w:r w:rsidRPr="006B206D">
              <w:rPr>
                <w:lang w:val="en-US"/>
              </w:rPr>
              <w:t>/SG/AC.10/C.4/2018/22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B206D" w:rsidP="00F01738">
            <w:pPr>
              <w:spacing w:before="240"/>
            </w:pPr>
            <w:r>
              <w:t xml:space="preserve">Distr. </w:t>
            </w:r>
            <w:proofErr w:type="gramStart"/>
            <w:r>
              <w:t>générale</w:t>
            </w:r>
            <w:proofErr w:type="gramEnd"/>
          </w:p>
          <w:p w:rsidR="006B206D" w:rsidRDefault="006B206D" w:rsidP="006B206D">
            <w:pPr>
              <w:spacing w:line="240" w:lineRule="exact"/>
            </w:pPr>
            <w:r>
              <w:t>5 septembre 2018</w:t>
            </w:r>
          </w:p>
          <w:p w:rsidR="006B206D" w:rsidRDefault="006B206D" w:rsidP="006B206D">
            <w:pPr>
              <w:spacing w:line="240" w:lineRule="exact"/>
            </w:pPr>
            <w:r>
              <w:t>Français</w:t>
            </w:r>
          </w:p>
          <w:p w:rsidR="006B206D" w:rsidRPr="00DB58B5" w:rsidRDefault="006B206D" w:rsidP="006B206D">
            <w:pPr>
              <w:spacing w:line="240" w:lineRule="exact"/>
            </w:pPr>
            <w:r>
              <w:t>Original : anglais</w:t>
            </w:r>
          </w:p>
        </w:tc>
      </w:tr>
    </w:tbl>
    <w:p w:rsidR="006B206D" w:rsidRPr="00CA0680" w:rsidRDefault="006B206D" w:rsidP="000305D3">
      <w:pPr>
        <w:spacing w:before="120"/>
        <w:rPr>
          <w:b/>
          <w:sz w:val="24"/>
          <w:szCs w:val="24"/>
        </w:rPr>
      </w:pPr>
      <w:r w:rsidRPr="00CA0680">
        <w:rPr>
          <w:b/>
          <w:sz w:val="24"/>
          <w:szCs w:val="24"/>
        </w:rPr>
        <w:t>Comité d</w:t>
      </w:r>
      <w:r w:rsidR="004721F9">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4721F9">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6B206D" w:rsidTr="009C3129">
        <w:tc>
          <w:tcPr>
            <w:tcW w:w="4820" w:type="dxa"/>
          </w:tcPr>
          <w:p w:rsidR="006B206D" w:rsidRDefault="006B206D" w:rsidP="009C3129">
            <w:pPr>
              <w:spacing w:before="120"/>
              <w:rPr>
                <w:b/>
              </w:rPr>
            </w:pPr>
            <w:r w:rsidRPr="00CA0680">
              <w:rPr>
                <w:b/>
              </w:rPr>
              <w:t>Sous</w:t>
            </w:r>
            <w:r>
              <w:rPr>
                <w:b/>
              </w:rPr>
              <w:t>-</w:t>
            </w:r>
            <w:r w:rsidRPr="00CA0680">
              <w:rPr>
                <w:b/>
              </w:rPr>
              <w:t>Comité d</w:t>
            </w:r>
            <w:r w:rsidR="004721F9">
              <w:rPr>
                <w:b/>
              </w:rPr>
              <w:t>’</w:t>
            </w:r>
            <w:r w:rsidRPr="00CA0680">
              <w:rPr>
                <w:b/>
              </w:rPr>
              <w:t>experts du transport</w:t>
            </w:r>
            <w:r>
              <w:rPr>
                <w:b/>
              </w:rPr>
              <w:br/>
            </w:r>
            <w:r w:rsidRPr="00CA0680">
              <w:rPr>
                <w:b/>
              </w:rPr>
              <w:t>des marchandises dangereuses</w:t>
            </w:r>
          </w:p>
        </w:tc>
        <w:tc>
          <w:tcPr>
            <w:tcW w:w="4820" w:type="dxa"/>
          </w:tcPr>
          <w:p w:rsidR="006B206D" w:rsidRDefault="006B206D" w:rsidP="009C3129">
            <w:pPr>
              <w:spacing w:before="120"/>
              <w:rPr>
                <w:b/>
              </w:rPr>
            </w:pPr>
            <w:r>
              <w:rPr>
                <w:b/>
              </w:rPr>
              <w:t>Sous-Comité d</w:t>
            </w:r>
            <w:r w:rsidR="004721F9">
              <w:rPr>
                <w:b/>
              </w:rPr>
              <w:t>’</w:t>
            </w:r>
            <w:r>
              <w:rPr>
                <w:b/>
              </w:rPr>
              <w:t>experts du Système général harmonisé de classification et d</w:t>
            </w:r>
            <w:r w:rsidR="004721F9">
              <w:rPr>
                <w:b/>
              </w:rPr>
              <w:t>’</w:t>
            </w:r>
            <w:r>
              <w:rPr>
                <w:b/>
              </w:rPr>
              <w:t>étiquetage des produits chimiques</w:t>
            </w:r>
          </w:p>
        </w:tc>
      </w:tr>
      <w:tr w:rsidR="006B206D" w:rsidTr="009C3129">
        <w:tc>
          <w:tcPr>
            <w:tcW w:w="4820" w:type="dxa"/>
          </w:tcPr>
          <w:p w:rsidR="006B206D" w:rsidRPr="00CA0680" w:rsidRDefault="006B206D" w:rsidP="009C3129">
            <w:pPr>
              <w:spacing w:before="120"/>
              <w:rPr>
                <w:b/>
              </w:rPr>
            </w:pPr>
            <w:r w:rsidRPr="007C69E7">
              <w:rPr>
                <w:b/>
              </w:rPr>
              <w:t xml:space="preserve">Cinquante-quatrième </w:t>
            </w:r>
            <w:r w:rsidRPr="00CA0680">
              <w:rPr>
                <w:b/>
              </w:rPr>
              <w:t>session</w:t>
            </w:r>
          </w:p>
        </w:tc>
        <w:tc>
          <w:tcPr>
            <w:tcW w:w="4820" w:type="dxa"/>
          </w:tcPr>
          <w:p w:rsidR="006B206D" w:rsidRDefault="006B206D" w:rsidP="006B206D">
            <w:pPr>
              <w:spacing w:before="120"/>
              <w:rPr>
                <w:b/>
              </w:rPr>
            </w:pPr>
            <w:r w:rsidRPr="007C69E7">
              <w:rPr>
                <w:b/>
              </w:rPr>
              <w:t>Trente-sixième</w:t>
            </w:r>
            <w:r>
              <w:rPr>
                <w:b/>
              </w:rPr>
              <w:t xml:space="preserve"> session</w:t>
            </w:r>
          </w:p>
        </w:tc>
      </w:tr>
      <w:tr w:rsidR="006B206D" w:rsidTr="009C3129">
        <w:tc>
          <w:tcPr>
            <w:tcW w:w="4820" w:type="dxa"/>
          </w:tcPr>
          <w:p w:rsidR="006B206D" w:rsidRDefault="006B206D" w:rsidP="009C3129">
            <w:r>
              <w:t xml:space="preserve">Genève, </w:t>
            </w:r>
            <w:r w:rsidRPr="007C69E7">
              <w:t>26 novembre-4 décembre 2018</w:t>
            </w:r>
          </w:p>
          <w:p w:rsidR="006B206D" w:rsidRDefault="006B206D" w:rsidP="009C3129">
            <w:r>
              <w:t>Point 7 e) de l</w:t>
            </w:r>
            <w:r w:rsidR="004721F9">
              <w:t>’</w:t>
            </w:r>
            <w:r>
              <w:t>ordre du jour provisoire</w:t>
            </w:r>
          </w:p>
          <w:p w:rsidR="006B206D" w:rsidRPr="003B79D9" w:rsidRDefault="006B206D" w:rsidP="00772374">
            <w:pPr>
              <w:rPr>
                <w:b/>
              </w:rPr>
            </w:pPr>
            <w:r w:rsidRPr="006B206D">
              <w:rPr>
                <w:b/>
                <w:lang w:val="fr-FR"/>
              </w:rPr>
              <w:t xml:space="preserve">Questions relatives au Système général harmonisé </w:t>
            </w:r>
            <w:r w:rsidR="00772374">
              <w:rPr>
                <w:b/>
                <w:lang w:val="fr-FR"/>
              </w:rPr>
              <w:br/>
            </w:r>
            <w:r w:rsidRPr="006B206D">
              <w:rPr>
                <w:b/>
                <w:lang w:val="fr-FR"/>
              </w:rPr>
              <w:t>de classification et d</w:t>
            </w:r>
            <w:r w:rsidR="004721F9">
              <w:rPr>
                <w:b/>
                <w:lang w:val="fr-FR"/>
              </w:rPr>
              <w:t>’</w:t>
            </w:r>
            <w:r w:rsidRPr="006B206D">
              <w:rPr>
                <w:b/>
                <w:lang w:val="fr-FR"/>
              </w:rPr>
              <w:t xml:space="preserve">étiquetage des produits </w:t>
            </w:r>
            <w:r w:rsidR="00772374">
              <w:rPr>
                <w:b/>
                <w:lang w:val="fr-FR"/>
              </w:rPr>
              <w:br/>
            </w:r>
            <w:r w:rsidRPr="006B206D">
              <w:rPr>
                <w:b/>
                <w:lang w:val="fr-FR"/>
              </w:rPr>
              <w:t>chimiques (SGH)</w:t>
            </w:r>
            <w:r w:rsidR="00772374">
              <w:rPr>
                <w:b/>
                <w:lang w:val="fr-FR"/>
              </w:rPr>
              <w:t> </w:t>
            </w:r>
            <w:r w:rsidRPr="006B206D">
              <w:rPr>
                <w:b/>
                <w:lang w:val="fr-FR"/>
              </w:rPr>
              <w:t>:</w:t>
            </w:r>
            <w:r w:rsidR="00772374">
              <w:rPr>
                <w:b/>
                <w:lang w:val="fr-FR"/>
              </w:rPr>
              <w:t xml:space="preserve"> </w:t>
            </w:r>
            <w:r w:rsidRPr="006B206D">
              <w:rPr>
                <w:b/>
                <w:lang w:val="fr-FR"/>
              </w:rPr>
              <w:t>Divers</w:t>
            </w:r>
          </w:p>
        </w:tc>
        <w:tc>
          <w:tcPr>
            <w:tcW w:w="4820" w:type="dxa"/>
          </w:tcPr>
          <w:p w:rsidR="006B206D" w:rsidRDefault="006B206D" w:rsidP="009C3129">
            <w:r>
              <w:t xml:space="preserve">Genève, </w:t>
            </w:r>
            <w:r w:rsidRPr="007C69E7">
              <w:t>5-7 décembre 2018</w:t>
            </w:r>
          </w:p>
          <w:p w:rsidR="006B206D" w:rsidRDefault="006B206D" w:rsidP="009C3129">
            <w:r>
              <w:t>Point 3 a) de l</w:t>
            </w:r>
            <w:r w:rsidR="004721F9">
              <w:t>’</w:t>
            </w:r>
            <w:r>
              <w:t>ordre du jour provisoire</w:t>
            </w:r>
          </w:p>
          <w:p w:rsidR="006B206D" w:rsidRPr="003B79D9" w:rsidRDefault="006B206D" w:rsidP="00772374">
            <w:pPr>
              <w:rPr>
                <w:b/>
              </w:rPr>
            </w:pPr>
            <w:r w:rsidRPr="006B206D">
              <w:rPr>
                <w:b/>
                <w:lang w:val="fr-FR"/>
              </w:rPr>
              <w:t>Critères de classification et commu</w:t>
            </w:r>
            <w:r w:rsidR="004721F9">
              <w:rPr>
                <w:b/>
                <w:lang w:val="fr-FR"/>
              </w:rPr>
              <w:t>nication des dangers y relatifs </w:t>
            </w:r>
            <w:r w:rsidRPr="006B206D">
              <w:rPr>
                <w:b/>
                <w:lang w:val="fr-FR"/>
              </w:rPr>
              <w:t xml:space="preserve">: </w:t>
            </w:r>
            <w:r w:rsidR="004721F9" w:rsidRPr="006B206D">
              <w:rPr>
                <w:b/>
                <w:lang w:val="fr-FR"/>
              </w:rPr>
              <w:t>T</w:t>
            </w:r>
            <w:r w:rsidRPr="006B206D">
              <w:rPr>
                <w:b/>
                <w:lang w:val="fr-FR"/>
              </w:rPr>
              <w:t>ravaux du Sous-Comité d</w:t>
            </w:r>
            <w:r w:rsidR="004721F9">
              <w:rPr>
                <w:b/>
                <w:lang w:val="fr-FR"/>
              </w:rPr>
              <w:t>’</w:t>
            </w:r>
            <w:r w:rsidRPr="006B206D">
              <w:rPr>
                <w:b/>
                <w:lang w:val="fr-FR"/>
              </w:rPr>
              <w:t xml:space="preserve">experts du transport des marchandises dangereuses (TMD) </w:t>
            </w:r>
            <w:r w:rsidR="00772374">
              <w:rPr>
                <w:b/>
                <w:lang w:val="fr-FR"/>
              </w:rPr>
              <w:br/>
            </w:r>
            <w:r w:rsidRPr="006B206D">
              <w:rPr>
                <w:b/>
                <w:lang w:val="fr-FR"/>
              </w:rPr>
              <w:t>sur des questions intéressant le Sous-Comité SGH</w:t>
            </w:r>
          </w:p>
        </w:tc>
      </w:tr>
    </w:tbl>
    <w:p w:rsidR="00772374" w:rsidRPr="007C69E7" w:rsidRDefault="00772374" w:rsidP="00772374">
      <w:pPr>
        <w:pStyle w:val="HChG"/>
      </w:pPr>
      <w:r w:rsidRPr="007C69E7">
        <w:tab/>
      </w:r>
      <w:r w:rsidRPr="007C69E7">
        <w:tab/>
      </w:r>
      <w:r w:rsidRPr="00772374">
        <w:rPr>
          <w:rFonts w:ascii="Times New Roman Gras" w:hAnsi="Times New Roman Gras"/>
          <w:spacing w:val="4"/>
        </w:rPr>
        <w:t>Proposition de modification des critères de classification</w:t>
      </w:r>
      <w:r w:rsidRPr="007C69E7">
        <w:t xml:space="preserve"> </w:t>
      </w:r>
      <w:r>
        <w:br/>
      </w:r>
      <w:r w:rsidRPr="00772374">
        <w:rPr>
          <w:rFonts w:ascii="Times New Roman Gras" w:hAnsi="Times New Roman Gras"/>
          <w:spacing w:val="-4"/>
        </w:rPr>
        <w:t>des liquides in</w:t>
      </w:r>
      <w:r w:rsidR="004721F9">
        <w:rPr>
          <w:rFonts w:ascii="Times New Roman Gras" w:hAnsi="Times New Roman Gras"/>
          <w:spacing w:val="-4"/>
        </w:rPr>
        <w:t>flammables indiqués au chapitre </w:t>
      </w:r>
      <w:r w:rsidRPr="00772374">
        <w:rPr>
          <w:rFonts w:ascii="Times New Roman Gras" w:hAnsi="Times New Roman Gras"/>
          <w:spacing w:val="-4"/>
        </w:rPr>
        <w:t>2.6 du SGH</w:t>
      </w:r>
      <w:r w:rsidRPr="007C69E7">
        <w:t xml:space="preserve"> </w:t>
      </w:r>
    </w:p>
    <w:p w:rsidR="00772374" w:rsidRPr="007C69E7" w:rsidRDefault="00772374" w:rsidP="00772374">
      <w:pPr>
        <w:pStyle w:val="H1G"/>
      </w:pPr>
      <w:r w:rsidRPr="007C69E7">
        <w:tab/>
      </w:r>
      <w:r w:rsidRPr="007C69E7">
        <w:tab/>
        <w:t>Communication du Conseil international des peintures et des encres d</w:t>
      </w:r>
      <w:r w:rsidR="004721F9">
        <w:t>’</w:t>
      </w:r>
      <w:r w:rsidRPr="007C69E7">
        <w:t>imprimerie (IPPIC)</w:t>
      </w:r>
      <w:r w:rsidRPr="00772374">
        <w:rPr>
          <w:rStyle w:val="FootnoteReference"/>
          <w:b w:val="0"/>
          <w:sz w:val="20"/>
          <w:vertAlign w:val="baseline"/>
        </w:rPr>
        <w:footnoteReference w:customMarkFollows="1" w:id="2"/>
        <w:t>*</w:t>
      </w:r>
    </w:p>
    <w:p w:rsidR="00772374" w:rsidRPr="007C69E7" w:rsidRDefault="00772374" w:rsidP="00772374">
      <w:pPr>
        <w:pStyle w:val="HChG"/>
      </w:pPr>
      <w:r w:rsidRPr="007C69E7">
        <w:tab/>
      </w:r>
      <w:r w:rsidRPr="007C69E7">
        <w:tab/>
        <w:t>Introduction</w:t>
      </w:r>
    </w:p>
    <w:p w:rsidR="00772374" w:rsidRPr="007C69E7" w:rsidRDefault="00772374" w:rsidP="00772374">
      <w:pPr>
        <w:pStyle w:val="SingleTxtG"/>
      </w:pPr>
      <w:r w:rsidRPr="007C69E7">
        <w:t>1.</w:t>
      </w:r>
      <w:r w:rsidRPr="007C69E7">
        <w:tab/>
        <w:t>L</w:t>
      </w:r>
      <w:r w:rsidR="004721F9">
        <w:t>’</w:t>
      </w:r>
      <w:r w:rsidRPr="007C69E7">
        <w:t xml:space="preserve">objectif du </w:t>
      </w:r>
      <w:r w:rsidR="004721F9">
        <w:t>SGH, tel que décrit au chapitre </w:t>
      </w:r>
      <w:r w:rsidRPr="007C69E7">
        <w:t>1.1, est d</w:t>
      </w:r>
      <w:r w:rsidR="004721F9">
        <w:t>’</w:t>
      </w:r>
      <w:r w:rsidRPr="007C69E7">
        <w:t>harmoniser à l</w:t>
      </w:r>
      <w:r w:rsidR="004721F9">
        <w:t>’</w:t>
      </w:r>
      <w:r w:rsidRPr="007C69E7">
        <w:t>échelle internationale le classement et l</w:t>
      </w:r>
      <w:r w:rsidR="004721F9">
        <w:t>’</w:t>
      </w:r>
      <w:r w:rsidRPr="007C69E7">
        <w:t>étiquetage des produits chimiques. Le Conseil international des peintures et des encres d</w:t>
      </w:r>
      <w:r w:rsidR="004721F9">
        <w:t>’</w:t>
      </w:r>
      <w:r w:rsidRPr="007C69E7">
        <w:t>imprimerie (IPPIC), qui regroupe de nombreuses entreprises actives au niveau international ou multinational, soutient cet objectif d</w:t>
      </w:r>
      <w:r w:rsidR="004721F9">
        <w:t>’</w:t>
      </w:r>
      <w:r w:rsidRPr="007C69E7">
        <w:t xml:space="preserve">harmonisation et salue les efforts déployés pour mettre en place et développer le </w:t>
      </w:r>
      <w:r w:rsidR="00B70269">
        <w:t>SG</w:t>
      </w:r>
      <w:r w:rsidRPr="007C69E7">
        <w:t>H depuis sa création.</w:t>
      </w:r>
    </w:p>
    <w:p w:rsidR="00772374" w:rsidRPr="007C69E7" w:rsidRDefault="00772374" w:rsidP="00772374">
      <w:pPr>
        <w:pStyle w:val="SingleTxtG"/>
      </w:pPr>
      <w:r w:rsidRPr="007C69E7">
        <w:t>2.</w:t>
      </w:r>
      <w:r w:rsidRPr="007C69E7">
        <w:tab/>
        <w:t>Il s</w:t>
      </w:r>
      <w:r w:rsidR="004721F9">
        <w:t>’</w:t>
      </w:r>
      <w:r w:rsidRPr="007C69E7">
        <w:t>agit également d</w:t>
      </w:r>
      <w:r w:rsidR="004721F9">
        <w:t>’</w:t>
      </w:r>
      <w:r w:rsidRPr="007C69E7">
        <w:t>harmoniser le SGH et les règles relatives au transport des marchandises dangereuses ou d</w:t>
      </w:r>
      <w:r w:rsidR="004721F9">
        <w:t>’</w:t>
      </w:r>
      <w:r w:rsidRPr="007C69E7">
        <w:t>en assurer la coh</w:t>
      </w:r>
      <w:r w:rsidR="00B70269">
        <w:t>érence. Il est dit à la section </w:t>
      </w:r>
      <w:r w:rsidRPr="007C69E7">
        <w:t xml:space="preserve">1.1.3.1.2 que « [d]ans le secteur du transport, la mise en œuvre du SGH devrait être similaire à la mise en œuvre des prescriptions en cours dans le domaine du transport. ». Il est aussi </w:t>
      </w:r>
      <w:r w:rsidR="00B70269">
        <w:t>indiqué à la section </w:t>
      </w:r>
      <w:r w:rsidRPr="007C69E7">
        <w:t>1.3.1.2 que, en ce qui concerne les dangers physiques, les définitions, les méthodes d</w:t>
      </w:r>
      <w:r w:rsidR="004721F9">
        <w:t>’</w:t>
      </w:r>
      <w:r w:rsidRPr="007C69E7">
        <w:t>essai et les critères de classification utilisés dans le secteur des transports ont servi de base à l</w:t>
      </w:r>
      <w:r w:rsidR="004721F9">
        <w:t>’</w:t>
      </w:r>
      <w:r w:rsidRPr="007C69E7">
        <w:t>élaboration des critères du SGH. Des travaux importants sont menés pour réviser les Recommandations de l</w:t>
      </w:r>
      <w:r w:rsidR="004721F9">
        <w:t>’</w:t>
      </w:r>
      <w:r w:rsidRPr="007C69E7">
        <w:t xml:space="preserve">ONU relatives au transport des marchandises dangereuses </w:t>
      </w:r>
      <w:r w:rsidR="00B70269">
        <w:t>− </w:t>
      </w:r>
      <w:r w:rsidRPr="007C69E7">
        <w:t>Manuel d</w:t>
      </w:r>
      <w:r w:rsidR="004721F9">
        <w:t>’</w:t>
      </w:r>
      <w:r w:rsidRPr="007C69E7">
        <w:t>épreuves et de critères afin de mieux tenir compte de leur utilisation dans le cadre du SGH.</w:t>
      </w:r>
    </w:p>
    <w:p w:rsidR="00772374" w:rsidRPr="007C69E7" w:rsidRDefault="00772374" w:rsidP="00B70269">
      <w:pPr>
        <w:pStyle w:val="HChG"/>
      </w:pPr>
      <w:r w:rsidRPr="007C69E7">
        <w:lastRenderedPageBreak/>
        <w:tab/>
      </w:r>
      <w:r w:rsidRPr="007C69E7">
        <w:tab/>
        <w:t>Rappel des faits et examen</w:t>
      </w:r>
    </w:p>
    <w:p w:rsidR="00772374" w:rsidRPr="007C69E7" w:rsidRDefault="00772374" w:rsidP="00772374">
      <w:pPr>
        <w:pStyle w:val="SingleTxtG"/>
      </w:pPr>
      <w:r w:rsidRPr="007C69E7">
        <w:t>3.</w:t>
      </w:r>
      <w:r w:rsidRPr="007C69E7">
        <w:tab/>
        <w:t xml:space="preserve">Dans le </w:t>
      </w:r>
      <w:r w:rsidR="00B70269" w:rsidRPr="007C69E7">
        <w:t>NOTA</w:t>
      </w:r>
      <w:r w:rsidR="00B70269">
        <w:t xml:space="preserve"> 2 de la section </w:t>
      </w:r>
      <w:r w:rsidRPr="007C69E7">
        <w:t>2.6.2 du SGH, il est indiqué qu</w:t>
      </w:r>
      <w:r w:rsidR="004721F9">
        <w:t>’</w:t>
      </w:r>
      <w:r w:rsidRPr="007C69E7">
        <w:t>il est possible de considérer comme liquides non inflammables les liquides qui seraient classés comme inflammables sur la seule base du point d</w:t>
      </w:r>
      <w:r w:rsidR="004721F9">
        <w:t>’</w:t>
      </w:r>
      <w:r w:rsidRPr="007C69E7">
        <w:t>éclair, si des résultats négatifs ont été obtenus lors de l</w:t>
      </w:r>
      <w:r w:rsidR="004721F9">
        <w:t>’</w:t>
      </w:r>
      <w:r w:rsidRPr="007C69E7">
        <w:t xml:space="preserve">épreuve de combustion entretenue L.2 décrite à </w:t>
      </w:r>
      <w:proofErr w:type="gramStart"/>
      <w:r w:rsidRPr="007C69E7">
        <w:t xml:space="preserve">la </w:t>
      </w:r>
      <w:r w:rsidR="00B56B02">
        <w:t xml:space="preserve"> section</w:t>
      </w:r>
      <w:proofErr w:type="gramEnd"/>
      <w:r w:rsidR="00B56B02">
        <w:t> </w:t>
      </w:r>
      <w:r w:rsidRPr="007C69E7">
        <w:t>32 de la troisième partie du Manuel d</w:t>
      </w:r>
      <w:r w:rsidR="004721F9">
        <w:t>’</w:t>
      </w:r>
      <w:r w:rsidRPr="007C69E7">
        <w:t>épreuves et de critères. (Cette précision est aussi donnée dans la deuxième note de bas de page correspondant au diagramme de décision repro</w:t>
      </w:r>
      <w:r w:rsidR="00B56B02">
        <w:t>duit dans la section 2.6.4.1.)</w:t>
      </w:r>
    </w:p>
    <w:p w:rsidR="00772374" w:rsidRPr="007C69E7" w:rsidRDefault="00772374" w:rsidP="00772374">
      <w:pPr>
        <w:pStyle w:val="SingleTxtG"/>
      </w:pPr>
      <w:r w:rsidRPr="007C69E7">
        <w:t>4.</w:t>
      </w:r>
      <w:r w:rsidRPr="007C69E7">
        <w:tab/>
        <w:t>Cette possibilité est cependant donnée uniquement aux fins de certains règlements (de transports, par exemple) et n</w:t>
      </w:r>
      <w:r w:rsidR="004721F9">
        <w:t>’</w:t>
      </w:r>
      <w:r w:rsidRPr="007C69E7">
        <w:t>est pas retenue comme critère de classification dans le SGH lui-même. Il semble étrange de ne pas pouvoir appliquer les résultats de l</w:t>
      </w:r>
      <w:r w:rsidR="004721F9">
        <w:t>’</w:t>
      </w:r>
      <w:r w:rsidRPr="007C69E7">
        <w:t>épreuve L.2 aux fins de la classification dans le SGH, ce qui crée une incohérence entre la classification aux fins du transport et la classification du SGH pour la distribution et l</w:t>
      </w:r>
      <w:r w:rsidR="004721F9">
        <w:t>’</w:t>
      </w:r>
      <w:r w:rsidRPr="007C69E7">
        <w:t>utilisation. Cette incohérence peut être source de confusion et provoquer des interruptions ou des retards dans les envois lorsque les colis portent un étiquetage et un marquage relatifs à la fois à la distribution et au transport.</w:t>
      </w:r>
    </w:p>
    <w:p w:rsidR="00772374" w:rsidRPr="007C69E7" w:rsidRDefault="00772374" w:rsidP="00772374">
      <w:pPr>
        <w:pStyle w:val="SingleTxtG"/>
      </w:pPr>
      <w:r w:rsidRPr="007C69E7">
        <w:t>5.</w:t>
      </w:r>
      <w:r w:rsidRPr="007C69E7">
        <w:tab/>
        <w:t>Dans l</w:t>
      </w:r>
      <w:r w:rsidR="004721F9">
        <w:t>’</w:t>
      </w:r>
      <w:r w:rsidRPr="007C69E7">
        <w:t xml:space="preserve">Union européenne, ce </w:t>
      </w:r>
      <w:r w:rsidR="00B56B02" w:rsidRPr="007C69E7">
        <w:t>NOTA</w:t>
      </w:r>
      <w:r w:rsidRPr="007C69E7">
        <w:t xml:space="preserve"> a été retenu comme critère de classification de base pour la mise en œuvre du Règlement (CE) n</w:t>
      </w:r>
      <w:r w:rsidRPr="007C69E7">
        <w:rPr>
          <w:vertAlign w:val="superscript"/>
        </w:rPr>
        <w:t>o</w:t>
      </w:r>
      <w:r w:rsidR="00B56B02" w:rsidRPr="00B56B02">
        <w:t> </w:t>
      </w:r>
      <w:r w:rsidRPr="007C69E7">
        <w:t>1272/2008 (le Règlement destiné à mettre en œuvre le SGH dans l</w:t>
      </w:r>
      <w:r w:rsidR="004721F9">
        <w:t>’</w:t>
      </w:r>
      <w:r w:rsidRPr="007C69E7">
        <w:t xml:space="preserve">Union européenne, connu aussi sous le nom de « Règlement CLP », à la </w:t>
      </w:r>
      <w:r w:rsidR="00C06DD4">
        <w:t>section </w:t>
      </w:r>
      <w:r w:rsidRPr="007C69E7">
        <w:t>2.6.4 de la partie 1 de l</w:t>
      </w:r>
      <w:r w:rsidR="004721F9">
        <w:t>’</w:t>
      </w:r>
      <w:r w:rsidRPr="007C69E7">
        <w:t xml:space="preserve">annexe I, « Autres considérations relatives à la classification » des </w:t>
      </w:r>
      <w:r w:rsidR="00C06DD4">
        <w:t>liquides inflammables </w:t>
      </w:r>
      <w:r w:rsidRPr="007C69E7">
        <w:t>:</w:t>
      </w:r>
    </w:p>
    <w:p w:rsidR="00772374" w:rsidRPr="007C69E7" w:rsidRDefault="00772374" w:rsidP="00772374">
      <w:pPr>
        <w:pStyle w:val="SingleTxtG"/>
        <w:tabs>
          <w:tab w:val="left" w:pos="2552"/>
        </w:tabs>
        <w:ind w:left="1701"/>
      </w:pPr>
      <w:r w:rsidRPr="007C69E7">
        <w:t>« 2.6.4.5</w:t>
      </w:r>
      <w:r w:rsidRPr="007C69E7">
        <w:tab/>
        <w:t>Il n</w:t>
      </w:r>
      <w:r w:rsidR="004721F9">
        <w:t>’</w:t>
      </w:r>
      <w:r w:rsidRPr="007C69E7">
        <w:t>est pas nécessaire de classer les liquides ayant un point d</w:t>
      </w:r>
      <w:r w:rsidR="004721F9">
        <w:t>’</w:t>
      </w:r>
      <w:r w:rsidR="00C06DD4">
        <w:t xml:space="preserve">éclair supérieur à </w:t>
      </w:r>
      <w:r w:rsidRPr="007C69E7">
        <w:t>35</w:t>
      </w:r>
      <w:r w:rsidR="00C06DD4">
        <w:t> °</w:t>
      </w:r>
      <w:r w:rsidRPr="007C69E7">
        <w:t>C [et ne dépassant pas 60</w:t>
      </w:r>
      <w:r w:rsidR="00C06DD4">
        <w:t> °</w:t>
      </w:r>
      <w:r w:rsidRPr="007C69E7">
        <w:t>C] dans la catégorie 3 si des résultats négatifs ont été obtenus lors de l</w:t>
      </w:r>
      <w:r w:rsidR="004721F9">
        <w:t>’</w:t>
      </w:r>
      <w:r w:rsidRPr="007C69E7">
        <w:t>essai de combustion entretenue</w:t>
      </w:r>
      <w:r w:rsidR="00C06DD4">
        <w:t xml:space="preserve"> L.2, troisième partie, section </w:t>
      </w:r>
      <w:r w:rsidRPr="007C69E7">
        <w:t xml:space="preserve">32 des Recommandations relatives au transport des marchandises dangereuses des Nations </w:t>
      </w:r>
      <w:r w:rsidR="00C06DD4" w:rsidRPr="007C69E7">
        <w:t>U</w:t>
      </w:r>
      <w:r w:rsidRPr="007C69E7">
        <w:t>nies, Manuel d</w:t>
      </w:r>
      <w:r w:rsidR="004721F9">
        <w:t>’</w:t>
      </w:r>
      <w:r w:rsidR="00C06DD4">
        <w:t>épreuves et de critères. </w:t>
      </w:r>
      <w:r w:rsidRPr="007C69E7">
        <w:t>»</w:t>
      </w:r>
      <w:r w:rsidR="00C06DD4">
        <w:t>.</w:t>
      </w:r>
    </w:p>
    <w:p w:rsidR="00772374" w:rsidRPr="007C69E7" w:rsidRDefault="00C06DD4" w:rsidP="00772374">
      <w:pPr>
        <w:pStyle w:val="SingleTxtG"/>
        <w:ind w:left="1701"/>
      </w:pPr>
      <w:r>
        <w:tab/>
      </w:r>
      <w:r w:rsidR="00772374" w:rsidRPr="007C69E7">
        <w:t xml:space="preserve">Le texte entre crochets a été ajouté dans le </w:t>
      </w:r>
      <w:r w:rsidR="00F033A1" w:rsidRPr="007C69E7">
        <w:t>R</w:t>
      </w:r>
      <w:r w:rsidR="00772374" w:rsidRPr="007C69E7">
        <w:t>èglement (UE) n</w:t>
      </w:r>
      <w:r w:rsidR="00772374" w:rsidRPr="007C69E7">
        <w:rPr>
          <w:vertAlign w:val="superscript"/>
        </w:rPr>
        <w:t>o</w:t>
      </w:r>
      <w:r w:rsidRPr="00C06DD4">
        <w:t> </w:t>
      </w:r>
      <w:r w:rsidR="00772374" w:rsidRPr="007C69E7">
        <w:t xml:space="preserve">286/2011 modifiant, aux fins de son adaptation au progrès technique, le </w:t>
      </w:r>
      <w:r w:rsidR="00F033A1" w:rsidRPr="007C69E7">
        <w:t>R</w:t>
      </w:r>
      <w:r w:rsidR="00772374" w:rsidRPr="007C69E7">
        <w:t>èglement n</w:t>
      </w:r>
      <w:r w:rsidR="00772374" w:rsidRPr="007C69E7">
        <w:rPr>
          <w:vertAlign w:val="superscript"/>
        </w:rPr>
        <w:t>o</w:t>
      </w:r>
      <w:r>
        <w:t> </w:t>
      </w:r>
      <w:r w:rsidR="00772374" w:rsidRPr="007C69E7">
        <w:t>1272/2008. La catégorie 4 pour les liquides inflammables n</w:t>
      </w:r>
      <w:r w:rsidR="004721F9">
        <w:t>’</w:t>
      </w:r>
      <w:r w:rsidR="00772374" w:rsidRPr="007C69E7">
        <w:t>est pas visée par le règlement CLP.</w:t>
      </w:r>
    </w:p>
    <w:p w:rsidR="00772374" w:rsidRPr="007C69E7" w:rsidRDefault="00772374" w:rsidP="00772374">
      <w:pPr>
        <w:pStyle w:val="SingleTxtG"/>
      </w:pPr>
      <w:r w:rsidRPr="007C69E7">
        <w:t>6.</w:t>
      </w:r>
      <w:r w:rsidRPr="007C69E7">
        <w:tab/>
        <w:t>Pour remédier au problème d</w:t>
      </w:r>
      <w:r w:rsidR="004721F9">
        <w:t>’</w:t>
      </w:r>
      <w:r w:rsidRPr="007C69E7">
        <w:t>incohérence entre la classification pour la distribution et celle pour le transport ainsi que dans un souci d</w:t>
      </w:r>
      <w:r w:rsidR="004721F9">
        <w:t>’</w:t>
      </w:r>
      <w:r w:rsidRPr="007C69E7">
        <w:t>harmonisation de l</w:t>
      </w:r>
      <w:r w:rsidR="004721F9">
        <w:t>’</w:t>
      </w:r>
      <w:r w:rsidRPr="007C69E7">
        <w:t>application du SGH à l</w:t>
      </w:r>
      <w:r w:rsidR="004721F9">
        <w:t>’</w:t>
      </w:r>
      <w:r w:rsidRPr="007C69E7">
        <w:t>échelon national, l</w:t>
      </w:r>
      <w:r w:rsidR="004721F9">
        <w:t>’</w:t>
      </w:r>
      <w:r w:rsidRPr="007C69E7">
        <w:t xml:space="preserve">IPPIC propose de supprimer le </w:t>
      </w:r>
      <w:r w:rsidR="00F033A1" w:rsidRPr="007C69E7">
        <w:t xml:space="preserve">NOTA </w:t>
      </w:r>
      <w:r w:rsidRPr="007C69E7">
        <w:t>2 et d</w:t>
      </w:r>
      <w:r w:rsidR="004721F9">
        <w:t>’</w:t>
      </w:r>
      <w:r w:rsidRPr="007C69E7">
        <w:t>intégrer son contenu au texte du SGH en ce qui concerne les critères de classification, afin qu</w:t>
      </w:r>
      <w:r w:rsidR="004721F9">
        <w:t>’</w:t>
      </w:r>
      <w:r w:rsidRPr="007C69E7">
        <w:t>il s</w:t>
      </w:r>
      <w:r w:rsidR="004721F9">
        <w:t>’</w:t>
      </w:r>
      <w:r w:rsidRPr="007C69E7">
        <w:t xml:space="preserve">applique à la classe de danger « liquides inflammables ».  </w:t>
      </w:r>
    </w:p>
    <w:p w:rsidR="00772374" w:rsidRPr="007C69E7" w:rsidRDefault="00772374" w:rsidP="00772374">
      <w:pPr>
        <w:pStyle w:val="SingleTxtG"/>
      </w:pPr>
      <w:r w:rsidRPr="007C69E7">
        <w:t>7.</w:t>
      </w:r>
      <w:r w:rsidRPr="007C69E7">
        <w:tab/>
        <w:t>Dans le document ST/SG/AC.10/C.3/2016/62-ST/SG/AC.10/C.4/2016/13 (cinquantième session du Sous-Comité TMD, trente-deuxième session du Sous-Comité SGH), l</w:t>
      </w:r>
      <w:r w:rsidR="004721F9">
        <w:t>’</w:t>
      </w:r>
      <w:r w:rsidRPr="007C69E7">
        <w:t>expert de l</w:t>
      </w:r>
      <w:r w:rsidR="004721F9">
        <w:t>’</w:t>
      </w:r>
      <w:r w:rsidRPr="007C69E7">
        <w:t>Allemagne a souligné qu</w:t>
      </w:r>
      <w:r w:rsidR="004721F9">
        <w:t>’</w:t>
      </w:r>
      <w:r w:rsidRPr="007C69E7">
        <w:t>il devrait également être possible, en principe, de réserver le même traitement aux liquides inflammables de la catégorie 4 en procédant de façon similaire au moyen d</w:t>
      </w:r>
      <w:r w:rsidR="004721F9">
        <w:t>’</w:t>
      </w:r>
      <w:r w:rsidRPr="007C69E7">
        <w:t>une épreuve de combustion entretenue. Cela nécessiterait toutefois de modifier l</w:t>
      </w:r>
      <w:r w:rsidR="004721F9">
        <w:t>’</w:t>
      </w:r>
      <w:r w:rsidRPr="007C69E7">
        <w:t>épreuve L.2 pour introduire des températures d</w:t>
      </w:r>
      <w:r w:rsidR="004721F9">
        <w:t>’</w:t>
      </w:r>
      <w:r w:rsidRPr="007C69E7">
        <w:t xml:space="preserve">essai appropriées </w:t>
      </w:r>
      <w:proofErr w:type="gramStart"/>
      <w:r w:rsidRPr="007C69E7">
        <w:t>aux</w:t>
      </w:r>
      <w:proofErr w:type="gramEnd"/>
      <w:r w:rsidRPr="007C69E7">
        <w:t xml:space="preserve"> liquides dont le point d</w:t>
      </w:r>
      <w:r w:rsidR="004721F9">
        <w:t>’</w:t>
      </w:r>
      <w:r w:rsidRPr="007C69E7">
        <w:t>éclair est supérieur à 60</w:t>
      </w:r>
      <w:r w:rsidR="00F033A1">
        <w:t> °</w:t>
      </w:r>
      <w:r w:rsidRPr="007C69E7">
        <w:t>C. Cette question n</w:t>
      </w:r>
      <w:r w:rsidR="004721F9">
        <w:t>’</w:t>
      </w:r>
      <w:r w:rsidRPr="007C69E7">
        <w:t>est pas abordée dans la présente proposition de l</w:t>
      </w:r>
      <w:r w:rsidR="004721F9">
        <w:t>’</w:t>
      </w:r>
      <w:r w:rsidRPr="007C69E7">
        <w:t>IPPIC et devrait faire l</w:t>
      </w:r>
      <w:r w:rsidR="004721F9">
        <w:t>’</w:t>
      </w:r>
      <w:r w:rsidRPr="007C69E7">
        <w:t>objet d</w:t>
      </w:r>
      <w:r w:rsidR="004721F9">
        <w:t>’</w:t>
      </w:r>
      <w:r w:rsidRPr="007C69E7">
        <w:t>une proposition distincte. Par ailleurs, le premier renvoi à la deuxième note de bas de page dans le diagramme de décision du 2.6.4.1 reste erroné, comme l</w:t>
      </w:r>
      <w:r w:rsidR="004721F9">
        <w:t>’</w:t>
      </w:r>
      <w:r w:rsidRPr="007C69E7">
        <w:t>a souligné l</w:t>
      </w:r>
      <w:r w:rsidR="004721F9">
        <w:t>’</w:t>
      </w:r>
      <w:r w:rsidRPr="007C69E7">
        <w:t>expert de l</w:t>
      </w:r>
      <w:r w:rsidR="004721F9">
        <w:t>’</w:t>
      </w:r>
      <w:r w:rsidRPr="007C69E7">
        <w:t>Allemagne, et devrait peut-être être supprimé jusqu</w:t>
      </w:r>
      <w:r w:rsidR="004721F9">
        <w:t>’</w:t>
      </w:r>
      <w:r w:rsidRPr="007C69E7">
        <w:t>à l</w:t>
      </w:r>
      <w:r w:rsidR="004721F9">
        <w:t>’</w:t>
      </w:r>
      <w:r w:rsidRPr="007C69E7">
        <w:t>adoption de cet amendement.</w:t>
      </w:r>
    </w:p>
    <w:p w:rsidR="00772374" w:rsidRPr="007C69E7" w:rsidRDefault="00772374" w:rsidP="00772374">
      <w:pPr>
        <w:pStyle w:val="SingleTxtG"/>
      </w:pPr>
      <w:r w:rsidRPr="007C69E7">
        <w:t>8.</w:t>
      </w:r>
      <w:r w:rsidRPr="007C69E7">
        <w:tab/>
        <w:t>Dans le présent document, l</w:t>
      </w:r>
      <w:r w:rsidR="004721F9">
        <w:t>’</w:t>
      </w:r>
      <w:r w:rsidRPr="007C69E7">
        <w:t>IPPIC propose des amendements au SGH uniquement mais ne propose aucune modification au Règlement type pour le transport des marchandises dangereuses. Il soumet néanmoins ce document aux deux sous-comités en tant que document de travail officiel puisqu</w:t>
      </w:r>
      <w:r w:rsidR="004721F9">
        <w:t>’</w:t>
      </w:r>
      <w:r w:rsidRPr="007C69E7">
        <w:t>il traite d</w:t>
      </w:r>
      <w:r w:rsidR="004721F9">
        <w:t>’</w:t>
      </w:r>
      <w:r w:rsidRPr="007C69E7">
        <w:t>un danger physique, domaine dans lequel le Sous-Comité TMD fait fonction de coordonnateur.</w:t>
      </w:r>
    </w:p>
    <w:p w:rsidR="00772374" w:rsidRPr="007C69E7" w:rsidRDefault="004721F9" w:rsidP="00772374">
      <w:pPr>
        <w:pStyle w:val="HChG"/>
      </w:pPr>
      <w:r>
        <w:lastRenderedPageBreak/>
        <w:tab/>
      </w:r>
      <w:r>
        <w:tab/>
      </w:r>
      <w:r w:rsidR="00772374" w:rsidRPr="007C69E7">
        <w:t>Proposition</w:t>
      </w:r>
    </w:p>
    <w:p w:rsidR="00772374" w:rsidRPr="007C69E7" w:rsidRDefault="00772374" w:rsidP="00772374">
      <w:pPr>
        <w:pStyle w:val="SingleTxtG"/>
      </w:pPr>
      <w:r w:rsidRPr="007C69E7">
        <w:t>9.</w:t>
      </w:r>
      <w:r w:rsidRPr="007C69E7">
        <w:tab/>
        <w:t>Section 2.6</w:t>
      </w:r>
      <w:r w:rsidR="00401C13">
        <w:t>.2</w:t>
      </w:r>
      <w:r w:rsidRPr="007C69E7">
        <w:t xml:space="preserve">, modifier comme suit (les ajouts sont </w:t>
      </w:r>
      <w:r w:rsidRPr="007C69E7">
        <w:rPr>
          <w:u w:val="single"/>
        </w:rPr>
        <w:t>soulignés</w:t>
      </w:r>
      <w:r w:rsidRPr="007C69E7">
        <w:t xml:space="preserve">, les suppressions sont </w:t>
      </w:r>
      <w:r w:rsidRPr="007C69E7">
        <w:rPr>
          <w:strike/>
        </w:rPr>
        <w:t>biffées</w:t>
      </w:r>
      <w:r w:rsidR="00401C13">
        <w:t>) </w:t>
      </w:r>
      <w:r w:rsidRPr="007C69E7">
        <w:t>:</w:t>
      </w:r>
    </w:p>
    <w:p w:rsidR="00772374" w:rsidRPr="00401C13" w:rsidRDefault="00401C13" w:rsidP="00401C13">
      <w:pPr>
        <w:pStyle w:val="SingleTxtG"/>
        <w:ind w:left="2268" w:hanging="1134"/>
        <w:rPr>
          <w:b/>
        </w:rPr>
      </w:pPr>
      <w:r w:rsidRPr="00310BE4">
        <w:t>«</w:t>
      </w:r>
      <w:r>
        <w:t> </w:t>
      </w:r>
      <w:r w:rsidR="00772374" w:rsidRPr="00401C13">
        <w:rPr>
          <w:b/>
          <w:lang w:val="fr-FR"/>
        </w:rPr>
        <w:t>2.6.2</w:t>
      </w:r>
      <w:r w:rsidRPr="00401C13">
        <w:rPr>
          <w:b/>
          <w:lang w:val="fr-FR"/>
        </w:rPr>
        <w:tab/>
      </w:r>
      <w:r w:rsidR="00772374" w:rsidRPr="00401C13">
        <w:rPr>
          <w:b/>
          <w:lang w:val="fr-FR"/>
        </w:rPr>
        <w:t>Critères de classification</w:t>
      </w:r>
    </w:p>
    <w:p w:rsidR="00772374" w:rsidRPr="007C69E7" w:rsidRDefault="00772374" w:rsidP="00401C13">
      <w:pPr>
        <w:pStyle w:val="SingleTxtG"/>
        <w:ind w:left="2268" w:hanging="1134"/>
        <w:rPr>
          <w:b/>
        </w:rPr>
      </w:pPr>
      <w:r w:rsidRPr="007C69E7">
        <w:rPr>
          <w:u w:val="single"/>
          <w:lang w:val="fr-FR"/>
        </w:rPr>
        <w:t>2.6.2.1</w:t>
      </w:r>
      <w:r w:rsidRPr="007C69E7">
        <w:rPr>
          <w:lang w:val="fr-FR"/>
        </w:rPr>
        <w:tab/>
      </w:r>
      <w:r w:rsidRPr="007C69E7">
        <w:rPr>
          <w:lang w:val="fr-FR"/>
        </w:rPr>
        <w:tab/>
        <w:t>Un liquide inflammable doit être classé dans l</w:t>
      </w:r>
      <w:r w:rsidR="004721F9" w:rsidRPr="003E0F29">
        <w:rPr>
          <w:lang w:val="fr-FR"/>
        </w:rPr>
        <w:t>’</w:t>
      </w:r>
      <w:r w:rsidRPr="007C69E7">
        <w:rPr>
          <w:lang w:val="fr-FR"/>
        </w:rPr>
        <w:t>une des deux catégories de cette classe conformément au tableau suivant.</w:t>
      </w:r>
    </w:p>
    <w:p w:rsidR="00772374" w:rsidRPr="003E0F29" w:rsidRDefault="00772374" w:rsidP="003E0F29">
      <w:pPr>
        <w:pStyle w:val="SingleTxtG"/>
        <w:jc w:val="center"/>
        <w:rPr>
          <w:b/>
        </w:rPr>
      </w:pPr>
      <w:r w:rsidRPr="003E0F29">
        <w:rPr>
          <w:b/>
          <w:lang w:val="fr-FR"/>
        </w:rPr>
        <w:t>Tableau 2.6.1</w:t>
      </w:r>
      <w:r w:rsidR="003E0F29" w:rsidRPr="003E0F29">
        <w:rPr>
          <w:b/>
          <w:lang w:val="fr-FR"/>
        </w:rPr>
        <w:t> </w:t>
      </w:r>
      <w:r w:rsidRPr="003E0F29">
        <w:rPr>
          <w:b/>
          <w:lang w:val="fr-FR"/>
        </w:rPr>
        <w:t>: Critères de classification des liquides inflammables</w:t>
      </w:r>
    </w:p>
    <w:tbl>
      <w:tblPr>
        <w:tblStyle w:val="TableGrid"/>
        <w:tblW w:w="7371" w:type="dxa"/>
        <w:tblInd w:w="1134" w:type="dxa"/>
        <w:tblLayout w:type="fixed"/>
        <w:tblLook w:val="04A0" w:firstRow="1" w:lastRow="0" w:firstColumn="1" w:lastColumn="0" w:noHBand="0" w:noVBand="1"/>
      </w:tblPr>
      <w:tblGrid>
        <w:gridCol w:w="1227"/>
        <w:gridCol w:w="6144"/>
      </w:tblGrid>
      <w:tr w:rsidR="00772374" w:rsidRPr="007C69E7" w:rsidTr="003E0F29">
        <w:tc>
          <w:tcPr>
            <w:tcW w:w="1296" w:type="dxa"/>
            <w:noWrap/>
            <w:vAlign w:val="center"/>
          </w:tcPr>
          <w:p w:rsidR="00772374" w:rsidRPr="007C69E7" w:rsidRDefault="00772374" w:rsidP="003E0F29">
            <w:pPr>
              <w:spacing w:before="40" w:after="40" w:line="220" w:lineRule="exact"/>
              <w:ind w:left="113" w:right="113"/>
              <w:jc w:val="center"/>
              <w:rPr>
                <w:b/>
              </w:rPr>
            </w:pPr>
            <w:r w:rsidRPr="007C69E7">
              <w:rPr>
                <w:b/>
              </w:rPr>
              <w:t>Catégorie</w:t>
            </w:r>
          </w:p>
        </w:tc>
        <w:tc>
          <w:tcPr>
            <w:tcW w:w="6496" w:type="dxa"/>
            <w:noWrap/>
            <w:vAlign w:val="center"/>
          </w:tcPr>
          <w:p w:rsidR="00772374" w:rsidRPr="007C69E7" w:rsidRDefault="00772374" w:rsidP="003E0F29">
            <w:pPr>
              <w:spacing w:before="40" w:after="40" w:line="220" w:lineRule="exact"/>
              <w:ind w:left="113" w:right="113"/>
              <w:jc w:val="center"/>
              <w:rPr>
                <w:b/>
              </w:rPr>
            </w:pPr>
            <w:r w:rsidRPr="007C69E7">
              <w:rPr>
                <w:b/>
              </w:rPr>
              <w:t>Critères</w:t>
            </w:r>
          </w:p>
        </w:tc>
      </w:tr>
      <w:tr w:rsidR="00772374" w:rsidRPr="007C69E7" w:rsidTr="003E0F29">
        <w:tc>
          <w:tcPr>
            <w:tcW w:w="1296" w:type="dxa"/>
            <w:vAlign w:val="center"/>
          </w:tcPr>
          <w:p w:rsidR="00772374" w:rsidRPr="007C69E7" w:rsidRDefault="00772374" w:rsidP="003E0F29">
            <w:pPr>
              <w:spacing w:before="40" w:after="40" w:line="220" w:lineRule="exact"/>
              <w:ind w:left="113" w:right="113"/>
              <w:jc w:val="center"/>
              <w:rPr>
                <w:b/>
              </w:rPr>
            </w:pPr>
            <w:r w:rsidRPr="007C69E7">
              <w:rPr>
                <w:b/>
              </w:rPr>
              <w:t>1</w:t>
            </w:r>
          </w:p>
        </w:tc>
        <w:tc>
          <w:tcPr>
            <w:tcW w:w="6496" w:type="dxa"/>
            <w:vAlign w:val="center"/>
          </w:tcPr>
          <w:p w:rsidR="00772374" w:rsidRPr="007C69E7" w:rsidRDefault="00772374" w:rsidP="003E0F29">
            <w:pPr>
              <w:spacing w:before="40" w:after="40" w:line="220" w:lineRule="exact"/>
              <w:ind w:left="113" w:right="113"/>
            </w:pPr>
            <w:r w:rsidRPr="007C69E7">
              <w:t>Le point d</w:t>
            </w:r>
            <w:r w:rsidR="004721F9">
              <w:t>’</w:t>
            </w:r>
            <w:r w:rsidR="003E0F29">
              <w:t>éclair est &lt;</w:t>
            </w:r>
            <w:r w:rsidRPr="007C69E7">
              <w:t>23</w:t>
            </w:r>
            <w:r w:rsidR="003E0F29">
              <w:t> °</w:t>
            </w:r>
            <w:r w:rsidRPr="007C69E7">
              <w:t>C et le point initial d</w:t>
            </w:r>
            <w:r w:rsidR="004721F9">
              <w:t>’</w:t>
            </w:r>
            <w:r w:rsidR="003E0F29">
              <w:t>ébullition ≤</w:t>
            </w:r>
            <w:r w:rsidRPr="007C69E7">
              <w:t>35</w:t>
            </w:r>
            <w:r w:rsidR="003E0F29">
              <w:t> °</w:t>
            </w:r>
            <w:r w:rsidRPr="007C69E7">
              <w:t>C</w:t>
            </w:r>
          </w:p>
        </w:tc>
      </w:tr>
      <w:tr w:rsidR="00772374" w:rsidRPr="007C69E7" w:rsidTr="003E0F29">
        <w:tc>
          <w:tcPr>
            <w:tcW w:w="1296" w:type="dxa"/>
            <w:vAlign w:val="center"/>
          </w:tcPr>
          <w:p w:rsidR="00772374" w:rsidRPr="007C69E7" w:rsidRDefault="00772374" w:rsidP="003E0F29">
            <w:pPr>
              <w:spacing w:before="40" w:after="40" w:line="220" w:lineRule="exact"/>
              <w:ind w:left="113" w:right="113"/>
              <w:jc w:val="center"/>
              <w:rPr>
                <w:b/>
              </w:rPr>
            </w:pPr>
            <w:r w:rsidRPr="007C69E7">
              <w:rPr>
                <w:b/>
              </w:rPr>
              <w:t>2</w:t>
            </w:r>
          </w:p>
        </w:tc>
        <w:tc>
          <w:tcPr>
            <w:tcW w:w="6496" w:type="dxa"/>
            <w:vAlign w:val="center"/>
          </w:tcPr>
          <w:p w:rsidR="00772374" w:rsidRPr="007C69E7" w:rsidRDefault="00772374" w:rsidP="003E0F29">
            <w:pPr>
              <w:spacing w:before="40" w:after="40" w:line="220" w:lineRule="exact"/>
              <w:ind w:left="113" w:right="113"/>
            </w:pPr>
            <w:r w:rsidRPr="007C69E7">
              <w:t>Le point d</w:t>
            </w:r>
            <w:r w:rsidR="004721F9">
              <w:t>’</w:t>
            </w:r>
            <w:r w:rsidR="003E0F29">
              <w:t>éclair est &lt;</w:t>
            </w:r>
            <w:r w:rsidRPr="007C69E7">
              <w:t>23</w:t>
            </w:r>
            <w:r w:rsidR="003E0F29">
              <w:t> °</w:t>
            </w:r>
            <w:r w:rsidRPr="007C69E7">
              <w:t>C et le point initial d</w:t>
            </w:r>
            <w:r w:rsidR="004721F9">
              <w:t>’</w:t>
            </w:r>
            <w:r w:rsidR="003E0F29">
              <w:t xml:space="preserve">ébullition </w:t>
            </w:r>
            <w:r w:rsidR="00FD684F">
              <w:t>&gt;</w:t>
            </w:r>
            <w:r w:rsidRPr="007C69E7">
              <w:t>35</w:t>
            </w:r>
            <w:r w:rsidR="003E0F29">
              <w:t> °</w:t>
            </w:r>
            <w:r w:rsidRPr="007C69E7">
              <w:t>C</w:t>
            </w:r>
          </w:p>
        </w:tc>
      </w:tr>
      <w:tr w:rsidR="00772374" w:rsidRPr="007C69E7" w:rsidTr="003E0F29">
        <w:tc>
          <w:tcPr>
            <w:tcW w:w="1296" w:type="dxa"/>
            <w:vAlign w:val="center"/>
          </w:tcPr>
          <w:p w:rsidR="00772374" w:rsidRPr="007C69E7" w:rsidRDefault="00772374" w:rsidP="003E0F29">
            <w:pPr>
              <w:spacing w:before="40" w:after="40" w:line="220" w:lineRule="exact"/>
              <w:ind w:left="113" w:right="113"/>
              <w:jc w:val="center"/>
              <w:rPr>
                <w:b/>
              </w:rPr>
            </w:pPr>
            <w:r w:rsidRPr="007C69E7">
              <w:rPr>
                <w:b/>
              </w:rPr>
              <w:t>3</w:t>
            </w:r>
          </w:p>
        </w:tc>
        <w:tc>
          <w:tcPr>
            <w:tcW w:w="6496" w:type="dxa"/>
            <w:vAlign w:val="center"/>
          </w:tcPr>
          <w:p w:rsidR="00772374" w:rsidRPr="007C69E7" w:rsidRDefault="00772374" w:rsidP="00FD684F">
            <w:pPr>
              <w:spacing w:before="40" w:after="40" w:line="220" w:lineRule="exact"/>
              <w:ind w:left="113" w:right="113"/>
            </w:pPr>
            <w:r w:rsidRPr="007C69E7">
              <w:t>Le point d</w:t>
            </w:r>
            <w:r w:rsidR="004721F9">
              <w:t>’</w:t>
            </w:r>
            <w:r w:rsidR="00FD684F">
              <w:t>éclair est ≥</w:t>
            </w:r>
            <w:r w:rsidRPr="007C69E7">
              <w:t>23</w:t>
            </w:r>
            <w:r w:rsidR="00FD684F">
              <w:t> °</w:t>
            </w:r>
            <w:r w:rsidRPr="007C69E7">
              <w:t>C et ≤60</w:t>
            </w:r>
            <w:r w:rsidR="00FD684F">
              <w:t> °</w:t>
            </w:r>
            <w:r w:rsidRPr="007C69E7">
              <w:t>C</w:t>
            </w:r>
          </w:p>
        </w:tc>
      </w:tr>
      <w:tr w:rsidR="00772374" w:rsidRPr="007C69E7" w:rsidTr="003E0F29">
        <w:tc>
          <w:tcPr>
            <w:tcW w:w="1296" w:type="dxa"/>
            <w:vAlign w:val="center"/>
          </w:tcPr>
          <w:p w:rsidR="00772374" w:rsidRPr="007C69E7" w:rsidRDefault="00772374" w:rsidP="003E0F29">
            <w:pPr>
              <w:spacing w:before="40" w:after="40" w:line="220" w:lineRule="exact"/>
              <w:ind w:left="113" w:right="113"/>
              <w:jc w:val="center"/>
              <w:rPr>
                <w:b/>
              </w:rPr>
            </w:pPr>
            <w:r w:rsidRPr="007C69E7">
              <w:rPr>
                <w:b/>
              </w:rPr>
              <w:t>4</w:t>
            </w:r>
          </w:p>
        </w:tc>
        <w:tc>
          <w:tcPr>
            <w:tcW w:w="6496" w:type="dxa"/>
            <w:vAlign w:val="center"/>
          </w:tcPr>
          <w:p w:rsidR="00772374" w:rsidRPr="007C69E7" w:rsidRDefault="00772374" w:rsidP="003E0F29">
            <w:pPr>
              <w:spacing w:before="40" w:after="40" w:line="220" w:lineRule="exact"/>
              <w:ind w:left="113" w:right="113"/>
            </w:pPr>
            <w:r w:rsidRPr="007C69E7">
              <w:t>Le point d</w:t>
            </w:r>
            <w:r w:rsidR="004721F9">
              <w:t>’</w:t>
            </w:r>
            <w:r w:rsidR="00FD684F">
              <w:t>éclair est &gt;</w:t>
            </w:r>
            <w:r w:rsidRPr="007C69E7">
              <w:t>60</w:t>
            </w:r>
            <w:r w:rsidR="00FD684F">
              <w:t> °C et ≤</w:t>
            </w:r>
            <w:r w:rsidRPr="007C69E7">
              <w:t>93</w:t>
            </w:r>
            <w:r w:rsidR="00FD684F">
              <w:t> °</w:t>
            </w:r>
            <w:r w:rsidRPr="007C69E7">
              <w:t>C</w:t>
            </w:r>
          </w:p>
        </w:tc>
      </w:tr>
    </w:tbl>
    <w:p w:rsidR="00772374" w:rsidRPr="007C69E7" w:rsidRDefault="00772374" w:rsidP="00FD684F">
      <w:pPr>
        <w:pStyle w:val="SingleTxtG"/>
        <w:spacing w:before="240"/>
        <w:ind w:left="2268" w:hanging="1134"/>
        <w:rPr>
          <w:b/>
          <w:iCs/>
          <w:u w:val="single"/>
        </w:rPr>
      </w:pPr>
      <w:r w:rsidRPr="007C69E7">
        <w:rPr>
          <w:u w:val="single"/>
          <w:lang w:val="fr-FR"/>
        </w:rPr>
        <w:t>2.6.2.2</w:t>
      </w:r>
      <w:r w:rsidRPr="007C69E7">
        <w:rPr>
          <w:lang w:val="fr-FR"/>
        </w:rPr>
        <w:tab/>
      </w:r>
      <w:r w:rsidRPr="007C69E7">
        <w:rPr>
          <w:lang w:val="fr-FR"/>
        </w:rPr>
        <w:tab/>
      </w:r>
      <w:r w:rsidRPr="007C69E7">
        <w:rPr>
          <w:u w:val="single"/>
          <w:lang w:val="fr-FR"/>
        </w:rPr>
        <w:t>Il n</w:t>
      </w:r>
      <w:r w:rsidR="004721F9" w:rsidRPr="00FD684F">
        <w:rPr>
          <w:u w:val="single"/>
          <w:lang w:val="fr-FR"/>
        </w:rPr>
        <w:t>’</w:t>
      </w:r>
      <w:r w:rsidRPr="007C69E7">
        <w:rPr>
          <w:u w:val="single"/>
          <w:lang w:val="fr-FR"/>
        </w:rPr>
        <w:t>est pas nécessaire de classer les liquides ayant un point d</w:t>
      </w:r>
      <w:r w:rsidR="004721F9" w:rsidRPr="00FD684F">
        <w:rPr>
          <w:u w:val="single"/>
          <w:lang w:val="fr-FR"/>
        </w:rPr>
        <w:t>’</w:t>
      </w:r>
      <w:r w:rsidR="00FD684F">
        <w:rPr>
          <w:u w:val="single"/>
          <w:lang w:val="fr-FR"/>
        </w:rPr>
        <w:t xml:space="preserve">éclair supérieur à </w:t>
      </w:r>
      <w:r w:rsidRPr="007C69E7">
        <w:rPr>
          <w:u w:val="single"/>
          <w:lang w:val="fr-FR"/>
        </w:rPr>
        <w:t>35</w:t>
      </w:r>
      <w:r w:rsidR="00FD684F">
        <w:rPr>
          <w:u w:val="single"/>
          <w:lang w:val="fr-FR"/>
        </w:rPr>
        <w:t> °</w:t>
      </w:r>
      <w:r w:rsidRPr="007C69E7">
        <w:rPr>
          <w:u w:val="single"/>
          <w:lang w:val="fr-FR"/>
        </w:rPr>
        <w:t>C et ne dépassant pas 60</w:t>
      </w:r>
      <w:r w:rsidR="00FD684F">
        <w:rPr>
          <w:u w:val="single"/>
          <w:lang w:val="fr-FR"/>
        </w:rPr>
        <w:t> °</w:t>
      </w:r>
      <w:r w:rsidRPr="007C69E7">
        <w:rPr>
          <w:u w:val="single"/>
          <w:lang w:val="fr-FR"/>
        </w:rPr>
        <w:t>C dans la catégorie 3 si des résultats négatifs ont été obtenus lors de l</w:t>
      </w:r>
      <w:r w:rsidR="004721F9" w:rsidRPr="00FD684F">
        <w:rPr>
          <w:u w:val="single"/>
          <w:lang w:val="fr-FR"/>
        </w:rPr>
        <w:t>’</w:t>
      </w:r>
      <w:r w:rsidRPr="007C69E7">
        <w:rPr>
          <w:u w:val="single"/>
          <w:lang w:val="fr-FR"/>
        </w:rPr>
        <w:t>essai de combustion entretenue L.2 décrit da</w:t>
      </w:r>
      <w:r w:rsidR="00FD684F">
        <w:rPr>
          <w:u w:val="single"/>
          <w:lang w:val="fr-FR"/>
        </w:rPr>
        <w:t>ns la troisième partie, section </w:t>
      </w:r>
      <w:r w:rsidRPr="007C69E7">
        <w:rPr>
          <w:u w:val="single"/>
          <w:lang w:val="fr-FR"/>
        </w:rPr>
        <w:t>32 des Recommandations relatives au transport des marchandises dangereuses, Manuel d</w:t>
      </w:r>
      <w:r w:rsidR="004721F9">
        <w:rPr>
          <w:b/>
          <w:u w:val="single"/>
          <w:lang w:val="fr-FR"/>
        </w:rPr>
        <w:t>’</w:t>
      </w:r>
      <w:r w:rsidRPr="007C69E7">
        <w:rPr>
          <w:u w:val="single"/>
          <w:lang w:val="fr-FR"/>
        </w:rPr>
        <w:t>épreuves et de critères.</w:t>
      </w:r>
    </w:p>
    <w:p w:rsidR="00772374" w:rsidRPr="007C69E7" w:rsidRDefault="00772374" w:rsidP="002C7C06">
      <w:pPr>
        <w:pStyle w:val="SingleTxtG"/>
        <w:rPr>
          <w:b/>
          <w:i/>
          <w:iCs/>
        </w:rPr>
      </w:pPr>
      <w:r w:rsidRPr="00310BE4">
        <w:rPr>
          <w:b/>
          <w:i/>
          <w:lang w:val="fr-FR"/>
        </w:rPr>
        <w:t>NOTA 1</w:t>
      </w:r>
      <w:r w:rsidR="002C7C06">
        <w:rPr>
          <w:i/>
          <w:lang w:val="fr-FR"/>
        </w:rPr>
        <w:t> </w:t>
      </w:r>
      <w:r w:rsidRPr="007C69E7">
        <w:rPr>
          <w:i/>
          <w:lang w:val="fr-FR"/>
        </w:rPr>
        <w:t>: Les gazoles, carburants diesel et huiles de chauffage légères dont le point d</w:t>
      </w:r>
      <w:r w:rsidR="004721F9">
        <w:rPr>
          <w:b/>
          <w:i/>
          <w:lang w:val="fr-FR"/>
        </w:rPr>
        <w:t>’</w:t>
      </w:r>
      <w:r w:rsidRPr="007C69E7">
        <w:rPr>
          <w:i/>
          <w:lang w:val="fr-FR"/>
        </w:rPr>
        <w:t>éclair est compris entre 55</w:t>
      </w:r>
      <w:r w:rsidR="002C7C06">
        <w:rPr>
          <w:i/>
          <w:lang w:val="fr-FR"/>
        </w:rPr>
        <w:t> °</w:t>
      </w:r>
      <w:r w:rsidRPr="007C69E7">
        <w:rPr>
          <w:i/>
          <w:lang w:val="fr-FR"/>
        </w:rPr>
        <w:t>C et 75</w:t>
      </w:r>
      <w:r w:rsidR="002C7C06">
        <w:rPr>
          <w:i/>
          <w:lang w:val="fr-FR"/>
        </w:rPr>
        <w:t> °</w:t>
      </w:r>
      <w:r w:rsidRPr="007C69E7">
        <w:rPr>
          <w:i/>
          <w:lang w:val="fr-FR"/>
        </w:rPr>
        <w:t>C peuvent être considérés comme un groupe à part dans le cadre de certains règlements.</w:t>
      </w:r>
    </w:p>
    <w:p w:rsidR="00772374" w:rsidRPr="007C69E7" w:rsidRDefault="00772374" w:rsidP="002C7C06">
      <w:pPr>
        <w:pStyle w:val="SingleTxtG"/>
        <w:rPr>
          <w:b/>
          <w:i/>
          <w:iCs/>
          <w:strike/>
        </w:rPr>
      </w:pPr>
      <w:r w:rsidRPr="00310BE4">
        <w:rPr>
          <w:b/>
          <w:i/>
          <w:strike/>
          <w:lang w:val="fr-FR"/>
        </w:rPr>
        <w:t>2</w:t>
      </w:r>
      <w:r w:rsidRPr="007C69E7">
        <w:rPr>
          <w:i/>
          <w:strike/>
          <w:lang w:val="fr-FR"/>
        </w:rPr>
        <w:t> : Les liquides ayant un point d</w:t>
      </w:r>
      <w:r w:rsidR="004721F9">
        <w:rPr>
          <w:b/>
          <w:i/>
          <w:strike/>
          <w:lang w:val="fr-FR"/>
        </w:rPr>
        <w:t>’</w:t>
      </w:r>
      <w:r w:rsidRPr="007C69E7">
        <w:rPr>
          <w:i/>
          <w:strike/>
          <w:lang w:val="fr-FR"/>
        </w:rPr>
        <w:t>éclair supérieur ou égal à 35</w:t>
      </w:r>
      <w:r w:rsidR="002C7C06">
        <w:rPr>
          <w:i/>
          <w:strike/>
          <w:lang w:val="fr-FR"/>
        </w:rPr>
        <w:t> °</w:t>
      </w:r>
      <w:r w:rsidRPr="007C69E7">
        <w:rPr>
          <w:i/>
          <w:strike/>
          <w:lang w:val="fr-FR"/>
        </w:rPr>
        <w:t>C et ne dépassant pas 60</w:t>
      </w:r>
      <w:r w:rsidR="002C7C06">
        <w:rPr>
          <w:i/>
          <w:strike/>
          <w:lang w:val="fr-FR"/>
        </w:rPr>
        <w:t> °</w:t>
      </w:r>
      <w:r w:rsidRPr="007C69E7">
        <w:rPr>
          <w:i/>
          <w:strike/>
          <w:lang w:val="fr-FR"/>
        </w:rPr>
        <w:t>C peuvent être considérés comme liquides non inflammables dans le cadre de certains règlements (de transport, par exemple) si des résultats négatifs ont été obtenus lors de l</w:t>
      </w:r>
      <w:r w:rsidR="004721F9">
        <w:rPr>
          <w:b/>
          <w:i/>
          <w:strike/>
          <w:lang w:val="fr-FR"/>
        </w:rPr>
        <w:t>’</w:t>
      </w:r>
      <w:r w:rsidRPr="007C69E7">
        <w:rPr>
          <w:i/>
          <w:strike/>
          <w:lang w:val="fr-FR"/>
        </w:rPr>
        <w:t>épreuve de combustion entretenue L.2 décrite dans la troisième partie, sous-section 32 des Recommandations relatives au transport des marchandises dangereuses, Manuel d</w:t>
      </w:r>
      <w:r w:rsidR="004721F9">
        <w:rPr>
          <w:b/>
          <w:i/>
          <w:strike/>
          <w:lang w:val="fr-FR"/>
        </w:rPr>
        <w:t>’</w:t>
      </w:r>
      <w:r w:rsidRPr="007C69E7">
        <w:rPr>
          <w:i/>
          <w:strike/>
          <w:lang w:val="fr-FR"/>
        </w:rPr>
        <w:t>épreuves et de critères.</w:t>
      </w:r>
    </w:p>
    <w:p w:rsidR="00772374" w:rsidRPr="007C69E7" w:rsidRDefault="00772374" w:rsidP="002C7C06">
      <w:pPr>
        <w:pStyle w:val="SingleTxtG"/>
        <w:rPr>
          <w:b/>
          <w:i/>
          <w:iCs/>
        </w:rPr>
      </w:pPr>
      <w:r w:rsidRPr="00310BE4">
        <w:rPr>
          <w:b/>
          <w:i/>
          <w:strike/>
          <w:lang w:val="fr-FR"/>
        </w:rPr>
        <w:t>3</w:t>
      </w:r>
      <w:r w:rsidRPr="00310BE4">
        <w:rPr>
          <w:b/>
          <w:i/>
          <w:u w:val="single"/>
          <w:lang w:val="fr-FR"/>
        </w:rPr>
        <w:t>2</w:t>
      </w:r>
      <w:r w:rsidR="00310BE4">
        <w:rPr>
          <w:i/>
          <w:lang w:val="fr-FR"/>
        </w:rPr>
        <w:t> </w:t>
      </w:r>
      <w:r w:rsidRPr="007C69E7">
        <w:rPr>
          <w:i/>
          <w:lang w:val="fr-FR"/>
        </w:rPr>
        <w:t xml:space="preserve">: Les liquides inflammables visqueux tels que peintures, émaux, laques, vernis, adhésifs et cires peuvent être considérés comme un groupe dans le cadre de certains règlements (de transport par exemple). </w:t>
      </w:r>
      <w:r w:rsidRPr="007C69E7">
        <w:rPr>
          <w:i/>
          <w:iCs/>
          <w:lang w:val="fr-FR"/>
        </w:rPr>
        <w:t>Dans ces cas, la classification attribuée ou la décision de considérer ces liquides comme non inflammables dépendent du règlement applicable ou de l</w:t>
      </w:r>
      <w:r w:rsidR="004721F9">
        <w:rPr>
          <w:b/>
          <w:i/>
          <w:iCs/>
          <w:lang w:val="fr-FR"/>
        </w:rPr>
        <w:t>’</w:t>
      </w:r>
      <w:r w:rsidRPr="007C69E7">
        <w:rPr>
          <w:i/>
          <w:iCs/>
          <w:lang w:val="fr-FR"/>
        </w:rPr>
        <w:t>autorité compétente.</w:t>
      </w:r>
    </w:p>
    <w:p w:rsidR="00772374" w:rsidRPr="007C69E7" w:rsidRDefault="00772374" w:rsidP="002C7C06">
      <w:pPr>
        <w:pStyle w:val="SingleTxtG"/>
        <w:rPr>
          <w:b/>
          <w:i/>
        </w:rPr>
      </w:pPr>
      <w:r w:rsidRPr="00310BE4">
        <w:rPr>
          <w:b/>
          <w:i/>
          <w:iCs/>
          <w:strike/>
          <w:lang w:val="fr-FR"/>
        </w:rPr>
        <w:t>4</w:t>
      </w:r>
      <w:r w:rsidRPr="00310BE4">
        <w:rPr>
          <w:b/>
          <w:i/>
          <w:iCs/>
          <w:u w:val="single"/>
          <w:lang w:val="fr-FR"/>
        </w:rPr>
        <w:t>3</w:t>
      </w:r>
      <w:r w:rsidR="00310BE4">
        <w:rPr>
          <w:i/>
          <w:iCs/>
          <w:lang w:val="fr-FR"/>
        </w:rPr>
        <w:t> </w:t>
      </w:r>
      <w:r w:rsidRPr="007C69E7">
        <w:rPr>
          <w:i/>
          <w:iCs/>
          <w:lang w:val="fr-FR"/>
        </w:rPr>
        <w:t>: Les aérosols ne doivent pas être classés comme liquides inflammables.</w:t>
      </w:r>
      <w:r w:rsidRPr="007C69E7">
        <w:rPr>
          <w:i/>
          <w:lang w:val="fr-FR"/>
        </w:rPr>
        <w:t xml:space="preserve"> </w:t>
      </w:r>
      <w:r w:rsidR="00310BE4">
        <w:rPr>
          <w:i/>
          <w:iCs/>
          <w:lang w:val="fr-FR"/>
        </w:rPr>
        <w:t>Voir chapitre </w:t>
      </w:r>
      <w:r w:rsidRPr="007C69E7">
        <w:rPr>
          <w:i/>
          <w:iCs/>
          <w:lang w:val="fr-FR"/>
        </w:rPr>
        <w:t>2.3.</w:t>
      </w:r>
      <w:r w:rsidRPr="007C69E7">
        <w:rPr>
          <w:i/>
          <w:lang w:val="fr-FR"/>
        </w:rPr>
        <w:t> </w:t>
      </w:r>
      <w:r w:rsidRPr="00310BE4">
        <w:rPr>
          <w:lang w:val="fr-FR"/>
        </w:rPr>
        <w:t>»</w:t>
      </w:r>
      <w:r w:rsidRPr="007C69E7">
        <w:rPr>
          <w:i/>
          <w:lang w:val="fr-FR"/>
        </w:rPr>
        <w:t>.</w:t>
      </w:r>
    </w:p>
    <w:p w:rsidR="00772374" w:rsidRPr="007C69E7" w:rsidRDefault="00310BE4" w:rsidP="00772374">
      <w:pPr>
        <w:pStyle w:val="SingleTxtG"/>
      </w:pPr>
      <w:r>
        <w:t>10.</w:t>
      </w:r>
      <w:r>
        <w:tab/>
        <w:t>Dans la section </w:t>
      </w:r>
      <w:r w:rsidR="00772374" w:rsidRPr="007C69E7">
        <w:t>2.6.4.1, modifier la deuxième note de bas de page se rapportant au diagramme de décision 2.6 pour tenir compte du</w:t>
      </w:r>
      <w:r>
        <w:t xml:space="preserve"> libellé de la nouvelle section </w:t>
      </w:r>
      <w:r w:rsidR="00772374" w:rsidRPr="007C69E7">
        <w:t>2.6.2.2</w:t>
      </w:r>
      <w:r>
        <w:t xml:space="preserve"> indiqué au paragraphe </w:t>
      </w:r>
      <w:r w:rsidR="00772374" w:rsidRPr="007C69E7">
        <w:t xml:space="preserve">9 ci-dessus.  </w:t>
      </w:r>
    </w:p>
    <w:p w:rsidR="00446FE5" w:rsidRDefault="00772374" w:rsidP="004721F9">
      <w:pPr>
        <w:pStyle w:val="SingleTxtG"/>
      </w:pPr>
      <w:r w:rsidRPr="007C69E7">
        <w:t>11.</w:t>
      </w:r>
      <w:r w:rsidRPr="007C69E7">
        <w:tab/>
        <w:t>Ame</w:t>
      </w:r>
      <w:r w:rsidR="00310BE4">
        <w:t>ndement facultatif (temporaire) </w:t>
      </w:r>
      <w:r w:rsidRPr="007C69E7">
        <w:t>: D</w:t>
      </w:r>
      <w:r w:rsidR="00310BE4">
        <w:t>ans le diagramme de décision </w:t>
      </w:r>
      <w:r w:rsidRPr="007C69E7">
        <w:t>2.6, dans la flèche entre la deuxième question (« A-t-il un point éclair &gt;60</w:t>
      </w:r>
      <w:r w:rsidR="00F17B0F">
        <w:t> °C ? ») et la catégorie </w:t>
      </w:r>
      <w:r w:rsidRPr="007C69E7">
        <w:t>4, remplacer « Oui</w:t>
      </w:r>
      <w:r w:rsidRPr="007C69E7">
        <w:rPr>
          <w:vertAlign w:val="superscript"/>
        </w:rPr>
        <w:t>1,</w:t>
      </w:r>
      <w:r w:rsidR="00F17B0F">
        <w:rPr>
          <w:vertAlign w:val="superscript"/>
        </w:rPr>
        <w:t xml:space="preserve"> </w:t>
      </w:r>
      <w:r w:rsidRPr="007C69E7">
        <w:rPr>
          <w:vertAlign w:val="superscript"/>
        </w:rPr>
        <w:t>2</w:t>
      </w:r>
      <w:r w:rsidRPr="00F17B0F">
        <w:t> </w:t>
      </w:r>
      <w:r w:rsidRPr="007C69E7">
        <w:t>» par « Oui</w:t>
      </w:r>
      <w:r w:rsidRPr="007C69E7">
        <w:rPr>
          <w:vertAlign w:val="superscript"/>
        </w:rPr>
        <w:t>1</w:t>
      </w:r>
      <w:r w:rsidRPr="007C69E7">
        <w:t> ».</w:t>
      </w:r>
    </w:p>
    <w:p w:rsidR="004721F9" w:rsidRPr="004721F9" w:rsidRDefault="004721F9" w:rsidP="004721F9">
      <w:pPr>
        <w:pStyle w:val="SingleTxtG"/>
        <w:spacing w:before="240" w:after="0"/>
        <w:jc w:val="center"/>
        <w:rPr>
          <w:u w:val="single"/>
        </w:rPr>
      </w:pPr>
      <w:r>
        <w:rPr>
          <w:u w:val="single"/>
        </w:rPr>
        <w:tab/>
      </w:r>
      <w:r>
        <w:rPr>
          <w:u w:val="single"/>
        </w:rPr>
        <w:tab/>
      </w:r>
      <w:r>
        <w:rPr>
          <w:u w:val="single"/>
        </w:rPr>
        <w:tab/>
      </w:r>
    </w:p>
    <w:sectPr w:rsidR="004721F9" w:rsidRPr="004721F9" w:rsidSect="006B20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2F" w:rsidRDefault="00352D2F" w:rsidP="00F95C08">
      <w:pPr>
        <w:spacing w:line="240" w:lineRule="auto"/>
      </w:pPr>
    </w:p>
  </w:endnote>
  <w:endnote w:type="continuationSeparator" w:id="0">
    <w:p w:rsidR="00352D2F" w:rsidRPr="00AC3823" w:rsidRDefault="00352D2F" w:rsidP="00AC3823">
      <w:pPr>
        <w:pStyle w:val="Footer"/>
      </w:pPr>
    </w:p>
  </w:endnote>
  <w:endnote w:type="continuationNotice" w:id="1">
    <w:p w:rsidR="00352D2F" w:rsidRDefault="00352D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6D" w:rsidRPr="006B206D" w:rsidRDefault="006B206D" w:rsidP="006B206D">
    <w:pPr>
      <w:pStyle w:val="Footer"/>
      <w:tabs>
        <w:tab w:val="right" w:pos="9638"/>
      </w:tabs>
    </w:pPr>
    <w:r w:rsidRPr="006B206D">
      <w:rPr>
        <w:b/>
        <w:sz w:val="18"/>
      </w:rPr>
      <w:fldChar w:fldCharType="begin"/>
    </w:r>
    <w:r w:rsidRPr="006B206D">
      <w:rPr>
        <w:b/>
        <w:sz w:val="18"/>
      </w:rPr>
      <w:instrText xml:space="preserve"> PAGE  \* MERGEFORMAT </w:instrText>
    </w:r>
    <w:r w:rsidRPr="006B206D">
      <w:rPr>
        <w:b/>
        <w:sz w:val="18"/>
      </w:rPr>
      <w:fldChar w:fldCharType="separate"/>
    </w:r>
    <w:r w:rsidR="00177DBC">
      <w:rPr>
        <w:b/>
        <w:noProof/>
        <w:sz w:val="18"/>
      </w:rPr>
      <w:t>2</w:t>
    </w:r>
    <w:r w:rsidRPr="006B206D">
      <w:rPr>
        <w:b/>
        <w:sz w:val="18"/>
      </w:rPr>
      <w:fldChar w:fldCharType="end"/>
    </w:r>
    <w:r>
      <w:rPr>
        <w:b/>
        <w:sz w:val="18"/>
      </w:rPr>
      <w:tab/>
    </w:r>
    <w:r>
      <w:t>GE.18-14672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6D" w:rsidRPr="006B206D" w:rsidRDefault="006B206D" w:rsidP="006B206D">
    <w:pPr>
      <w:pStyle w:val="Footer"/>
      <w:tabs>
        <w:tab w:val="right" w:pos="9638"/>
      </w:tabs>
      <w:rPr>
        <w:b/>
        <w:sz w:val="18"/>
      </w:rPr>
    </w:pPr>
    <w:r>
      <w:t>GE.18-14672</w:t>
    </w:r>
    <w:r>
      <w:tab/>
    </w:r>
    <w:r w:rsidRPr="006B206D">
      <w:rPr>
        <w:b/>
        <w:sz w:val="18"/>
      </w:rPr>
      <w:fldChar w:fldCharType="begin"/>
    </w:r>
    <w:r w:rsidRPr="006B206D">
      <w:rPr>
        <w:b/>
        <w:sz w:val="18"/>
      </w:rPr>
      <w:instrText xml:space="preserve"> PAGE  \* MERGEFORMAT </w:instrText>
    </w:r>
    <w:r w:rsidRPr="006B206D">
      <w:rPr>
        <w:b/>
        <w:sz w:val="18"/>
      </w:rPr>
      <w:fldChar w:fldCharType="separate"/>
    </w:r>
    <w:r w:rsidR="00177DBC">
      <w:rPr>
        <w:b/>
        <w:noProof/>
        <w:sz w:val="18"/>
      </w:rPr>
      <w:t>3</w:t>
    </w:r>
    <w:r w:rsidRPr="006B20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6B206D" w:rsidRDefault="006B206D" w:rsidP="006B206D">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14672  (</w:t>
    </w:r>
    <w:proofErr w:type="gramEnd"/>
    <w:r>
      <w:rPr>
        <w:sz w:val="20"/>
      </w:rPr>
      <w:t>F)    011018    041018</w:t>
    </w:r>
    <w:r>
      <w:rPr>
        <w:sz w:val="20"/>
      </w:rPr>
      <w:br/>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sidRPr="006B206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2F" w:rsidRPr="00AC3823" w:rsidRDefault="00352D2F" w:rsidP="00AC3823">
      <w:pPr>
        <w:pStyle w:val="Footer"/>
        <w:tabs>
          <w:tab w:val="right" w:pos="2155"/>
        </w:tabs>
        <w:spacing w:after="80" w:line="240" w:lineRule="atLeast"/>
        <w:ind w:left="680"/>
        <w:rPr>
          <w:u w:val="single"/>
        </w:rPr>
      </w:pPr>
      <w:r>
        <w:rPr>
          <w:u w:val="single"/>
        </w:rPr>
        <w:tab/>
      </w:r>
    </w:p>
  </w:footnote>
  <w:footnote w:type="continuationSeparator" w:id="0">
    <w:p w:rsidR="00352D2F" w:rsidRPr="00AC3823" w:rsidRDefault="00352D2F" w:rsidP="00AC3823">
      <w:pPr>
        <w:pStyle w:val="Footer"/>
        <w:tabs>
          <w:tab w:val="right" w:pos="2155"/>
        </w:tabs>
        <w:spacing w:after="80" w:line="240" w:lineRule="atLeast"/>
        <w:ind w:left="680"/>
        <w:rPr>
          <w:u w:val="single"/>
        </w:rPr>
      </w:pPr>
      <w:r>
        <w:rPr>
          <w:u w:val="single"/>
        </w:rPr>
        <w:tab/>
      </w:r>
    </w:p>
  </w:footnote>
  <w:footnote w:type="continuationNotice" w:id="1">
    <w:p w:rsidR="00352D2F" w:rsidRPr="00AC3823" w:rsidRDefault="00352D2F">
      <w:pPr>
        <w:spacing w:line="240" w:lineRule="auto"/>
        <w:rPr>
          <w:sz w:val="2"/>
          <w:szCs w:val="2"/>
        </w:rPr>
      </w:pPr>
    </w:p>
  </w:footnote>
  <w:footnote w:id="2">
    <w:p w:rsidR="00772374" w:rsidRPr="001F685B" w:rsidRDefault="00772374" w:rsidP="00772374">
      <w:pPr>
        <w:pStyle w:val="FootnoteText"/>
      </w:pPr>
      <w:r>
        <w:tab/>
      </w:r>
      <w:r w:rsidRPr="00772374">
        <w:rPr>
          <w:rStyle w:val="FootnoteReference"/>
          <w:sz w:val="20"/>
          <w:vertAlign w:val="baseline"/>
        </w:rPr>
        <w:t>*</w:t>
      </w:r>
      <w:r>
        <w:tab/>
        <w:t xml:space="preserve">Conformément au programme de travail du Sous-Comité pour la période biennale 2017-2018, approuvé par le </w:t>
      </w:r>
      <w:r w:rsidRPr="00772374">
        <w:t>Comité</w:t>
      </w:r>
      <w:r>
        <w:t xml:space="preserve"> à sa huitième session (</w:t>
      </w:r>
      <w:r w:rsidRPr="00772374">
        <w:t>voir</w:t>
      </w:r>
      <w:r>
        <w:t xml:space="preserve">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6D" w:rsidRPr="006B206D" w:rsidRDefault="006B206D">
    <w:pPr>
      <w:pStyle w:val="Header"/>
      <w:rPr>
        <w:lang w:val="en-US"/>
      </w:rPr>
    </w:pPr>
    <w:r>
      <w:fldChar w:fldCharType="begin"/>
    </w:r>
    <w:r w:rsidRPr="006B206D">
      <w:rPr>
        <w:lang w:val="en-US"/>
      </w:rPr>
      <w:instrText xml:space="preserve"> TITLE  \* MERGEFORMAT </w:instrText>
    </w:r>
    <w:r>
      <w:fldChar w:fldCharType="separate"/>
    </w:r>
    <w:r w:rsidR="00377386">
      <w:rPr>
        <w:lang w:val="en-US"/>
      </w:rPr>
      <w:t>ST/SG/AC.10/C.3/2018/94</w:t>
    </w:r>
    <w:r>
      <w:fldChar w:fldCharType="end"/>
    </w:r>
    <w:r w:rsidRPr="006B206D">
      <w:rPr>
        <w:lang w:val="en-US"/>
      </w:rPr>
      <w:br/>
    </w:r>
    <w:r>
      <w:fldChar w:fldCharType="begin"/>
    </w:r>
    <w:r w:rsidRPr="006B206D">
      <w:rPr>
        <w:lang w:val="en-US"/>
      </w:rPr>
      <w:instrText xml:space="preserve"> KEYWORDS  \* MERGEFORMAT </w:instrText>
    </w:r>
    <w:r>
      <w:fldChar w:fldCharType="separate"/>
    </w:r>
    <w:r w:rsidR="00377386">
      <w:rPr>
        <w:lang w:val="en-US"/>
      </w:rPr>
      <w:t>ST/SG/AC.10/C.4/2018/22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6D" w:rsidRPr="006B206D" w:rsidRDefault="006B206D" w:rsidP="006B206D">
    <w:pPr>
      <w:pStyle w:val="Header"/>
      <w:jc w:val="right"/>
      <w:rPr>
        <w:lang w:val="en-US"/>
      </w:rPr>
    </w:pPr>
    <w:r>
      <w:fldChar w:fldCharType="begin"/>
    </w:r>
    <w:r w:rsidRPr="006B206D">
      <w:rPr>
        <w:lang w:val="en-US"/>
      </w:rPr>
      <w:instrText xml:space="preserve"> TITLE  \* MERGEFORMAT </w:instrText>
    </w:r>
    <w:r>
      <w:fldChar w:fldCharType="separate"/>
    </w:r>
    <w:r w:rsidR="00377386">
      <w:rPr>
        <w:lang w:val="en-US"/>
      </w:rPr>
      <w:t>ST/SG/AC.10/C.3/2018/94</w:t>
    </w:r>
    <w:r>
      <w:fldChar w:fldCharType="end"/>
    </w:r>
    <w:r w:rsidRPr="006B206D">
      <w:rPr>
        <w:lang w:val="en-US"/>
      </w:rPr>
      <w:br/>
    </w:r>
    <w:r>
      <w:fldChar w:fldCharType="begin"/>
    </w:r>
    <w:r w:rsidRPr="006B206D">
      <w:rPr>
        <w:lang w:val="en-US"/>
      </w:rPr>
      <w:instrText xml:space="preserve"> KEYWORDS  \* MERGEFORMAT </w:instrText>
    </w:r>
    <w:r>
      <w:fldChar w:fldCharType="separate"/>
    </w:r>
    <w:r w:rsidR="00377386">
      <w:rPr>
        <w:lang w:val="en-US"/>
      </w:rPr>
      <w:t>ST/SG/AC.10/C.4/2018/22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2F"/>
    <w:rsid w:val="00017F94"/>
    <w:rsid w:val="00023842"/>
    <w:rsid w:val="000305D3"/>
    <w:rsid w:val="000334F9"/>
    <w:rsid w:val="0007796D"/>
    <w:rsid w:val="000B7790"/>
    <w:rsid w:val="00111F2F"/>
    <w:rsid w:val="00132EA9"/>
    <w:rsid w:val="0014365E"/>
    <w:rsid w:val="00176178"/>
    <w:rsid w:val="00177DBC"/>
    <w:rsid w:val="001F525A"/>
    <w:rsid w:val="00223272"/>
    <w:rsid w:val="0024779E"/>
    <w:rsid w:val="00283190"/>
    <w:rsid w:val="002832AC"/>
    <w:rsid w:val="002C7C06"/>
    <w:rsid w:val="002D7C93"/>
    <w:rsid w:val="00310BE4"/>
    <w:rsid w:val="00352D2F"/>
    <w:rsid w:val="00377386"/>
    <w:rsid w:val="003E0F29"/>
    <w:rsid w:val="00401C13"/>
    <w:rsid w:val="00441C3B"/>
    <w:rsid w:val="00446FE5"/>
    <w:rsid w:val="00452396"/>
    <w:rsid w:val="004721F9"/>
    <w:rsid w:val="004E468C"/>
    <w:rsid w:val="00545A73"/>
    <w:rsid w:val="005505B7"/>
    <w:rsid w:val="00573BE5"/>
    <w:rsid w:val="00584DC4"/>
    <w:rsid w:val="00586ED3"/>
    <w:rsid w:val="00596AA9"/>
    <w:rsid w:val="0068456F"/>
    <w:rsid w:val="006B206D"/>
    <w:rsid w:val="0071601D"/>
    <w:rsid w:val="00772374"/>
    <w:rsid w:val="007A62E6"/>
    <w:rsid w:val="0080684C"/>
    <w:rsid w:val="00871C75"/>
    <w:rsid w:val="008776DC"/>
    <w:rsid w:val="008A137A"/>
    <w:rsid w:val="008B40CD"/>
    <w:rsid w:val="008D04DF"/>
    <w:rsid w:val="009705C8"/>
    <w:rsid w:val="009C1CF4"/>
    <w:rsid w:val="00A30353"/>
    <w:rsid w:val="00AC3823"/>
    <w:rsid w:val="00AE323C"/>
    <w:rsid w:val="00B00181"/>
    <w:rsid w:val="00B00B0D"/>
    <w:rsid w:val="00B56B02"/>
    <w:rsid w:val="00B70269"/>
    <w:rsid w:val="00B765F7"/>
    <w:rsid w:val="00BA0CA9"/>
    <w:rsid w:val="00C02897"/>
    <w:rsid w:val="00C06DD4"/>
    <w:rsid w:val="00D3439C"/>
    <w:rsid w:val="00DB1831"/>
    <w:rsid w:val="00DD3BFD"/>
    <w:rsid w:val="00DF6678"/>
    <w:rsid w:val="00EF2E22"/>
    <w:rsid w:val="00F01738"/>
    <w:rsid w:val="00F033A1"/>
    <w:rsid w:val="00F17B0F"/>
    <w:rsid w:val="00F660DF"/>
    <w:rsid w:val="00F730C8"/>
    <w:rsid w:val="00F95C08"/>
    <w:rsid w:val="00FD68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30EEEF-7970-4203-8996-A4DA253E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772374"/>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72374"/>
    <w:rPr>
      <w:rFonts w:ascii="Times New Roman" w:eastAsiaTheme="minorHAnsi" w:hAnsi="Times New Roman" w:cs="Times New Roman"/>
      <w:sz w:val="20"/>
      <w:szCs w:val="20"/>
      <w:lang w:eastAsia="en-US"/>
    </w:rPr>
  </w:style>
  <w:style w:type="paragraph" w:customStyle="1" w:styleId="GHSHeading3">
    <w:name w:val="GHSHeading3"/>
    <w:basedOn w:val="Heading3"/>
    <w:rsid w:val="00772374"/>
    <w:pPr>
      <w:keepNext/>
      <w:tabs>
        <w:tab w:val="left" w:pos="1418"/>
      </w:tabs>
      <w:suppressAutoHyphens w:val="0"/>
      <w:kinsoku/>
      <w:overflowPunct/>
      <w:snapToGrid/>
      <w:spacing w:line="240" w:lineRule="auto"/>
    </w:pPr>
    <w:rPr>
      <w:rFonts w:eastAsia="Times New Roman"/>
      <w:b/>
      <w:bCs/>
      <w:color w:val="000000"/>
      <w:sz w:val="22"/>
      <w:szCs w:val="22"/>
      <w:lang w:val="en-GB" w:eastAsia="fr-FR"/>
    </w:rPr>
  </w:style>
  <w:style w:type="character" w:customStyle="1" w:styleId="H1GChar">
    <w:name w:val="_ H_1_G Char"/>
    <w:link w:val="H1G"/>
    <w:rsid w:val="0077237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ST/SG/AC.10/C.3/2018/94</vt:lpstr>
      <vt:lpstr>ST/SG/AC.10/C.3/2018/94</vt:lpstr>
    </vt:vector>
  </TitlesOfParts>
  <Company>DCM</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ST/SG/AC.10/C.3/2018/94</dc:title>
  <dc:creator>Sandrine CLERE</dc:creator>
  <cp:keywords>ST/SG/AC.10/C.4/2018/22</cp:keywords>
  <cp:lastModifiedBy>Laurence Berthet</cp:lastModifiedBy>
  <cp:revision>3</cp:revision>
  <cp:lastPrinted>2018-10-04T12:37:00Z</cp:lastPrinted>
  <dcterms:created xsi:type="dcterms:W3CDTF">2018-10-04T12:37:00Z</dcterms:created>
  <dcterms:modified xsi:type="dcterms:W3CDTF">2018-10-04T12:38:00Z</dcterms:modified>
</cp:coreProperties>
</file>