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E77C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E77CB" w:rsidP="00EE77CB">
            <w:pPr>
              <w:jc w:val="right"/>
            </w:pPr>
            <w:r w:rsidRPr="00EE77CB">
              <w:rPr>
                <w:sz w:val="40"/>
              </w:rPr>
              <w:t>ECE</w:t>
            </w:r>
            <w:r>
              <w:t>/TRANS/WP.29/GRSP/2017/40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E77CB" w:rsidP="00C97039">
            <w:pPr>
              <w:spacing w:before="240"/>
            </w:pPr>
            <w:r>
              <w:t>Distr. générale</w:t>
            </w:r>
          </w:p>
          <w:p w:rsidR="00EE77CB" w:rsidRDefault="00EE77CB" w:rsidP="00EE77CB">
            <w:pPr>
              <w:spacing w:line="240" w:lineRule="exact"/>
            </w:pPr>
            <w:r>
              <w:t>22 septembre 2017</w:t>
            </w:r>
          </w:p>
          <w:p w:rsidR="00EE77CB" w:rsidRDefault="00EE77CB" w:rsidP="00EE77CB">
            <w:pPr>
              <w:spacing w:line="240" w:lineRule="exact"/>
            </w:pPr>
            <w:r>
              <w:t>Français</w:t>
            </w:r>
          </w:p>
          <w:p w:rsidR="00EE77CB" w:rsidRPr="00DB58B5" w:rsidRDefault="00EE77CB" w:rsidP="00EE77C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23B2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E77CB" w:rsidRDefault="00EE77C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723B2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EE77CB" w:rsidRDefault="00EE77CB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EE77CB" w:rsidRDefault="00EE77CB" w:rsidP="00257168">
      <w:pPr>
        <w:spacing w:before="120" w:line="240" w:lineRule="exact"/>
        <w:rPr>
          <w:b/>
        </w:rPr>
      </w:pPr>
      <w:r w:rsidRPr="00303C1B">
        <w:rPr>
          <w:b/>
        </w:rPr>
        <w:t>Soixante-deuxième</w:t>
      </w:r>
      <w:r>
        <w:rPr>
          <w:b/>
        </w:rPr>
        <w:t xml:space="preserve"> session</w:t>
      </w:r>
    </w:p>
    <w:p w:rsidR="00EE77CB" w:rsidRDefault="00EE77CB" w:rsidP="00257168">
      <w:pPr>
        <w:spacing w:line="240" w:lineRule="exact"/>
      </w:pPr>
      <w:r>
        <w:t xml:space="preserve">Genève, </w:t>
      </w:r>
      <w:r w:rsidR="00303C1B">
        <w:t>12-</w:t>
      </w:r>
      <w:r w:rsidR="00303C1B" w:rsidRPr="00303C1B">
        <w:t>15</w:t>
      </w:r>
      <w:r w:rsidR="00303C1B">
        <w:t> </w:t>
      </w:r>
      <w:r w:rsidR="00303C1B" w:rsidRPr="00303C1B">
        <w:t>décembre 2017</w:t>
      </w:r>
    </w:p>
    <w:p w:rsidR="00EE77CB" w:rsidRDefault="00EE77CB" w:rsidP="00257168">
      <w:pPr>
        <w:spacing w:line="240" w:lineRule="exact"/>
      </w:pPr>
      <w:r>
        <w:t xml:space="preserve">Point </w:t>
      </w:r>
      <w:r w:rsidR="00303C1B">
        <w:t>14</w:t>
      </w:r>
      <w:r>
        <w:t xml:space="preserve"> de l</w:t>
      </w:r>
      <w:r w:rsidR="00723B27">
        <w:t>’</w:t>
      </w:r>
      <w:r>
        <w:t>ordre du jour</w:t>
      </w:r>
      <w:r w:rsidR="00303C1B">
        <w:t xml:space="preserve"> provisoire</w:t>
      </w:r>
    </w:p>
    <w:p w:rsidR="00F9573C" w:rsidRDefault="00303C1B" w:rsidP="00AF0CB5">
      <w:pPr>
        <w:rPr>
          <w:b/>
        </w:rPr>
      </w:pPr>
      <w:r w:rsidRPr="00303C1B">
        <w:rPr>
          <w:b/>
        </w:rPr>
        <w:t xml:space="preserve">Règlement </w:t>
      </w:r>
      <w:r w:rsidRPr="00303C1B">
        <w:rPr>
          <w:rFonts w:eastAsia="MS Mincho"/>
          <w:b/>
          <w:szCs w:val="22"/>
        </w:rPr>
        <w:t>n</w:t>
      </w:r>
      <w:r w:rsidRPr="00303C1B">
        <w:rPr>
          <w:rFonts w:eastAsia="MS Mincho"/>
          <w:b/>
          <w:szCs w:val="22"/>
          <w:vertAlign w:val="superscript"/>
        </w:rPr>
        <w:t>o</w:t>
      </w:r>
      <w:r>
        <w:rPr>
          <w:b/>
        </w:rPr>
        <w:t> </w:t>
      </w:r>
      <w:r w:rsidRPr="00303C1B">
        <w:rPr>
          <w:b/>
        </w:rPr>
        <w:t>95 (collision latérale)</w:t>
      </w:r>
    </w:p>
    <w:p w:rsidR="00303C1B" w:rsidRDefault="00303C1B" w:rsidP="003D00D5">
      <w:pPr>
        <w:pStyle w:val="HChG"/>
      </w:pPr>
      <w:r>
        <w:tab/>
      </w:r>
      <w:r>
        <w:tab/>
      </w:r>
      <w:r w:rsidRPr="005164BE">
        <w:t>Proposition d</w:t>
      </w:r>
      <w:r>
        <w:t>e complément 7 à la série 03</w:t>
      </w:r>
      <w:r w:rsidRPr="005164BE">
        <w:t xml:space="preserve"> d</w:t>
      </w:r>
      <w:r w:rsidR="00723B27">
        <w:t>’</w:t>
      </w:r>
      <w:r w:rsidRPr="005164BE">
        <w:t>amende</w:t>
      </w:r>
      <w:r>
        <w:t xml:space="preserve">ments </w:t>
      </w:r>
      <w:r w:rsidR="00150DB9">
        <w:br/>
      </w:r>
      <w:r>
        <w:t xml:space="preserve">au </w:t>
      </w:r>
      <w:r w:rsidRPr="005164BE">
        <w:t xml:space="preserve">Règlement </w:t>
      </w:r>
      <w:r w:rsidRPr="00303C1B">
        <w:rPr>
          <w:rFonts w:eastAsia="MS Mincho"/>
          <w:szCs w:val="22"/>
        </w:rPr>
        <w:t>n</w:t>
      </w:r>
      <w:r w:rsidRPr="00303C1B">
        <w:rPr>
          <w:rFonts w:eastAsia="MS Mincho"/>
          <w:szCs w:val="22"/>
          <w:vertAlign w:val="superscript"/>
        </w:rPr>
        <w:t>o</w:t>
      </w:r>
      <w:r>
        <w:t> 95</w:t>
      </w:r>
      <w:r w:rsidRPr="005164BE">
        <w:t xml:space="preserve"> (</w:t>
      </w:r>
      <w:r>
        <w:t>collision latérale</w:t>
      </w:r>
      <w:r w:rsidRPr="005164BE">
        <w:t>)</w:t>
      </w:r>
    </w:p>
    <w:p w:rsidR="00303C1B" w:rsidRDefault="00303C1B" w:rsidP="003D00D5">
      <w:pPr>
        <w:pStyle w:val="H1G"/>
      </w:pPr>
      <w:r>
        <w:tab/>
      </w:r>
      <w:r>
        <w:tab/>
      </w:r>
      <w:r w:rsidRPr="003D00D5">
        <w:t>Communication</w:t>
      </w:r>
      <w:r w:rsidRPr="005164BE">
        <w:t xml:space="preserve"> </w:t>
      </w:r>
      <w:r w:rsidRPr="003D00D5">
        <w:t>de</w:t>
      </w:r>
      <w:r w:rsidRPr="005164BE">
        <w:t xml:space="preserve"> l</w:t>
      </w:r>
      <w:r w:rsidR="00723B27">
        <w:t>’</w:t>
      </w:r>
      <w:r w:rsidRPr="005164BE">
        <w:t xml:space="preserve">expert </w:t>
      </w:r>
      <w:r>
        <w:t>de l</w:t>
      </w:r>
      <w:r w:rsidR="00723B27">
        <w:t>’</w:t>
      </w:r>
      <w:r>
        <w:t>Allemagne</w:t>
      </w:r>
      <w:r w:rsidRPr="00150DB9">
        <w:rPr>
          <w:rStyle w:val="FootnoteReference"/>
          <w:b w:val="0"/>
          <w:szCs w:val="18"/>
        </w:rPr>
        <w:footnoteReference w:id="2"/>
      </w:r>
    </w:p>
    <w:p w:rsidR="00150DB9" w:rsidRDefault="00303C1B" w:rsidP="00150DB9">
      <w:pPr>
        <w:pStyle w:val="SingleTxtG"/>
        <w:ind w:firstLine="567"/>
      </w:pPr>
      <w:r w:rsidRPr="00303C1B">
        <w:t>Le texte reproduit ci-dessous, qui a été établi par l</w:t>
      </w:r>
      <w:r w:rsidR="00723B27">
        <w:t>’</w:t>
      </w:r>
      <w:r w:rsidRPr="00303C1B">
        <w:t>expert de l</w:t>
      </w:r>
      <w:r w:rsidR="00723B27">
        <w:t>’</w:t>
      </w:r>
      <w:r w:rsidRPr="00303C1B">
        <w:t xml:space="preserve">Allemagne, contient des amendements au Règlement </w:t>
      </w:r>
      <w:r w:rsidR="00150DB9" w:rsidRPr="002D76F4">
        <w:rPr>
          <w:rFonts w:eastAsia="MS Mincho"/>
          <w:szCs w:val="22"/>
        </w:rPr>
        <w:t>n</w:t>
      </w:r>
      <w:r w:rsidR="00150DB9" w:rsidRPr="002D76F4">
        <w:rPr>
          <w:rFonts w:eastAsia="MS Mincho"/>
          <w:szCs w:val="22"/>
          <w:vertAlign w:val="superscript"/>
        </w:rPr>
        <w:t>o</w:t>
      </w:r>
      <w:r w:rsidR="00150DB9">
        <w:t> </w:t>
      </w:r>
      <w:r w:rsidRPr="00303C1B">
        <w:t>95 (collision latérale). Il s</w:t>
      </w:r>
      <w:r w:rsidR="00723B27">
        <w:t>’</w:t>
      </w:r>
      <w:r w:rsidRPr="00303C1B">
        <w:t xml:space="preserve">inspire du document </w:t>
      </w:r>
      <w:r w:rsidRPr="00303C1B">
        <w:rPr>
          <w:lang w:val="fr-FR"/>
        </w:rPr>
        <w:t>GRSP</w:t>
      </w:r>
      <w:r w:rsidR="00150DB9">
        <w:rPr>
          <w:lang w:val="fr-FR"/>
        </w:rPr>
        <w:noBreakHyphen/>
      </w:r>
      <w:r w:rsidRPr="00303C1B">
        <w:rPr>
          <w:lang w:val="fr-FR"/>
        </w:rPr>
        <w:t>61-21, qui a été distribué pendant la soixa</w:t>
      </w:r>
      <w:r w:rsidR="00F35748">
        <w:rPr>
          <w:lang w:val="fr-FR"/>
        </w:rPr>
        <w:t xml:space="preserve">nte </w:t>
      </w:r>
      <w:r w:rsidRPr="00303C1B">
        <w:rPr>
          <w:lang w:val="fr-FR"/>
        </w:rPr>
        <w:t>et</w:t>
      </w:r>
      <w:r w:rsidR="00F35748">
        <w:rPr>
          <w:lang w:val="fr-FR"/>
        </w:rPr>
        <w:t xml:space="preserve"> </w:t>
      </w:r>
      <w:r w:rsidRPr="00303C1B">
        <w:rPr>
          <w:lang w:val="fr-FR"/>
        </w:rPr>
        <w:t xml:space="preserve">unième session du Groupe de </w:t>
      </w:r>
      <w:r w:rsidRPr="00303C1B">
        <w:t>travail de la sécurité passive</w:t>
      </w:r>
      <w:r w:rsidRPr="00303C1B">
        <w:rPr>
          <w:b/>
        </w:rPr>
        <w:t xml:space="preserve"> </w:t>
      </w:r>
      <w:r w:rsidRPr="00303C1B">
        <w:rPr>
          <w:lang w:val="fr-FR"/>
        </w:rPr>
        <w:t>(GRSP) (</w:t>
      </w:r>
      <w:r w:rsidRPr="00303C1B">
        <w:rPr>
          <w:iCs/>
          <w:lang w:val="fr-FR"/>
        </w:rPr>
        <w:t>ECE/TRANS/WP.29/GRSP/61, par.</w:t>
      </w:r>
      <w:r w:rsidR="00150DB9">
        <w:rPr>
          <w:iCs/>
          <w:lang w:val="fr-FR"/>
        </w:rPr>
        <w:t> </w:t>
      </w:r>
      <w:r w:rsidRPr="00303C1B">
        <w:rPr>
          <w:iCs/>
          <w:lang w:val="fr-FR"/>
        </w:rPr>
        <w:t>56)</w:t>
      </w:r>
      <w:r w:rsidRPr="00303C1B">
        <w:rPr>
          <w:lang w:val="fr-FR"/>
        </w:rPr>
        <w:t>.</w:t>
      </w:r>
      <w:r w:rsidRPr="00303C1B">
        <w:t xml:space="preserve"> Les modifications apportées au texte existant du Règlement </w:t>
      </w:r>
      <w:r w:rsidR="00150DB9" w:rsidRPr="002D76F4">
        <w:rPr>
          <w:rFonts w:eastAsia="MS Mincho"/>
          <w:szCs w:val="22"/>
        </w:rPr>
        <w:t>n</w:t>
      </w:r>
      <w:r w:rsidR="00150DB9" w:rsidRPr="002D76F4">
        <w:rPr>
          <w:rFonts w:eastAsia="MS Mincho"/>
          <w:szCs w:val="22"/>
          <w:vertAlign w:val="superscript"/>
        </w:rPr>
        <w:t>o</w:t>
      </w:r>
      <w:r w:rsidR="00150DB9">
        <w:t> </w:t>
      </w:r>
      <w:r w:rsidRPr="00303C1B">
        <w:t>95 apparaissent en gras pour les ajouts ou biffées pour les su</w:t>
      </w:r>
      <w:r w:rsidR="00133776">
        <w:t>p</w:t>
      </w:r>
      <w:r w:rsidRPr="00303C1B">
        <w:t>pressions.</w:t>
      </w:r>
    </w:p>
    <w:p w:rsidR="00150DB9" w:rsidRPr="00150DB9" w:rsidRDefault="00150DB9" w:rsidP="00150DB9">
      <w:pPr>
        <w:pStyle w:val="HChG"/>
      </w:pPr>
      <w:r>
        <w:br w:type="page"/>
      </w:r>
      <w:r>
        <w:lastRenderedPageBreak/>
        <w:tab/>
      </w:r>
      <w:r w:rsidRPr="00150DB9">
        <w:t>I.</w:t>
      </w:r>
      <w:r w:rsidRPr="00150DB9">
        <w:tab/>
        <w:t>Proposition</w:t>
      </w:r>
    </w:p>
    <w:p w:rsidR="00150DB9" w:rsidRPr="00150DB9" w:rsidRDefault="00150DB9" w:rsidP="00150DB9">
      <w:pPr>
        <w:pStyle w:val="SingleTxtG"/>
        <w:rPr>
          <w:lang w:val="fr-FR"/>
        </w:rPr>
      </w:pPr>
      <w:r w:rsidRPr="00150DB9">
        <w:rPr>
          <w:i/>
          <w:lang w:val="fr-FR"/>
        </w:rPr>
        <w:t>Paragraphe 5.3.1</w:t>
      </w:r>
      <w:r w:rsidRPr="00150DB9">
        <w:rPr>
          <w:lang w:val="fr-FR"/>
        </w:rPr>
        <w:t xml:space="preserve">, </w:t>
      </w:r>
      <w:proofErr w:type="gramStart"/>
      <w:r w:rsidRPr="00150DB9">
        <w:rPr>
          <w:lang w:val="fr-FR"/>
        </w:rPr>
        <w:t>modifier</w:t>
      </w:r>
      <w:proofErr w:type="gramEnd"/>
      <w:r w:rsidRPr="00150DB9">
        <w:rPr>
          <w:lang w:val="fr-FR"/>
        </w:rPr>
        <w:t xml:space="preserve"> comme suit</w:t>
      </w:r>
      <w:r>
        <w:rPr>
          <w:lang w:val="fr-FR"/>
        </w:rPr>
        <w:t> </w:t>
      </w:r>
      <w:r w:rsidRPr="00150DB9">
        <w:rPr>
          <w:lang w:val="fr-FR"/>
        </w:rPr>
        <w:t>:</w:t>
      </w:r>
    </w:p>
    <w:p w:rsidR="00150DB9" w:rsidRPr="00150DB9" w:rsidRDefault="00150DB9" w:rsidP="00B82C2F">
      <w:pPr>
        <w:pStyle w:val="SingleTxtG"/>
        <w:ind w:left="2268" w:hanging="1134"/>
        <w:rPr>
          <w:lang w:val="fr-FR"/>
        </w:rPr>
      </w:pPr>
      <w:r w:rsidRPr="00150DB9">
        <w:rPr>
          <w:lang w:val="fr-FR"/>
        </w:rPr>
        <w:t>« 5.3.1</w:t>
      </w:r>
      <w:r w:rsidRPr="00150DB9">
        <w:rPr>
          <w:lang w:val="fr-FR"/>
        </w:rPr>
        <w:tab/>
        <w:t>Aucune porte ne doit s</w:t>
      </w:r>
      <w:r w:rsidR="00723B27">
        <w:rPr>
          <w:lang w:val="fr-FR"/>
        </w:rPr>
        <w:t>’</w:t>
      </w:r>
      <w:r w:rsidRPr="00150DB9">
        <w:rPr>
          <w:lang w:val="fr-FR"/>
        </w:rPr>
        <w:t>ouvrir pendant l</w:t>
      </w:r>
      <w:r w:rsidR="00723B27">
        <w:rPr>
          <w:lang w:val="fr-FR"/>
        </w:rPr>
        <w:t>’</w:t>
      </w:r>
      <w:r w:rsidRPr="00150DB9">
        <w:rPr>
          <w:lang w:val="fr-FR"/>
        </w:rPr>
        <w:t>essai.</w:t>
      </w:r>
    </w:p>
    <w:p w:rsidR="00150DB9" w:rsidRPr="00150DB9" w:rsidRDefault="00150DB9" w:rsidP="00B82C2F">
      <w:pPr>
        <w:pStyle w:val="SingleTxtG"/>
        <w:ind w:left="2268"/>
        <w:rPr>
          <w:b/>
          <w:lang w:val="fr-FR"/>
        </w:rPr>
      </w:pPr>
      <w:r w:rsidRPr="00150DB9">
        <w:rPr>
          <w:lang w:val="fr-FR"/>
        </w:rPr>
        <w:tab/>
      </w:r>
      <w:r w:rsidRPr="00150DB9">
        <w:rPr>
          <w:b/>
          <w:lang w:val="fr-FR"/>
        </w:rPr>
        <w:t>Après l</w:t>
      </w:r>
      <w:r w:rsidR="00723B27">
        <w:rPr>
          <w:b/>
          <w:lang w:val="fr-FR"/>
        </w:rPr>
        <w:t>’</w:t>
      </w:r>
      <w:r w:rsidRPr="00150DB9">
        <w:rPr>
          <w:b/>
          <w:lang w:val="fr-FR"/>
        </w:rPr>
        <w:t>essai, une porte est considérée comme non ouverte</w:t>
      </w:r>
      <w:r w:rsidR="00B82C2F">
        <w:rPr>
          <w:b/>
          <w:lang w:val="fr-FR"/>
        </w:rPr>
        <w:t> :</w:t>
      </w:r>
    </w:p>
    <w:p w:rsidR="00150DB9" w:rsidRPr="00150DB9" w:rsidRDefault="00150DB9" w:rsidP="00B82C2F">
      <w:pPr>
        <w:pStyle w:val="SingleTxtG"/>
        <w:ind w:left="2268"/>
        <w:rPr>
          <w:b/>
          <w:lang w:val="fr-FR"/>
        </w:rPr>
      </w:pPr>
      <w:r w:rsidRPr="00150DB9">
        <w:rPr>
          <w:b/>
          <w:lang w:val="fr-FR"/>
        </w:rPr>
        <w:tab/>
        <w:t>a)</w:t>
      </w:r>
      <w:r w:rsidRPr="00150DB9">
        <w:rPr>
          <w:b/>
          <w:lang w:val="fr-FR"/>
        </w:rPr>
        <w:tab/>
      </w:r>
      <w:r w:rsidR="00B82C2F">
        <w:rPr>
          <w:b/>
          <w:lang w:val="fr-FR"/>
        </w:rPr>
        <w:t>S</w:t>
      </w:r>
      <w:r w:rsidR="00723B27">
        <w:rPr>
          <w:b/>
          <w:lang w:val="fr-FR"/>
        </w:rPr>
        <w:t>’</w:t>
      </w:r>
      <w:r w:rsidRPr="00150DB9">
        <w:rPr>
          <w:b/>
          <w:lang w:val="fr-FR"/>
        </w:rPr>
        <w:t>il est clairement visible que la serrure de la porte est fermée ; ou</w:t>
      </w:r>
    </w:p>
    <w:p w:rsidR="00150DB9" w:rsidRPr="00306CE7" w:rsidRDefault="00E10C59" w:rsidP="00B82C2F">
      <w:pPr>
        <w:pStyle w:val="SingleTxtG"/>
        <w:ind w:left="2835" w:hanging="567"/>
        <w:rPr>
          <w:lang w:val="fr-FR"/>
        </w:rPr>
      </w:pPr>
      <w:r>
        <w:rPr>
          <w:b/>
          <w:lang w:val="fr-FR"/>
        </w:rPr>
        <w:t>b)</w:t>
      </w:r>
      <w:r w:rsidR="00150DB9" w:rsidRPr="00150DB9">
        <w:rPr>
          <w:b/>
          <w:lang w:val="fr-FR"/>
        </w:rPr>
        <w:tab/>
      </w:r>
      <w:r w:rsidR="00B82C2F">
        <w:rPr>
          <w:b/>
          <w:lang w:val="fr-FR"/>
        </w:rPr>
        <w:t>S</w:t>
      </w:r>
      <w:r w:rsidR="00150DB9" w:rsidRPr="00150DB9">
        <w:rPr>
          <w:b/>
          <w:lang w:val="fr-FR"/>
        </w:rPr>
        <w:t>i la porte est capable de supporter une force de traction d</w:t>
      </w:r>
      <w:r w:rsidR="00723B27">
        <w:rPr>
          <w:b/>
          <w:lang w:val="fr-FR"/>
        </w:rPr>
        <w:t>’</w:t>
      </w:r>
      <w:r w:rsidR="00150DB9" w:rsidRPr="00150DB9">
        <w:rPr>
          <w:b/>
          <w:lang w:val="fr-FR"/>
        </w:rPr>
        <w:t>au moins [500</w:t>
      </w:r>
      <w:r w:rsidR="00886F87">
        <w:rPr>
          <w:b/>
          <w:lang w:val="fr-FR"/>
        </w:rPr>
        <w:t> </w:t>
      </w:r>
      <w:r w:rsidR="00150DB9" w:rsidRPr="00150DB9">
        <w:rPr>
          <w:b/>
          <w:lang w:val="fr-FR"/>
        </w:rPr>
        <w:t>N] appliquée sur son panneau extérieur, à l</w:t>
      </w:r>
      <w:r w:rsidR="00723B27">
        <w:rPr>
          <w:b/>
          <w:lang w:val="fr-FR"/>
        </w:rPr>
        <w:t>’</w:t>
      </w:r>
      <w:r w:rsidR="00150DB9" w:rsidRPr="00150DB9">
        <w:rPr>
          <w:b/>
          <w:lang w:val="fr-FR"/>
        </w:rPr>
        <w:t>exception de la serrure, en un endroit considéré comme le plus défavorable par le service technique. </w:t>
      </w:r>
      <w:r w:rsidR="00150DB9" w:rsidRPr="00306CE7">
        <w:rPr>
          <w:lang w:val="fr-FR"/>
        </w:rPr>
        <w:t>».</w:t>
      </w:r>
    </w:p>
    <w:p w:rsidR="00150DB9" w:rsidRPr="00150DB9" w:rsidRDefault="00150DB9" w:rsidP="00E10C59">
      <w:pPr>
        <w:pStyle w:val="SingleTxtG"/>
        <w:rPr>
          <w:lang w:val="fr-FR"/>
        </w:rPr>
      </w:pPr>
      <w:r w:rsidRPr="00E10C59">
        <w:rPr>
          <w:i/>
          <w:lang w:val="fr-FR"/>
        </w:rPr>
        <w:t>Ajouter quatre nouveaux paragraphes</w:t>
      </w:r>
      <w:r w:rsidR="00E10C59">
        <w:rPr>
          <w:lang w:val="fr-FR"/>
        </w:rPr>
        <w:t xml:space="preserve">, </w:t>
      </w:r>
      <w:r w:rsidRPr="00150DB9">
        <w:rPr>
          <w:lang w:val="fr-FR"/>
        </w:rPr>
        <w:t>ainsi libellés :</w:t>
      </w:r>
    </w:p>
    <w:p w:rsidR="00150DB9" w:rsidRPr="00150DB9" w:rsidRDefault="00150DB9" w:rsidP="00723B27">
      <w:pPr>
        <w:pStyle w:val="SingleTxtG"/>
        <w:ind w:left="2268" w:hanging="1134"/>
        <w:rPr>
          <w:b/>
          <w:lang w:val="fr-FR"/>
        </w:rPr>
      </w:pPr>
      <w:r w:rsidRPr="00150DB9">
        <w:rPr>
          <w:lang w:val="fr-FR"/>
        </w:rPr>
        <w:t>« </w:t>
      </w:r>
      <w:r w:rsidRPr="00150DB9">
        <w:rPr>
          <w:b/>
          <w:lang w:val="fr-FR"/>
        </w:rPr>
        <w:t>2.36</w:t>
      </w:r>
      <w:r w:rsidRPr="00150DB9">
        <w:rPr>
          <w:b/>
          <w:lang w:val="fr-FR"/>
        </w:rPr>
        <w:tab/>
        <w:t xml:space="preserve">Par </w:t>
      </w:r>
      <w:r w:rsidR="00C23370" w:rsidRPr="00C23370">
        <w:rPr>
          <w:b/>
        </w:rPr>
        <w:t>“</w:t>
      </w:r>
      <w:r w:rsidRPr="00150DB9">
        <w:rPr>
          <w:b/>
          <w:lang w:val="fr-FR"/>
        </w:rPr>
        <w:t>Position de fermeture</w:t>
      </w:r>
      <w:r w:rsidR="00C23370" w:rsidRPr="00C23370">
        <w:rPr>
          <w:b/>
        </w:rPr>
        <w:t>”</w:t>
      </w:r>
      <w:r w:rsidRPr="00150DB9">
        <w:rPr>
          <w:b/>
          <w:lang w:val="fr-FR"/>
        </w:rPr>
        <w:t>, tout état de la serrure, qu</w:t>
      </w:r>
      <w:r w:rsidR="00723B27">
        <w:rPr>
          <w:b/>
          <w:lang w:val="fr-FR"/>
        </w:rPr>
        <w:t>’</w:t>
      </w:r>
      <w:r w:rsidRPr="00150DB9">
        <w:rPr>
          <w:b/>
          <w:lang w:val="fr-FR"/>
        </w:rPr>
        <w:t>il s</w:t>
      </w:r>
      <w:r w:rsidR="00723B27">
        <w:rPr>
          <w:b/>
          <w:lang w:val="fr-FR"/>
        </w:rPr>
        <w:t>’</w:t>
      </w:r>
      <w:r w:rsidRPr="00150DB9">
        <w:rPr>
          <w:b/>
          <w:lang w:val="fr-FR"/>
        </w:rPr>
        <w:t>agisse d</w:t>
      </w:r>
      <w:r w:rsidR="00723B27">
        <w:rPr>
          <w:b/>
          <w:lang w:val="fr-FR"/>
        </w:rPr>
        <w:t>’</w:t>
      </w:r>
      <w:r w:rsidRPr="00150DB9">
        <w:rPr>
          <w:b/>
          <w:lang w:val="fr-FR"/>
        </w:rPr>
        <w:t>une position de fermeture complète, d</w:t>
      </w:r>
      <w:r w:rsidR="00723B27">
        <w:rPr>
          <w:b/>
          <w:lang w:val="fr-FR"/>
        </w:rPr>
        <w:t>’</w:t>
      </w:r>
      <w:r w:rsidRPr="00150DB9">
        <w:rPr>
          <w:b/>
          <w:lang w:val="fr-FR"/>
        </w:rPr>
        <w:t>une position de fermeture intermédiaire ou d</w:t>
      </w:r>
      <w:r w:rsidR="00723B27">
        <w:rPr>
          <w:b/>
          <w:lang w:val="fr-FR"/>
        </w:rPr>
        <w:t>’</w:t>
      </w:r>
      <w:r w:rsidRPr="00150DB9">
        <w:rPr>
          <w:b/>
          <w:lang w:val="fr-FR"/>
        </w:rPr>
        <w:t>une position intermédiaire entre les deux précédentes.</w:t>
      </w:r>
    </w:p>
    <w:p w:rsidR="00150DB9" w:rsidRPr="00150DB9" w:rsidRDefault="00150DB9" w:rsidP="00723B27">
      <w:pPr>
        <w:pStyle w:val="SingleTxtG"/>
        <w:ind w:left="2268" w:hanging="1134"/>
        <w:rPr>
          <w:b/>
          <w:lang w:val="fr-FR"/>
        </w:rPr>
      </w:pPr>
      <w:r w:rsidRPr="00150DB9">
        <w:rPr>
          <w:b/>
          <w:lang w:val="fr-FR"/>
        </w:rPr>
        <w:t>2.37</w:t>
      </w:r>
      <w:r w:rsidRPr="00150DB9">
        <w:rPr>
          <w:b/>
          <w:lang w:val="fr-FR"/>
        </w:rPr>
        <w:tab/>
        <w:t xml:space="preserve">Par </w:t>
      </w:r>
      <w:r w:rsidR="00C23370" w:rsidRPr="00C23370">
        <w:rPr>
          <w:b/>
        </w:rPr>
        <w:t>“</w:t>
      </w:r>
      <w:r w:rsidRPr="00150DB9">
        <w:rPr>
          <w:b/>
          <w:lang w:val="fr-FR"/>
        </w:rPr>
        <w:t>Serrure</w:t>
      </w:r>
      <w:r w:rsidR="00C23370" w:rsidRPr="00C23370">
        <w:rPr>
          <w:b/>
        </w:rPr>
        <w:t>”</w:t>
      </w:r>
      <w:r w:rsidRPr="00150DB9">
        <w:rPr>
          <w:b/>
          <w:lang w:val="fr-FR"/>
        </w:rPr>
        <w:t>, le dispositif servant à maintenir la porte en position fermée et pouvant être ouvert volontairement.</w:t>
      </w:r>
    </w:p>
    <w:p w:rsidR="00150DB9" w:rsidRPr="00150DB9" w:rsidRDefault="00150DB9" w:rsidP="00723B27">
      <w:pPr>
        <w:pStyle w:val="SingleTxtG"/>
        <w:ind w:left="2268" w:hanging="1134"/>
        <w:rPr>
          <w:b/>
          <w:lang w:val="fr-FR"/>
        </w:rPr>
      </w:pPr>
      <w:r w:rsidRPr="00150DB9">
        <w:rPr>
          <w:b/>
          <w:lang w:val="fr-FR"/>
        </w:rPr>
        <w:t>2.38</w:t>
      </w:r>
      <w:r w:rsidRPr="00150DB9">
        <w:rPr>
          <w:b/>
          <w:lang w:val="fr-FR"/>
        </w:rPr>
        <w:tab/>
        <w:t xml:space="preserve">Par </w:t>
      </w:r>
      <w:r w:rsidR="00C23370" w:rsidRPr="00C23370">
        <w:rPr>
          <w:b/>
        </w:rPr>
        <w:t>“</w:t>
      </w:r>
      <w:r w:rsidRPr="00150DB9">
        <w:rPr>
          <w:b/>
          <w:lang w:val="fr-FR"/>
        </w:rPr>
        <w:t>Position de fermeture complète</w:t>
      </w:r>
      <w:r w:rsidR="00C23370" w:rsidRPr="00C23370">
        <w:rPr>
          <w:b/>
        </w:rPr>
        <w:t>”</w:t>
      </w:r>
      <w:r w:rsidRPr="00150DB9">
        <w:rPr>
          <w:b/>
          <w:lang w:val="fr-FR"/>
        </w:rPr>
        <w:t>, l</w:t>
      </w:r>
      <w:r w:rsidR="00723B27">
        <w:rPr>
          <w:b/>
          <w:lang w:val="fr-FR"/>
        </w:rPr>
        <w:t>’</w:t>
      </w:r>
      <w:r w:rsidRPr="00150DB9">
        <w:rPr>
          <w:b/>
          <w:lang w:val="fr-FR"/>
        </w:rPr>
        <w:t xml:space="preserve">état de la serrure lorsque la porte est </w:t>
      </w:r>
      <w:r w:rsidR="00723B27">
        <w:rPr>
          <w:b/>
          <w:lang w:val="fr-FR"/>
        </w:rPr>
        <w:t>complètement fermée.</w:t>
      </w:r>
    </w:p>
    <w:p w:rsidR="00150DB9" w:rsidRPr="00723B27" w:rsidRDefault="00150DB9" w:rsidP="00723B27">
      <w:pPr>
        <w:pStyle w:val="SingleTxtG"/>
        <w:ind w:left="2268" w:hanging="1134"/>
        <w:rPr>
          <w:lang w:val="fr-FR"/>
        </w:rPr>
      </w:pPr>
      <w:r w:rsidRPr="00150DB9">
        <w:rPr>
          <w:b/>
          <w:lang w:val="fr-FR"/>
        </w:rPr>
        <w:t>2.39</w:t>
      </w:r>
      <w:r w:rsidRPr="00150DB9">
        <w:rPr>
          <w:b/>
          <w:lang w:val="fr-FR"/>
        </w:rPr>
        <w:tab/>
        <w:t xml:space="preserve">Par </w:t>
      </w:r>
      <w:r w:rsidR="00C23370" w:rsidRPr="00C23370">
        <w:rPr>
          <w:b/>
        </w:rPr>
        <w:t>“</w:t>
      </w:r>
      <w:r w:rsidRPr="00150DB9">
        <w:rPr>
          <w:b/>
          <w:lang w:val="fr-FR"/>
        </w:rPr>
        <w:t>Position de fermeture intermédiaire</w:t>
      </w:r>
      <w:r w:rsidR="00C23370" w:rsidRPr="00C23370">
        <w:rPr>
          <w:b/>
        </w:rPr>
        <w:t>”</w:t>
      </w:r>
      <w:r w:rsidRPr="00150DB9">
        <w:rPr>
          <w:b/>
          <w:lang w:val="fr-FR"/>
        </w:rPr>
        <w:t>, l</w:t>
      </w:r>
      <w:r w:rsidR="00723B27">
        <w:rPr>
          <w:b/>
          <w:lang w:val="fr-FR"/>
        </w:rPr>
        <w:t>’</w:t>
      </w:r>
      <w:r w:rsidRPr="00150DB9">
        <w:rPr>
          <w:b/>
          <w:lang w:val="fr-FR"/>
        </w:rPr>
        <w:t>état de la serrure lorsqu</w:t>
      </w:r>
      <w:r w:rsidR="00723B27">
        <w:rPr>
          <w:b/>
          <w:lang w:val="fr-FR"/>
        </w:rPr>
        <w:t>’</w:t>
      </w:r>
      <w:r w:rsidRPr="00150DB9">
        <w:rPr>
          <w:b/>
          <w:lang w:val="fr-FR"/>
        </w:rPr>
        <w:t>elle maintient la porte dans une position partiellement fermée. </w:t>
      </w:r>
      <w:r w:rsidRPr="00723B27">
        <w:rPr>
          <w:lang w:val="fr-FR"/>
        </w:rPr>
        <w:t>».</w:t>
      </w:r>
    </w:p>
    <w:p w:rsidR="00150DB9" w:rsidRPr="00150DB9" w:rsidRDefault="00723B27" w:rsidP="00723B27">
      <w:pPr>
        <w:pStyle w:val="HChG"/>
        <w:rPr>
          <w:lang w:val="fr-FR"/>
        </w:rPr>
      </w:pPr>
      <w:r>
        <w:rPr>
          <w:lang w:val="fr-FR"/>
        </w:rPr>
        <w:tab/>
      </w:r>
      <w:r w:rsidR="00150DB9" w:rsidRPr="00150DB9">
        <w:rPr>
          <w:lang w:val="fr-FR"/>
        </w:rPr>
        <w:t>II.</w:t>
      </w:r>
      <w:r>
        <w:rPr>
          <w:lang w:val="fr-FR"/>
        </w:rPr>
        <w:tab/>
      </w:r>
      <w:r w:rsidR="00150DB9" w:rsidRPr="00150DB9">
        <w:rPr>
          <w:lang w:val="fr-FR"/>
        </w:rPr>
        <w:t>Justification</w:t>
      </w:r>
    </w:p>
    <w:p w:rsidR="00303C1B" w:rsidRDefault="00150DB9" w:rsidP="00723B27">
      <w:pPr>
        <w:pStyle w:val="SingleTxtG"/>
        <w:ind w:firstLine="567"/>
        <w:rPr>
          <w:lang w:val="fr-FR"/>
        </w:rPr>
      </w:pPr>
      <w:r w:rsidRPr="00150DB9">
        <w:rPr>
          <w:lang w:val="fr-FR"/>
        </w:rPr>
        <w:t>Actuellement, les différents services techniques ne s</w:t>
      </w:r>
      <w:r w:rsidR="00723B27">
        <w:rPr>
          <w:lang w:val="fr-FR"/>
        </w:rPr>
        <w:t>’</w:t>
      </w:r>
      <w:r w:rsidRPr="00150DB9">
        <w:rPr>
          <w:lang w:val="fr-FR"/>
        </w:rPr>
        <w:t>accordent pas sur la définition du terme « ouvert » dans le paragraphe</w:t>
      </w:r>
      <w:r w:rsidR="00723B27">
        <w:rPr>
          <w:lang w:val="fr-FR"/>
        </w:rPr>
        <w:t> </w:t>
      </w:r>
      <w:r w:rsidRPr="00150DB9">
        <w:rPr>
          <w:lang w:val="fr-FR"/>
        </w:rPr>
        <w:t>5.3.1. L</w:t>
      </w:r>
      <w:r w:rsidR="00723B27">
        <w:rPr>
          <w:lang w:val="fr-FR"/>
        </w:rPr>
        <w:t>’</w:t>
      </w:r>
      <w:r w:rsidRPr="00150DB9">
        <w:rPr>
          <w:lang w:val="fr-FR"/>
        </w:rPr>
        <w:t>amendement proposé précise ce qu</w:t>
      </w:r>
      <w:r w:rsidR="00723B27">
        <w:rPr>
          <w:lang w:val="fr-FR"/>
        </w:rPr>
        <w:t>’</w:t>
      </w:r>
      <w:r w:rsidRPr="00150DB9">
        <w:rPr>
          <w:lang w:val="fr-FR"/>
        </w:rPr>
        <w:t>il faut</w:t>
      </w:r>
      <w:r w:rsidR="00CA5A36">
        <w:rPr>
          <w:lang w:val="fr-FR"/>
        </w:rPr>
        <w:t> </w:t>
      </w:r>
      <w:r w:rsidRPr="00150DB9">
        <w:rPr>
          <w:lang w:val="fr-FR"/>
        </w:rPr>
        <w:t>entendre par porte non fermée. Quant aux autres définitions, elles sont tirées du Règlement</w:t>
      </w:r>
      <w:r w:rsidR="00F34E19">
        <w:rPr>
          <w:lang w:val="fr-FR"/>
        </w:rPr>
        <w:t> </w:t>
      </w:r>
      <w:r w:rsidR="00723B27" w:rsidRPr="00723B27">
        <w:rPr>
          <w:rFonts w:eastAsia="MS Mincho"/>
          <w:szCs w:val="22"/>
          <w:lang w:val="fr-FR"/>
        </w:rPr>
        <w:t>n</w:t>
      </w:r>
      <w:r w:rsidR="00723B27" w:rsidRPr="00723B27">
        <w:rPr>
          <w:rFonts w:eastAsia="MS Mincho"/>
          <w:szCs w:val="22"/>
          <w:vertAlign w:val="superscript"/>
          <w:lang w:val="fr-FR"/>
        </w:rPr>
        <w:t>o</w:t>
      </w:r>
      <w:r w:rsidR="00723B27">
        <w:rPr>
          <w:lang w:val="fr-FR"/>
        </w:rPr>
        <w:t> </w:t>
      </w:r>
      <w:r w:rsidRPr="00150DB9">
        <w:rPr>
          <w:lang w:val="fr-FR"/>
        </w:rPr>
        <w:t>135, Révision</w:t>
      </w:r>
      <w:r w:rsidR="00723B27">
        <w:rPr>
          <w:lang w:val="fr-FR"/>
        </w:rPr>
        <w:t> </w:t>
      </w:r>
      <w:r w:rsidRPr="00150DB9">
        <w:rPr>
          <w:lang w:val="fr-FR"/>
        </w:rPr>
        <w:t>1.</w:t>
      </w:r>
    </w:p>
    <w:p w:rsidR="00723B27" w:rsidRPr="00723B27" w:rsidRDefault="00723B27" w:rsidP="00723B2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3B27" w:rsidRPr="00723B27" w:rsidSect="00EE77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7A" w:rsidRDefault="0038097A" w:rsidP="00F95C08">
      <w:pPr>
        <w:spacing w:line="240" w:lineRule="auto"/>
      </w:pPr>
    </w:p>
  </w:endnote>
  <w:endnote w:type="continuationSeparator" w:id="0">
    <w:p w:rsidR="0038097A" w:rsidRPr="00AC3823" w:rsidRDefault="0038097A" w:rsidP="00AC3823">
      <w:pPr>
        <w:pStyle w:val="Footer"/>
      </w:pPr>
    </w:p>
  </w:endnote>
  <w:endnote w:type="continuationNotice" w:id="1">
    <w:p w:rsidR="0038097A" w:rsidRDefault="003809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CB" w:rsidRPr="00EE77CB" w:rsidRDefault="00EE77CB" w:rsidP="00EE77CB">
    <w:pPr>
      <w:pStyle w:val="Footer"/>
      <w:tabs>
        <w:tab w:val="right" w:pos="9638"/>
      </w:tabs>
    </w:pPr>
    <w:r w:rsidRPr="00EE77CB">
      <w:rPr>
        <w:b/>
        <w:sz w:val="18"/>
      </w:rPr>
      <w:fldChar w:fldCharType="begin"/>
    </w:r>
    <w:r w:rsidRPr="00EE77CB">
      <w:rPr>
        <w:b/>
        <w:sz w:val="18"/>
      </w:rPr>
      <w:instrText xml:space="preserve"> PAGE  \* MERGEFORMAT </w:instrText>
    </w:r>
    <w:r w:rsidRPr="00EE77CB">
      <w:rPr>
        <w:b/>
        <w:sz w:val="18"/>
      </w:rPr>
      <w:fldChar w:fldCharType="separate"/>
    </w:r>
    <w:r w:rsidR="00491452">
      <w:rPr>
        <w:b/>
        <w:noProof/>
        <w:sz w:val="18"/>
      </w:rPr>
      <w:t>2</w:t>
    </w:r>
    <w:r w:rsidRPr="00EE77CB">
      <w:rPr>
        <w:b/>
        <w:sz w:val="18"/>
      </w:rPr>
      <w:fldChar w:fldCharType="end"/>
    </w:r>
    <w:r>
      <w:rPr>
        <w:b/>
        <w:sz w:val="18"/>
      </w:rPr>
      <w:tab/>
    </w:r>
    <w:r>
      <w:t>GE.17-16706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CB" w:rsidRPr="00EE77CB" w:rsidRDefault="00EE77CB" w:rsidP="00EE77CB">
    <w:pPr>
      <w:pStyle w:val="Footer"/>
      <w:tabs>
        <w:tab w:val="right" w:pos="9638"/>
      </w:tabs>
      <w:rPr>
        <w:b/>
        <w:sz w:val="18"/>
      </w:rPr>
    </w:pPr>
    <w:r>
      <w:t>GE.17-16706</w:t>
    </w:r>
    <w:r>
      <w:tab/>
    </w:r>
    <w:r w:rsidRPr="00EE77CB">
      <w:rPr>
        <w:b/>
        <w:sz w:val="18"/>
      </w:rPr>
      <w:fldChar w:fldCharType="begin"/>
    </w:r>
    <w:r w:rsidRPr="00EE77CB">
      <w:rPr>
        <w:b/>
        <w:sz w:val="18"/>
      </w:rPr>
      <w:instrText xml:space="preserve"> PAGE  \* MERGEFORMAT </w:instrText>
    </w:r>
    <w:r w:rsidRPr="00EE77CB">
      <w:rPr>
        <w:b/>
        <w:sz w:val="18"/>
      </w:rPr>
      <w:fldChar w:fldCharType="separate"/>
    </w:r>
    <w:r w:rsidR="00AB503D">
      <w:rPr>
        <w:b/>
        <w:noProof/>
        <w:sz w:val="18"/>
      </w:rPr>
      <w:t>2</w:t>
    </w:r>
    <w:r w:rsidRPr="00EE77C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EE77CB" w:rsidRDefault="00EE77CB" w:rsidP="00EE77C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17-16706  (F)</w:t>
    </w:r>
    <w:r w:rsidR="009B5D00">
      <w:rPr>
        <w:sz w:val="20"/>
      </w:rPr>
      <w:t xml:space="preserve">    </w:t>
    </w:r>
    <w:r w:rsidR="00133776">
      <w:rPr>
        <w:sz w:val="20"/>
      </w:rPr>
      <w:t>091017    101017</w:t>
    </w:r>
    <w:r>
      <w:rPr>
        <w:sz w:val="20"/>
      </w:rPr>
      <w:br/>
    </w:r>
    <w:r w:rsidRPr="00EE77CB">
      <w:rPr>
        <w:rFonts w:ascii="C39T30Lfz" w:hAnsi="C39T30Lfz"/>
        <w:sz w:val="56"/>
      </w:rPr>
      <w:t></w:t>
    </w:r>
    <w:r w:rsidRPr="00EE77CB">
      <w:rPr>
        <w:rFonts w:ascii="C39T30Lfz" w:hAnsi="C39T30Lfz"/>
        <w:sz w:val="56"/>
      </w:rPr>
      <w:t></w:t>
    </w:r>
    <w:r w:rsidRPr="00EE77CB">
      <w:rPr>
        <w:rFonts w:ascii="C39T30Lfz" w:hAnsi="C39T30Lfz"/>
        <w:sz w:val="56"/>
      </w:rPr>
      <w:t></w:t>
    </w:r>
    <w:r w:rsidRPr="00EE77CB">
      <w:rPr>
        <w:rFonts w:ascii="C39T30Lfz" w:hAnsi="C39T30Lfz"/>
        <w:sz w:val="56"/>
      </w:rPr>
      <w:t></w:t>
    </w:r>
    <w:r w:rsidRPr="00EE77CB">
      <w:rPr>
        <w:rFonts w:ascii="C39T30Lfz" w:hAnsi="C39T30Lfz"/>
        <w:sz w:val="56"/>
      </w:rPr>
      <w:t></w:t>
    </w:r>
    <w:r w:rsidRPr="00EE77CB">
      <w:rPr>
        <w:rFonts w:ascii="C39T30Lfz" w:hAnsi="C39T30Lfz"/>
        <w:sz w:val="56"/>
      </w:rPr>
      <w:t></w:t>
    </w:r>
    <w:r w:rsidRPr="00EE77CB">
      <w:rPr>
        <w:rFonts w:ascii="C39T30Lfz" w:hAnsi="C39T30Lfz"/>
        <w:sz w:val="56"/>
      </w:rPr>
      <w:t></w:t>
    </w:r>
    <w:r w:rsidRPr="00EE77CB">
      <w:rPr>
        <w:rFonts w:ascii="C39T30Lfz" w:hAnsi="C39T30Lfz"/>
        <w:sz w:val="56"/>
      </w:rPr>
      <w:t></w:t>
    </w:r>
    <w:r w:rsidRPr="00EE77C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7/4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4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7A" w:rsidRPr="00AC3823" w:rsidRDefault="0038097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097A" w:rsidRPr="00AC3823" w:rsidRDefault="0038097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8097A" w:rsidRPr="00AC3823" w:rsidRDefault="0038097A">
      <w:pPr>
        <w:spacing w:line="240" w:lineRule="auto"/>
        <w:rPr>
          <w:sz w:val="2"/>
          <w:szCs w:val="2"/>
        </w:rPr>
      </w:pPr>
    </w:p>
  </w:footnote>
  <w:footnote w:id="2">
    <w:p w:rsidR="00303C1B" w:rsidRPr="008A1887" w:rsidRDefault="003D00D5" w:rsidP="00303C1B">
      <w:pPr>
        <w:pStyle w:val="FootnoteText"/>
      </w:pPr>
      <w:r>
        <w:tab/>
      </w:r>
      <w:r w:rsidR="00303C1B">
        <w:rPr>
          <w:rStyle w:val="FootnoteReference"/>
        </w:rPr>
        <w:footnoteRef/>
      </w:r>
      <w:r>
        <w:tab/>
      </w:r>
      <w:r w:rsidR="00303C1B" w:rsidRPr="00EC4AB2">
        <w:rPr>
          <w:spacing w:val="-2"/>
        </w:rPr>
        <w:t>Conformément au programme de travail du Comité des transports intérieurs</w:t>
      </w:r>
      <w:r w:rsidR="00303C1B">
        <w:t xml:space="preserve"> pour la période 2016</w:t>
      </w:r>
      <w:r w:rsidR="00303C1B">
        <w:noBreakHyphen/>
        <w:t>2017 (ECE/TRANS/254, par. 159, et ECE/TRANS/2016/28/Add.1, module 3.1), le Forum mondial a</w:t>
      </w:r>
      <w:r>
        <w:t xml:space="preserve"> </w:t>
      </w:r>
      <w:r w:rsidR="00303C1B">
        <w:t>pour mission d</w:t>
      </w:r>
      <w:r>
        <w:t>’</w:t>
      </w:r>
      <w:r w:rsidR="00303C1B">
        <w:t>élaborer, d</w:t>
      </w:r>
      <w:r>
        <w:t>’</w:t>
      </w:r>
      <w:r w:rsidR="00303C1B">
        <w:t>harmoniser et de mettre à jour les Règlements en vue d</w:t>
      </w:r>
      <w:r>
        <w:t>’</w:t>
      </w:r>
      <w:r w:rsidR="00303C1B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CB" w:rsidRPr="00EE77CB" w:rsidRDefault="0049145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B503D">
      <w:t>ECE/TRANS/WP.29/GRSP/2017/40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CB" w:rsidRPr="00EE77CB" w:rsidRDefault="00491452" w:rsidP="00EE77C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B503D">
      <w:t>ECE/TRANS/WP.29/GRSP/2017/40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7A"/>
    <w:rsid w:val="00017F94"/>
    <w:rsid w:val="00023842"/>
    <w:rsid w:val="000334F9"/>
    <w:rsid w:val="00045FEB"/>
    <w:rsid w:val="0007796D"/>
    <w:rsid w:val="000B7790"/>
    <w:rsid w:val="00111F2F"/>
    <w:rsid w:val="00133776"/>
    <w:rsid w:val="0014365E"/>
    <w:rsid w:val="00143C66"/>
    <w:rsid w:val="00150DB9"/>
    <w:rsid w:val="00176178"/>
    <w:rsid w:val="001F525A"/>
    <w:rsid w:val="00223272"/>
    <w:rsid w:val="0024779E"/>
    <w:rsid w:val="00257168"/>
    <w:rsid w:val="002744B8"/>
    <w:rsid w:val="002832AC"/>
    <w:rsid w:val="002D7C93"/>
    <w:rsid w:val="00303C1B"/>
    <w:rsid w:val="00305801"/>
    <w:rsid w:val="00306CE7"/>
    <w:rsid w:val="0038097A"/>
    <w:rsid w:val="003916DE"/>
    <w:rsid w:val="003D00D5"/>
    <w:rsid w:val="00441C3B"/>
    <w:rsid w:val="00446FE5"/>
    <w:rsid w:val="00452396"/>
    <w:rsid w:val="004837D8"/>
    <w:rsid w:val="00491452"/>
    <w:rsid w:val="004E468C"/>
    <w:rsid w:val="005505B7"/>
    <w:rsid w:val="00573BE5"/>
    <w:rsid w:val="00586ED3"/>
    <w:rsid w:val="00596AA9"/>
    <w:rsid w:val="0071601D"/>
    <w:rsid w:val="00723B27"/>
    <w:rsid w:val="007A62E6"/>
    <w:rsid w:val="007F20FA"/>
    <w:rsid w:val="0080684C"/>
    <w:rsid w:val="00871C75"/>
    <w:rsid w:val="008776DC"/>
    <w:rsid w:val="00886F87"/>
    <w:rsid w:val="009446C0"/>
    <w:rsid w:val="009705C8"/>
    <w:rsid w:val="009B5D00"/>
    <w:rsid w:val="009C1CF4"/>
    <w:rsid w:val="009F6B74"/>
    <w:rsid w:val="00A30353"/>
    <w:rsid w:val="00AB503D"/>
    <w:rsid w:val="00AC3823"/>
    <w:rsid w:val="00AE323C"/>
    <w:rsid w:val="00AF0CB5"/>
    <w:rsid w:val="00AF6D7E"/>
    <w:rsid w:val="00B00181"/>
    <w:rsid w:val="00B00B0D"/>
    <w:rsid w:val="00B765F7"/>
    <w:rsid w:val="00B82C2F"/>
    <w:rsid w:val="00BA0CA9"/>
    <w:rsid w:val="00C02897"/>
    <w:rsid w:val="00C23370"/>
    <w:rsid w:val="00C97039"/>
    <w:rsid w:val="00CA5A36"/>
    <w:rsid w:val="00CC620D"/>
    <w:rsid w:val="00D3439C"/>
    <w:rsid w:val="00D92EE0"/>
    <w:rsid w:val="00DB1831"/>
    <w:rsid w:val="00DD3BFD"/>
    <w:rsid w:val="00DF6678"/>
    <w:rsid w:val="00E0299A"/>
    <w:rsid w:val="00E10C59"/>
    <w:rsid w:val="00E85C74"/>
    <w:rsid w:val="00EA6547"/>
    <w:rsid w:val="00EE77CB"/>
    <w:rsid w:val="00EF2E22"/>
    <w:rsid w:val="00F34E19"/>
    <w:rsid w:val="00F35748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2110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ECE/TRANS/WP.29/GRSP/2017/40</vt:lpstr>
      <vt:lpstr>ECE/TRANS/WP.29/GRSP/2017/40</vt:lpstr>
    </vt:vector>
  </TitlesOfParts>
  <Company>DCM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ECE/TRANS/WP.29/GRSP/2017/40</dc:title>
  <dc:creator>Corinne ROBERT</dc:creator>
  <cp:lastModifiedBy>Benedicte Boudol</cp:lastModifiedBy>
  <cp:revision>2</cp:revision>
  <cp:lastPrinted>2017-10-10T13:51:00Z</cp:lastPrinted>
  <dcterms:created xsi:type="dcterms:W3CDTF">2017-10-11T15:22:00Z</dcterms:created>
  <dcterms:modified xsi:type="dcterms:W3CDTF">2017-10-11T15:22:00Z</dcterms:modified>
</cp:coreProperties>
</file>