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12670">
        <w:trPr>
          <w:cantSplit/>
          <w:trHeight w:hRule="exact" w:val="851"/>
        </w:trPr>
        <w:tc>
          <w:tcPr>
            <w:tcW w:w="1276" w:type="dxa"/>
            <w:tcBorders>
              <w:bottom w:val="single" w:sz="4" w:space="0" w:color="auto"/>
            </w:tcBorders>
            <w:shd w:val="clear" w:color="auto" w:fill="auto"/>
            <w:vAlign w:val="bottom"/>
          </w:tcPr>
          <w:p w:rsidR="00B56E9C" w:rsidRDefault="00B56E9C" w:rsidP="00E12670">
            <w:pPr>
              <w:spacing w:after="80"/>
            </w:pPr>
            <w:bookmarkStart w:id="0" w:name="_GoBack"/>
            <w:bookmarkEnd w:id="0"/>
          </w:p>
        </w:tc>
        <w:tc>
          <w:tcPr>
            <w:tcW w:w="2268" w:type="dxa"/>
            <w:tcBorders>
              <w:bottom w:val="single" w:sz="4" w:space="0" w:color="auto"/>
            </w:tcBorders>
            <w:shd w:val="clear" w:color="auto" w:fill="auto"/>
            <w:vAlign w:val="bottom"/>
          </w:tcPr>
          <w:p w:rsidR="00B56E9C" w:rsidRPr="00E12670" w:rsidRDefault="00B56E9C" w:rsidP="00E12670">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E12670">
            <w:pPr>
              <w:jc w:val="right"/>
            </w:pPr>
            <w:r w:rsidRPr="00E12670">
              <w:rPr>
                <w:sz w:val="40"/>
              </w:rPr>
              <w:t>ECE</w:t>
            </w:r>
            <w:r>
              <w:t>/TRANS/WP.29/GRSP/201</w:t>
            </w:r>
            <w:r w:rsidR="009B621E">
              <w:t>7</w:t>
            </w:r>
            <w:r>
              <w:t>/</w:t>
            </w:r>
            <w:r w:rsidR="007415A2">
              <w:t>25</w:t>
            </w:r>
          </w:p>
        </w:tc>
      </w:tr>
      <w:tr w:rsidR="00B56E9C" w:rsidTr="00E12670">
        <w:trPr>
          <w:cantSplit/>
          <w:trHeight w:hRule="exact" w:val="2835"/>
        </w:trPr>
        <w:tc>
          <w:tcPr>
            <w:tcW w:w="1276" w:type="dxa"/>
            <w:tcBorders>
              <w:top w:val="single" w:sz="4" w:space="0" w:color="auto"/>
              <w:bottom w:val="single" w:sz="12" w:space="0" w:color="auto"/>
            </w:tcBorders>
            <w:shd w:val="clear" w:color="auto" w:fill="auto"/>
          </w:tcPr>
          <w:p w:rsidR="00B56E9C" w:rsidRDefault="00D06FAF" w:rsidP="00E12670">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12670" w:rsidRDefault="00D773DF" w:rsidP="00E12670">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Default="002F41E8" w:rsidP="00E12670">
            <w:pPr>
              <w:spacing w:before="240" w:line="240" w:lineRule="exact"/>
            </w:pPr>
            <w:r>
              <w:t>Distr.: General</w:t>
            </w:r>
          </w:p>
          <w:p w:rsidR="002F41E8" w:rsidRDefault="005472A9" w:rsidP="00E12670">
            <w:pPr>
              <w:spacing w:line="240" w:lineRule="exact"/>
            </w:pPr>
            <w:r>
              <w:t>2</w:t>
            </w:r>
            <w:r w:rsidR="007574DE">
              <w:t>2</w:t>
            </w:r>
            <w:r w:rsidR="00945582" w:rsidRPr="009B621E">
              <w:t xml:space="preserve"> </w:t>
            </w:r>
            <w:r w:rsidR="009B621E">
              <w:t>September</w:t>
            </w:r>
            <w:r w:rsidR="00947074" w:rsidRPr="009B621E">
              <w:t xml:space="preserve"> 201</w:t>
            </w:r>
            <w:r w:rsidR="009B621E">
              <w:t>7</w:t>
            </w:r>
          </w:p>
          <w:p w:rsidR="002F41E8" w:rsidRDefault="002F41E8" w:rsidP="00E12670">
            <w:pPr>
              <w:spacing w:line="240" w:lineRule="exact"/>
            </w:pPr>
          </w:p>
          <w:p w:rsidR="00EA2A77" w:rsidRDefault="002F41E8" w:rsidP="00E12670">
            <w:pPr>
              <w:spacing w:line="240" w:lineRule="exact"/>
            </w:pPr>
            <w:r>
              <w:t>Original: English</w:t>
            </w:r>
          </w:p>
          <w:p w:rsidR="002F41E8" w:rsidRDefault="002F41E8" w:rsidP="00E12670">
            <w:pPr>
              <w:spacing w:line="240" w:lineRule="exact"/>
            </w:pP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1223D7">
      <w:pPr>
        <w:spacing w:before="120" w:after="120"/>
        <w:rPr>
          <w:b/>
          <w:bCs/>
        </w:rPr>
      </w:pPr>
      <w:r w:rsidRPr="003527A4">
        <w:rPr>
          <w:b/>
          <w:bCs/>
        </w:rPr>
        <w:t xml:space="preserve">Working Party on </w:t>
      </w:r>
      <w:r>
        <w:rPr>
          <w:b/>
          <w:bCs/>
        </w:rPr>
        <w:t>Passive Safety</w:t>
      </w:r>
    </w:p>
    <w:p w:rsidR="001223D7" w:rsidRPr="003527A4" w:rsidRDefault="00316E25" w:rsidP="001223D7">
      <w:pPr>
        <w:rPr>
          <w:b/>
        </w:rPr>
      </w:pPr>
      <w:r>
        <w:rPr>
          <w:b/>
        </w:rPr>
        <w:t>Sixty</w:t>
      </w:r>
      <w:r w:rsidR="001223D7">
        <w:rPr>
          <w:b/>
        </w:rPr>
        <w:t>-</w:t>
      </w:r>
      <w:r>
        <w:rPr>
          <w:b/>
        </w:rPr>
        <w:t>second</w:t>
      </w:r>
      <w:r w:rsidR="001223D7">
        <w:rPr>
          <w:b/>
        </w:rPr>
        <w:t xml:space="preserve"> session</w:t>
      </w:r>
    </w:p>
    <w:p w:rsidR="001223D7" w:rsidRPr="003527A4" w:rsidRDefault="001223D7" w:rsidP="001223D7">
      <w:pPr>
        <w:rPr>
          <w:bCs/>
        </w:rPr>
      </w:pPr>
      <w:r w:rsidRPr="003527A4">
        <w:t>Geneva</w:t>
      </w:r>
      <w:r w:rsidRPr="003527A4">
        <w:rPr>
          <w:bCs/>
        </w:rPr>
        <w:t xml:space="preserve">, </w:t>
      </w:r>
      <w:r w:rsidR="009B621E">
        <w:rPr>
          <w:bCs/>
        </w:rPr>
        <w:t>12</w:t>
      </w:r>
      <w:r w:rsidR="005472A9">
        <w:rPr>
          <w:bCs/>
        </w:rPr>
        <w:t>-</w:t>
      </w:r>
      <w:r w:rsidR="009B621E">
        <w:rPr>
          <w:bCs/>
        </w:rPr>
        <w:t>15</w:t>
      </w:r>
      <w:r w:rsidRPr="003527A4">
        <w:rPr>
          <w:bCs/>
        </w:rPr>
        <w:t xml:space="preserve"> </w:t>
      </w:r>
      <w:r w:rsidR="009B621E">
        <w:rPr>
          <w:bCs/>
        </w:rPr>
        <w:t>December</w:t>
      </w:r>
      <w:r w:rsidRPr="003527A4">
        <w:rPr>
          <w:bCs/>
        </w:rPr>
        <w:t xml:space="preserve"> 201</w:t>
      </w:r>
      <w:r w:rsidR="009B621E">
        <w:rPr>
          <w:bCs/>
        </w:rPr>
        <w:t>7</w:t>
      </w:r>
    </w:p>
    <w:p w:rsidR="001223D7" w:rsidRDefault="001223D7" w:rsidP="001223D7">
      <w:pPr>
        <w:rPr>
          <w:bCs/>
        </w:rPr>
      </w:pPr>
      <w:r>
        <w:rPr>
          <w:bCs/>
        </w:rPr>
        <w:t xml:space="preserve">Item </w:t>
      </w:r>
      <w:r w:rsidR="007415A2">
        <w:rPr>
          <w:bCs/>
        </w:rPr>
        <w:t>9</w:t>
      </w:r>
      <w:r w:rsidRPr="00035ABC">
        <w:rPr>
          <w:bCs/>
        </w:rPr>
        <w:t xml:space="preserve"> of the provisional agenda</w:t>
      </w:r>
    </w:p>
    <w:p w:rsidR="001223D7" w:rsidRDefault="00BB5093" w:rsidP="001223D7">
      <w:pPr>
        <w:rPr>
          <w:b/>
        </w:rPr>
      </w:pPr>
      <w:r>
        <w:rPr>
          <w:b/>
        </w:rPr>
        <w:t xml:space="preserve">UN </w:t>
      </w:r>
      <w:r w:rsidR="00947074">
        <w:rPr>
          <w:b/>
        </w:rPr>
        <w:t xml:space="preserve">Regulation No. </w:t>
      </w:r>
      <w:r w:rsidR="007415A2">
        <w:rPr>
          <w:b/>
        </w:rPr>
        <w:t>17</w:t>
      </w:r>
      <w:r w:rsidR="001223D7">
        <w:rPr>
          <w:b/>
        </w:rPr>
        <w:t xml:space="preserve"> (</w:t>
      </w:r>
      <w:r w:rsidR="00DD73BD">
        <w:rPr>
          <w:b/>
        </w:rPr>
        <w:t>Strength of seats</w:t>
      </w:r>
      <w:r w:rsidR="001223D7">
        <w:rPr>
          <w:b/>
        </w:rPr>
        <w:t>)</w:t>
      </w:r>
    </w:p>
    <w:p w:rsidR="001877D8" w:rsidRPr="00592D56" w:rsidRDefault="001877D8" w:rsidP="001877D8">
      <w:pPr>
        <w:pStyle w:val="HChG"/>
        <w:rPr>
          <w:bCs/>
        </w:rPr>
      </w:pPr>
      <w:r>
        <w:rPr>
          <w:bCs/>
        </w:rPr>
        <w:tab/>
      </w:r>
      <w:r>
        <w:rPr>
          <w:bCs/>
        </w:rPr>
        <w:tab/>
      </w:r>
      <w:r w:rsidRPr="00592D56">
        <w:rPr>
          <w:bCs/>
        </w:rPr>
        <w:t xml:space="preserve">Proposal for Supplement </w:t>
      </w:r>
      <w:r w:rsidR="00DD73BD">
        <w:rPr>
          <w:bCs/>
        </w:rPr>
        <w:t>5</w:t>
      </w:r>
      <w:r>
        <w:rPr>
          <w:bCs/>
        </w:rPr>
        <w:t xml:space="preserve"> to the 0</w:t>
      </w:r>
      <w:r w:rsidR="00DD73BD">
        <w:rPr>
          <w:bCs/>
        </w:rPr>
        <w:t>8</w:t>
      </w:r>
      <w:r w:rsidRPr="00592D56">
        <w:rPr>
          <w:bCs/>
        </w:rPr>
        <w:t xml:space="preserve"> series of amendments to </w:t>
      </w:r>
      <w:r w:rsidR="00BB5093">
        <w:rPr>
          <w:bCs/>
        </w:rPr>
        <w:t xml:space="preserve">UN </w:t>
      </w:r>
      <w:r w:rsidRPr="00592D56">
        <w:rPr>
          <w:bCs/>
        </w:rPr>
        <w:t>Regulation No. </w:t>
      </w:r>
      <w:r w:rsidR="002F18BD">
        <w:rPr>
          <w:bCs/>
        </w:rPr>
        <w:t>17</w:t>
      </w:r>
      <w:r>
        <w:rPr>
          <w:bCs/>
        </w:rPr>
        <w:t xml:space="preserve"> </w:t>
      </w:r>
      <w:r>
        <w:t>(</w:t>
      </w:r>
      <w:r w:rsidR="00DD73BD" w:rsidRPr="00DD73BD">
        <w:t>Strength of seats</w:t>
      </w:r>
      <w:r>
        <w:t>)</w:t>
      </w:r>
    </w:p>
    <w:p w:rsidR="001877D8" w:rsidRPr="00592D56" w:rsidRDefault="001877D8" w:rsidP="001877D8">
      <w:pPr>
        <w:pStyle w:val="H1G"/>
      </w:pPr>
      <w:r w:rsidRPr="00592D56">
        <w:tab/>
      </w:r>
      <w:r w:rsidRPr="00592D56">
        <w:tab/>
        <w:t>Submitted by the expert from</w:t>
      </w:r>
      <w:r>
        <w:t xml:space="preserve"> </w:t>
      </w:r>
      <w:r w:rsidR="00DD73BD">
        <w:t>Germany</w:t>
      </w:r>
      <w:r w:rsidRPr="00835F1A">
        <w:rPr>
          <w:rStyle w:val="FootnoteReference"/>
          <w:b w:val="0"/>
          <w:sz w:val="20"/>
          <w:vertAlign w:val="baseline"/>
          <w:lang w:val="en-US"/>
        </w:rPr>
        <w:footnoteReference w:customMarkFollows="1" w:id="2"/>
        <w:t>*</w:t>
      </w:r>
    </w:p>
    <w:p w:rsidR="001877D8" w:rsidRPr="00592D56" w:rsidRDefault="001877D8" w:rsidP="001877D8">
      <w:pPr>
        <w:spacing w:line="247" w:lineRule="auto"/>
        <w:ind w:left="1246" w:right="1192" w:firstLine="569"/>
        <w:jc w:val="both"/>
      </w:pPr>
      <w:r>
        <w:t>The text reproduced below was pr</w:t>
      </w:r>
      <w:r w:rsidR="00DD73BD">
        <w:t>epared by the expert from Germany</w:t>
      </w:r>
      <w:r w:rsidR="00286EC5">
        <w:t>.</w:t>
      </w:r>
      <w:r w:rsidR="00DD73BD" w:rsidRPr="00DD73BD">
        <w:rPr>
          <w:lang w:val="en-US"/>
        </w:rPr>
        <w:t xml:space="preserve"> </w:t>
      </w:r>
      <w:r w:rsidR="00DD73BD" w:rsidRPr="009D2CEB">
        <w:rPr>
          <w:lang w:val="en-US"/>
        </w:rPr>
        <w:t xml:space="preserve">It </w:t>
      </w:r>
      <w:r w:rsidR="002F18BD">
        <w:rPr>
          <w:lang w:val="en-US"/>
        </w:rPr>
        <w:t xml:space="preserve">aims </w:t>
      </w:r>
      <w:r w:rsidR="002821F2">
        <w:rPr>
          <w:lang w:val="en-US"/>
        </w:rPr>
        <w:t xml:space="preserve">to </w:t>
      </w:r>
      <w:r w:rsidR="002F18BD" w:rsidRPr="00F84F80">
        <w:t xml:space="preserve">clarify that safety-belts and components should </w:t>
      </w:r>
      <w:r w:rsidR="002F18BD">
        <w:t xml:space="preserve">continue to </w:t>
      </w:r>
      <w:r w:rsidR="002F18BD" w:rsidRPr="009001F8">
        <w:t>function after the load retention test</w:t>
      </w:r>
      <w:r w:rsidR="00DD73BD" w:rsidRPr="009D2CEB">
        <w:rPr>
          <w:lang w:val="en-US"/>
        </w:rPr>
        <w:t xml:space="preserve">. </w:t>
      </w:r>
      <w:r w:rsidR="00A01280" w:rsidRPr="000E2AC1">
        <w:t>It is based</w:t>
      </w:r>
      <w:r w:rsidR="00A01280">
        <w:t xml:space="preserve"> on</w:t>
      </w:r>
      <w:r w:rsidR="00A01280" w:rsidRPr="00C27E9E">
        <w:t xml:space="preserve"> </w:t>
      </w:r>
      <w:r w:rsidR="00A01280" w:rsidRPr="003B4673">
        <w:t xml:space="preserve">informal document </w:t>
      </w:r>
      <w:r w:rsidR="00A01280">
        <w:t xml:space="preserve">GRSP-61-19-Rev.1 </w:t>
      </w:r>
      <w:r w:rsidR="00A01280" w:rsidRPr="003B4673">
        <w:t xml:space="preserve">distributed during the </w:t>
      </w:r>
      <w:r w:rsidR="00A01280">
        <w:t xml:space="preserve">sixty-first </w:t>
      </w:r>
      <w:r w:rsidR="00A01280" w:rsidRPr="003B4673">
        <w:t>session of the Working Pa</w:t>
      </w:r>
      <w:r w:rsidR="00A01280">
        <w:t>rty on General Safety</w:t>
      </w:r>
      <w:r w:rsidR="00A01280" w:rsidRPr="003B4673">
        <w:t xml:space="preserve"> (GRS</w:t>
      </w:r>
      <w:r w:rsidR="00A01280">
        <w:t>P</w:t>
      </w:r>
      <w:r w:rsidR="00A01280" w:rsidRPr="003B4673">
        <w:t>)</w:t>
      </w:r>
      <w:r w:rsidR="00A01280">
        <w:t xml:space="preserve"> (</w:t>
      </w:r>
      <w:r w:rsidR="00B97A96">
        <w:rPr>
          <w:iCs/>
        </w:rPr>
        <w:t>ECE/TRANS/WP.29/GRSP/61</w:t>
      </w:r>
      <w:r w:rsidR="00A01280">
        <w:rPr>
          <w:iCs/>
        </w:rPr>
        <w:t>, para. 22)</w:t>
      </w:r>
      <w:r w:rsidR="00A01280" w:rsidRPr="003B4673">
        <w:t>.</w:t>
      </w:r>
      <w:r w:rsidR="00A01280">
        <w:t xml:space="preserve"> </w:t>
      </w:r>
      <w:r w:rsidR="00DD73BD" w:rsidRPr="009D2CEB">
        <w:rPr>
          <w:lang w:val="en-US"/>
        </w:rPr>
        <w:t>The modifications to the existing text of the UN Regulation are marked in bold for new or strikethrough for deleted characters.</w:t>
      </w:r>
      <w:r>
        <w:t xml:space="preserve"> </w:t>
      </w:r>
    </w:p>
    <w:p w:rsidR="001877D8" w:rsidRPr="0024240B" w:rsidRDefault="001877D8" w:rsidP="0024240B">
      <w:pPr>
        <w:pStyle w:val="SingleTxtG"/>
        <w:rPr>
          <w:lang w:val="en-US"/>
        </w:rPr>
      </w:pPr>
    </w:p>
    <w:p w:rsidR="00846103" w:rsidRPr="00846103" w:rsidRDefault="00846103" w:rsidP="000F0F06">
      <w:pPr>
        <w:pStyle w:val="HChG"/>
        <w:ind w:left="0" w:firstLine="0"/>
      </w:pPr>
      <w:r>
        <w:br w:type="page"/>
      </w:r>
      <w:r w:rsidR="00B83BBC">
        <w:lastRenderedPageBreak/>
        <w:tab/>
      </w:r>
      <w:r w:rsidR="00B83BBC">
        <w:rPr>
          <w:snapToGrid w:val="0"/>
        </w:rPr>
        <w:t>I.</w:t>
      </w:r>
      <w:r w:rsidR="00B83BBC">
        <w:rPr>
          <w:snapToGrid w:val="0"/>
        </w:rPr>
        <w:tab/>
      </w:r>
      <w:r>
        <w:rPr>
          <w:snapToGrid w:val="0"/>
        </w:rPr>
        <w:t>Proposal</w:t>
      </w:r>
    </w:p>
    <w:p w:rsidR="002F18BD" w:rsidRPr="009D2CEB" w:rsidRDefault="002F18BD" w:rsidP="002F18BD">
      <w:pPr>
        <w:spacing w:after="120"/>
        <w:ind w:left="1170" w:right="1025"/>
        <w:jc w:val="both"/>
        <w:rPr>
          <w:i/>
          <w:lang w:val="en-US" w:eastAsia="ar-SA"/>
        </w:rPr>
      </w:pPr>
      <w:r>
        <w:rPr>
          <w:i/>
          <w:lang w:val="en-US" w:eastAsia="ar-SA"/>
        </w:rPr>
        <w:t>Paragraph</w:t>
      </w:r>
      <w:r w:rsidRPr="009D2CEB">
        <w:rPr>
          <w:i/>
          <w:lang w:val="en-US" w:eastAsia="ar-SA"/>
        </w:rPr>
        <w:t xml:space="preserve"> 5.</w:t>
      </w:r>
      <w:r>
        <w:rPr>
          <w:i/>
          <w:lang w:val="en-US" w:eastAsia="ar-SA"/>
        </w:rPr>
        <w:t>16.1. and 5.16.2.</w:t>
      </w:r>
      <w:r w:rsidRPr="009D2CEB">
        <w:rPr>
          <w:lang w:val="en-US" w:eastAsia="ar-SA"/>
        </w:rPr>
        <w:t>, amend to read:</w:t>
      </w:r>
    </w:p>
    <w:p w:rsidR="002F18BD" w:rsidRPr="000373D5" w:rsidRDefault="002F18BD" w:rsidP="002F18BD">
      <w:pPr>
        <w:pStyle w:val="para"/>
      </w:pPr>
      <w:r>
        <w:t>"</w:t>
      </w:r>
      <w:r w:rsidRPr="000373D5">
        <w:t>5.1</w:t>
      </w:r>
      <w:r>
        <w:t>6.1.</w:t>
      </w:r>
      <w:r>
        <w:tab/>
      </w:r>
      <w:r w:rsidRPr="000373D5">
        <w:t>Seat-backs</w:t>
      </w:r>
    </w:p>
    <w:p w:rsidR="002F18BD" w:rsidRPr="000373D5" w:rsidRDefault="002F18BD" w:rsidP="002F18BD">
      <w:pPr>
        <w:pStyle w:val="para"/>
      </w:pPr>
      <w:r w:rsidRPr="000373D5">
        <w:tab/>
        <w:t>Seat-backs and/or head restraints located such that they constitute the forward boundary of the luggage compartment, all seats being in place and in the normal position of use as indicated by the manufacturer, shall have sufficient strength to protect the occupants from displaced luggage in a frontal impact.</w:t>
      </w:r>
      <w:r>
        <w:t xml:space="preserve"> </w:t>
      </w:r>
      <w:r w:rsidRPr="000373D5">
        <w:t xml:space="preserve">This requirement is deemed to be met if, during and after the test described in </w:t>
      </w:r>
      <w:r>
        <w:t>A</w:t>
      </w:r>
      <w:r w:rsidRPr="000373D5">
        <w:t>nnex 9, the seat-backs remain in position</w:t>
      </w:r>
      <w:r w:rsidRPr="00A4050A">
        <w:rPr>
          <w:b/>
        </w:rPr>
        <w:t>,</w:t>
      </w:r>
      <w:r w:rsidRPr="000373D5">
        <w:t xml:space="preserve"> </w:t>
      </w:r>
      <w:r w:rsidRPr="002F18BD">
        <w:rPr>
          <w:strike/>
        </w:rPr>
        <w:t>and</w:t>
      </w:r>
      <w:r w:rsidRPr="000373D5">
        <w:t xml:space="preserve"> the locking mechanisms remain in place</w:t>
      </w:r>
      <w:r>
        <w:t xml:space="preserve"> </w:t>
      </w:r>
      <w:r w:rsidRPr="002F18BD">
        <w:t>[</w:t>
      </w:r>
      <w:r w:rsidRPr="002F18BD">
        <w:rPr>
          <w:b/>
        </w:rPr>
        <w:t>and the components of the safety belts shall still being in function]</w:t>
      </w:r>
      <w:r w:rsidRPr="002F18BD">
        <w:t>.</w:t>
      </w:r>
      <w:r>
        <w:t xml:space="preserve"> </w:t>
      </w:r>
      <w:r w:rsidRPr="000373D5">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rsidR="002F18BD" w:rsidRPr="00885D82" w:rsidRDefault="002F18BD" w:rsidP="002F18BD">
      <w:pPr>
        <w:pStyle w:val="a"/>
        <w:rPr>
          <w:lang w:val="en-GB"/>
        </w:rPr>
      </w:pPr>
      <w:r w:rsidRPr="00885D82">
        <w:rPr>
          <w:lang w:val="en-GB"/>
        </w:rPr>
        <w:t>(a)</w:t>
      </w:r>
      <w:r w:rsidRPr="00885D82">
        <w:rPr>
          <w:lang w:val="en-GB"/>
        </w:rPr>
        <w:tab/>
        <w:t>A point of 150 mm forward of the R point of the seat in question, for the parts of the head restraint;</w:t>
      </w:r>
    </w:p>
    <w:p w:rsidR="002F18BD" w:rsidRPr="00885D82" w:rsidRDefault="002F18BD" w:rsidP="002F18BD">
      <w:pPr>
        <w:pStyle w:val="a"/>
        <w:rPr>
          <w:lang w:val="en-GB"/>
        </w:rPr>
      </w:pPr>
      <w:r w:rsidRPr="00885D82">
        <w:rPr>
          <w:lang w:val="en-GB"/>
        </w:rPr>
        <w:t>(b)</w:t>
      </w:r>
      <w:r w:rsidRPr="00885D82">
        <w:rPr>
          <w:lang w:val="en-GB"/>
        </w:rPr>
        <w:tab/>
        <w:t>A point of 100 mm forward of the R point of the seat in question, for parts of the seat-back;</w:t>
      </w:r>
    </w:p>
    <w:p w:rsidR="002F18BD" w:rsidRPr="000373D5" w:rsidRDefault="002F18BD" w:rsidP="002F18BD">
      <w:pPr>
        <w:pStyle w:val="para"/>
        <w:ind w:firstLine="0"/>
      </w:pPr>
      <w:r>
        <w:t>E</w:t>
      </w:r>
      <w:r w:rsidRPr="000373D5">
        <w:t>xcluding the rebound phases of the test blocks.</w:t>
      </w:r>
    </w:p>
    <w:p w:rsidR="002F18BD" w:rsidRPr="000373D5" w:rsidRDefault="002F18BD" w:rsidP="002F18BD">
      <w:pPr>
        <w:pStyle w:val="para"/>
        <w:ind w:firstLine="0"/>
      </w:pPr>
      <w:r w:rsidRPr="000373D5">
        <w:t>For integrated head restraints, the limit between the head restraint and the seat-back is defined by the plane perpendicular to the reference line 540 mm from the R point.</w:t>
      </w:r>
    </w:p>
    <w:p w:rsidR="002F18BD" w:rsidRPr="000373D5" w:rsidRDefault="002F18BD" w:rsidP="002F18BD">
      <w:pPr>
        <w:pStyle w:val="para"/>
        <w:ind w:firstLine="0"/>
      </w:pPr>
      <w:r w:rsidRPr="000373D5">
        <w:t>All measurements shall be taken in the longitudinal median plane of the corresponding seat or seating position for each seating position constituting the forward boundary of the luggage compartment.</w:t>
      </w:r>
    </w:p>
    <w:p w:rsidR="002F18BD" w:rsidRDefault="002F18BD" w:rsidP="002F18BD">
      <w:pPr>
        <w:pStyle w:val="para"/>
        <w:rPr>
          <w:b/>
          <w:color w:val="FF0000"/>
        </w:rPr>
      </w:pPr>
      <w:r w:rsidRPr="000373D5">
        <w:tab/>
        <w:t xml:space="preserve">During the test described in </w:t>
      </w:r>
      <w:r>
        <w:t>A</w:t>
      </w:r>
      <w:r w:rsidRPr="000373D5">
        <w:t>nnex 9, the test blocks shall remain behi</w:t>
      </w:r>
      <w:r>
        <w:t>nd the seat-back(s) in question</w:t>
      </w:r>
      <w:r w:rsidRPr="002F18BD">
        <w:rPr>
          <w:strike/>
        </w:rPr>
        <w:t>.</w:t>
      </w:r>
      <w:r w:rsidRPr="002F18BD">
        <w:t xml:space="preserve"> </w:t>
      </w:r>
      <w:r w:rsidR="002821F2">
        <w:rPr>
          <w:b/>
        </w:rPr>
        <w:t>and not lead to the</w:t>
      </w:r>
      <w:r w:rsidRPr="002F18BD">
        <w:rPr>
          <w:b/>
        </w:rPr>
        <w:t xml:space="preserve"> damage of a component of the safety belts of the seat row</w:t>
      </w:r>
      <w:r w:rsidR="002821F2">
        <w:rPr>
          <w:b/>
        </w:rPr>
        <w:t>,</w:t>
      </w:r>
      <w:r w:rsidRPr="002F18BD">
        <w:rPr>
          <w:b/>
        </w:rPr>
        <w:t xml:space="preserve"> tested that could cause a safety risk f</w:t>
      </w:r>
      <w:r w:rsidR="002821F2">
        <w:rPr>
          <w:b/>
        </w:rPr>
        <w:t>or the occupants sitting on these</w:t>
      </w:r>
      <w:r w:rsidRPr="002F18BD">
        <w:rPr>
          <w:b/>
        </w:rPr>
        <w:t xml:space="preserve"> seats.</w:t>
      </w:r>
    </w:p>
    <w:p w:rsidR="002F18BD" w:rsidRPr="000373D5" w:rsidRDefault="002F18BD" w:rsidP="002F18BD">
      <w:pPr>
        <w:pStyle w:val="para"/>
        <w:keepNext/>
        <w:keepLines/>
      </w:pPr>
      <w:r w:rsidRPr="000373D5">
        <w:t>5.1</w:t>
      </w:r>
      <w:r>
        <w:t>6.2.</w:t>
      </w:r>
      <w:r>
        <w:tab/>
      </w:r>
      <w:r w:rsidRPr="000373D5">
        <w:t>Partitioning systems</w:t>
      </w:r>
    </w:p>
    <w:p w:rsidR="002F18BD" w:rsidRPr="000373D5" w:rsidRDefault="002F18BD" w:rsidP="002F18BD">
      <w:pPr>
        <w:pStyle w:val="para"/>
        <w:keepNext/>
        <w:keepLines/>
      </w:pPr>
      <w:r w:rsidRPr="000373D5">
        <w:tab/>
        <w:t xml:space="preserve">At the request of the vehicle manufacturer, the test described in </w:t>
      </w:r>
      <w:r>
        <w:t>A</w:t>
      </w:r>
      <w:r w:rsidRPr="000373D5">
        <w:t>nnex 9 may be carried out with the partitioning systems in place, if these systems are fitted as standard equipment for the particular type of vehicle.</w:t>
      </w:r>
    </w:p>
    <w:p w:rsidR="002F18BD" w:rsidRPr="000373D5" w:rsidRDefault="002F18BD" w:rsidP="002F18BD">
      <w:pPr>
        <w:pStyle w:val="para"/>
      </w:pPr>
      <w:r w:rsidRPr="000373D5">
        <w:tab/>
        <w:t xml:space="preserve">Partitioning systems, netting wire mesh located above the seat-backs in their normal position of use, shall be tested according to paragraph 2.2. of </w:t>
      </w:r>
      <w:r>
        <w:t>A</w:t>
      </w:r>
      <w:r w:rsidRPr="000373D5">
        <w:t>nnex</w:t>
      </w:r>
      <w:r>
        <w:t> </w:t>
      </w:r>
      <w:r w:rsidRPr="000373D5">
        <w:t>9.</w:t>
      </w:r>
    </w:p>
    <w:p w:rsidR="002F18BD" w:rsidRPr="000373D5" w:rsidRDefault="002F18BD" w:rsidP="002F18BD">
      <w:pPr>
        <w:pStyle w:val="para"/>
      </w:pPr>
      <w:r w:rsidRPr="000373D5">
        <w:tab/>
        <w:t>This requirement is deemed to be met if, during the test, the partitioning systems remain in position.</w:t>
      </w:r>
      <w:r>
        <w:t xml:space="preserve"> </w:t>
      </w:r>
      <w:r w:rsidRPr="000373D5">
        <w:t>However, the deformation of the partitioning systems during the test is permitted, provided that the forward contour of the partitioning (including parts of the tested seat-back(s) and/or head restraint(s) that are harder than 50 Shore A does not move forward of a transverse vertical plane which passes through:</w:t>
      </w:r>
    </w:p>
    <w:p w:rsidR="002F18BD" w:rsidRPr="00885D82" w:rsidRDefault="002F18BD" w:rsidP="002F18BD">
      <w:pPr>
        <w:pStyle w:val="a"/>
        <w:rPr>
          <w:lang w:val="en-GB"/>
        </w:rPr>
      </w:pPr>
      <w:r w:rsidRPr="00885D82">
        <w:rPr>
          <w:lang w:val="en-GB"/>
        </w:rPr>
        <w:t>(a)</w:t>
      </w:r>
      <w:r w:rsidRPr="00885D82">
        <w:rPr>
          <w:lang w:val="en-GB"/>
        </w:rPr>
        <w:tab/>
        <w:t>A point of 150 mm forward of the R point of the seat in question, for parts of the head restraint;</w:t>
      </w:r>
    </w:p>
    <w:p w:rsidR="002F18BD" w:rsidRPr="00885D82" w:rsidRDefault="002F18BD" w:rsidP="002F18BD">
      <w:pPr>
        <w:pStyle w:val="a"/>
        <w:rPr>
          <w:lang w:val="en-GB"/>
        </w:rPr>
      </w:pPr>
      <w:r w:rsidRPr="00885D82">
        <w:rPr>
          <w:lang w:val="en-GB"/>
        </w:rPr>
        <w:lastRenderedPageBreak/>
        <w:t>(b)</w:t>
      </w:r>
      <w:r w:rsidRPr="00885D82">
        <w:rPr>
          <w:lang w:val="en-GB"/>
        </w:rPr>
        <w:tab/>
        <w:t>A point of 100 mm forward of the R point of the seat in question, for parts of the seat-back and part of the partitioning system others than the head restraint.</w:t>
      </w:r>
    </w:p>
    <w:p w:rsidR="002F18BD" w:rsidRPr="000373D5" w:rsidRDefault="002F18BD" w:rsidP="002F18BD">
      <w:pPr>
        <w:pStyle w:val="para"/>
      </w:pPr>
      <w:r w:rsidRPr="000373D5">
        <w:tab/>
        <w:t>For integrated head restraint, the limit between the head restraint and the seat-back is the one defined in paragraph 5.</w:t>
      </w:r>
      <w:r>
        <w:t>16</w:t>
      </w:r>
      <w:r w:rsidRPr="000373D5">
        <w:t>.1.</w:t>
      </w:r>
    </w:p>
    <w:p w:rsidR="002F18BD" w:rsidRPr="000373D5" w:rsidRDefault="002F18BD" w:rsidP="002F18BD">
      <w:pPr>
        <w:pStyle w:val="para"/>
      </w:pPr>
      <w:r w:rsidRPr="000373D5">
        <w:tab/>
        <w:t>All measurements shall be taken in the longitudinal median plane of the corresponding seat or seating position for each seating position constituting the forward boundary of the luggage compartment.</w:t>
      </w:r>
    </w:p>
    <w:p w:rsidR="002F18BD" w:rsidRPr="002F18BD" w:rsidRDefault="002F18BD" w:rsidP="002F18BD">
      <w:pPr>
        <w:pStyle w:val="para"/>
        <w:rPr>
          <w:b/>
        </w:rPr>
      </w:pPr>
      <w:r w:rsidRPr="000373D5">
        <w:tab/>
        <w:t>After the test, no sharp or rough edges likely to increase the danger or severity of injuries of</w:t>
      </w:r>
      <w:r>
        <w:t xml:space="preserve"> the occupants shall be present</w:t>
      </w:r>
      <w:r w:rsidRPr="00FC403C">
        <w:rPr>
          <w:u w:val="single"/>
        </w:rPr>
        <w:t>.</w:t>
      </w:r>
      <w:r>
        <w:t xml:space="preserve"> [</w:t>
      </w:r>
      <w:r w:rsidRPr="002F18BD">
        <w:rPr>
          <w:b/>
        </w:rPr>
        <w:t>and all components of the safety belt shall still being in function.]</w:t>
      </w:r>
      <w:r w:rsidRPr="002F18BD">
        <w:t>"</w:t>
      </w:r>
    </w:p>
    <w:p w:rsidR="00A4050A" w:rsidRDefault="00A4050A" w:rsidP="00A4050A">
      <w:pPr>
        <w:suppressAutoHyphens w:val="0"/>
        <w:spacing w:after="120" w:line="276" w:lineRule="auto"/>
        <w:ind w:left="2250" w:right="1134" w:hanging="1106"/>
        <w:jc w:val="both"/>
        <w:rPr>
          <w:rFonts w:eastAsia="Calibri"/>
          <w:lang w:val="en-US"/>
        </w:rPr>
      </w:pPr>
      <w:r>
        <w:rPr>
          <w:rFonts w:eastAsia="Calibri"/>
          <w:i/>
          <w:lang w:val="en-US"/>
        </w:rPr>
        <w:t>Paragraph 7</w:t>
      </w:r>
      <w:r>
        <w:rPr>
          <w:rFonts w:eastAsia="Calibri"/>
          <w:lang w:val="en-US"/>
        </w:rPr>
        <w:t>, amend to read:</w:t>
      </w:r>
    </w:p>
    <w:p w:rsidR="00A4050A" w:rsidRPr="0059255D" w:rsidRDefault="00A4050A" w:rsidP="00A4050A">
      <w:pPr>
        <w:pStyle w:val="HChG"/>
      </w:pPr>
      <w:r>
        <w:rPr>
          <w:rFonts w:eastAsia="Calibri"/>
          <w:lang w:val="en-US"/>
        </w:rPr>
        <w:tab/>
      </w:r>
      <w:r>
        <w:rPr>
          <w:rFonts w:eastAsia="Calibri"/>
          <w:lang w:val="en-US"/>
        </w:rPr>
        <w:tab/>
        <w:t>"</w:t>
      </w:r>
      <w:r>
        <w:t>7.</w:t>
      </w:r>
      <w:r>
        <w:tab/>
      </w:r>
      <w:r>
        <w:tab/>
      </w:r>
      <w:r w:rsidRPr="0059255D">
        <w:t>Conformity of production</w:t>
      </w:r>
    </w:p>
    <w:p w:rsidR="00A4050A" w:rsidRPr="00B83BBC" w:rsidRDefault="00A4050A" w:rsidP="00A4050A">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those set out in the Agreement, </w:t>
      </w:r>
      <w:r w:rsidR="00B91FD8" w:rsidRPr="00EF4D64">
        <w:rPr>
          <w:rFonts w:eastAsia="Calibri"/>
          <w:strike/>
          <w:lang w:val="en-US"/>
        </w:rPr>
        <w:t>Appendix 2</w:t>
      </w:r>
      <w:r w:rsidR="00B91FD8">
        <w:rPr>
          <w:rFonts w:eastAsia="Calibri"/>
          <w:lang w:val="en-US"/>
        </w:rPr>
        <w:t xml:space="preserve"> </w:t>
      </w:r>
      <w:r w:rsidR="00B91FD8" w:rsidRPr="00EF4D64">
        <w:rPr>
          <w:rFonts w:eastAsia="Calibri"/>
          <w:b/>
          <w:lang w:val="en-US"/>
        </w:rPr>
        <w:t>Schedule</w:t>
      </w:r>
      <w:r w:rsidR="00B91FD8" w:rsidRPr="002452B0">
        <w:rPr>
          <w:rFonts w:eastAsia="Calibri"/>
          <w:lang w:val="en-US"/>
        </w:rPr>
        <w:t xml:space="preserve"> </w:t>
      </w:r>
      <w:r w:rsidR="00B91FD8" w:rsidRPr="002452B0">
        <w:rPr>
          <w:rFonts w:eastAsia="Calibri"/>
          <w:b/>
          <w:lang w:val="en-US"/>
        </w:rPr>
        <w:t>1</w:t>
      </w:r>
      <w:r w:rsidRPr="002452B0">
        <w:rPr>
          <w:rFonts w:eastAsia="Calibri"/>
          <w:lang w:val="en-US"/>
        </w:rPr>
        <w:t xml:space="preserve"> (E/ECE/324 -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2F18BD" w:rsidRPr="009D2CEB" w:rsidRDefault="002F18BD" w:rsidP="002F18BD">
      <w:pPr>
        <w:spacing w:after="120"/>
        <w:ind w:left="1170" w:right="1025"/>
        <w:jc w:val="both"/>
        <w:rPr>
          <w:i/>
          <w:lang w:val="en-US" w:eastAsia="ar-SA"/>
        </w:rPr>
      </w:pPr>
      <w:r>
        <w:rPr>
          <w:i/>
          <w:lang w:val="en-US" w:eastAsia="ar-SA"/>
        </w:rPr>
        <w:t>Annex 9,</w:t>
      </w:r>
      <w:r w:rsidR="00A4050A">
        <w:rPr>
          <w:i/>
          <w:lang w:val="en-US" w:eastAsia="ar-SA"/>
        </w:rPr>
        <w:t xml:space="preserve"> i</w:t>
      </w:r>
      <w:r>
        <w:rPr>
          <w:i/>
          <w:lang w:val="en-US" w:eastAsia="ar-SA"/>
        </w:rPr>
        <w:t>nsert new paragraph</w:t>
      </w:r>
      <w:r w:rsidRPr="009D2CEB">
        <w:rPr>
          <w:i/>
          <w:lang w:val="en-US" w:eastAsia="ar-SA"/>
        </w:rPr>
        <w:t xml:space="preserve"> </w:t>
      </w:r>
      <w:r>
        <w:rPr>
          <w:i/>
          <w:lang w:val="en-US" w:eastAsia="ar-SA"/>
        </w:rPr>
        <w:t>2</w:t>
      </w:r>
      <w:r w:rsidRPr="009D2CEB">
        <w:rPr>
          <w:i/>
          <w:lang w:val="en-US" w:eastAsia="ar-SA"/>
        </w:rPr>
        <w:t>.</w:t>
      </w:r>
      <w:r>
        <w:rPr>
          <w:i/>
          <w:lang w:val="en-US" w:eastAsia="ar-SA"/>
        </w:rPr>
        <w:t>1.1.7.</w:t>
      </w:r>
      <w:r w:rsidRPr="009D2CEB">
        <w:rPr>
          <w:lang w:val="en-US" w:eastAsia="ar-SA"/>
        </w:rPr>
        <w:t xml:space="preserve">, </w:t>
      </w:r>
      <w:r>
        <w:rPr>
          <w:lang w:val="en-US" w:eastAsia="ar-SA"/>
        </w:rPr>
        <w:t>to read</w:t>
      </w:r>
      <w:r w:rsidRPr="009D2CEB">
        <w:rPr>
          <w:lang w:val="en-US" w:eastAsia="ar-SA"/>
        </w:rPr>
        <w:t>:</w:t>
      </w:r>
    </w:p>
    <w:p w:rsidR="002F18BD" w:rsidRPr="002F18BD" w:rsidRDefault="002F18BD" w:rsidP="002F18BD">
      <w:pPr>
        <w:pStyle w:val="para"/>
        <w:rPr>
          <w:b/>
        </w:rPr>
      </w:pPr>
      <w:r w:rsidRPr="002F18BD">
        <w:t>"</w:t>
      </w:r>
      <w:r w:rsidRPr="002F18BD">
        <w:rPr>
          <w:b/>
        </w:rPr>
        <w:t>2.1.1.7.</w:t>
      </w:r>
      <w:r w:rsidRPr="002F18BD">
        <w:rPr>
          <w:b/>
        </w:rPr>
        <w:tab/>
        <w:t>All seating positions of the seat row under test shall be fitted with all components of its safety belt.</w:t>
      </w:r>
      <w:r w:rsidRPr="002F18BD">
        <w:t>"</w:t>
      </w:r>
      <w:r w:rsidRPr="002F18BD">
        <w:rPr>
          <w:b/>
        </w:rPr>
        <w:t xml:space="preserve"> </w:t>
      </w:r>
    </w:p>
    <w:p w:rsidR="00A24AF1" w:rsidRPr="00A24AF1" w:rsidRDefault="00A24AF1" w:rsidP="00A24AF1">
      <w:pPr>
        <w:keepNext/>
        <w:keepLines/>
        <w:tabs>
          <w:tab w:val="right" w:pos="851"/>
        </w:tabs>
        <w:spacing w:before="360" w:after="240" w:line="300" w:lineRule="exact"/>
        <w:ind w:right="1134"/>
        <w:rPr>
          <w:b/>
          <w:sz w:val="28"/>
        </w:rPr>
      </w:pPr>
      <w:r w:rsidRPr="00A24AF1">
        <w:rPr>
          <w:b/>
          <w:sz w:val="28"/>
        </w:rPr>
        <w:tab/>
      </w:r>
      <w:r w:rsidRPr="00A24AF1">
        <w:rPr>
          <w:b/>
          <w:snapToGrid w:val="0"/>
          <w:sz w:val="28"/>
          <w:lang w:eastAsia="ja-JP"/>
        </w:rPr>
        <w:t>II</w:t>
      </w:r>
      <w:r w:rsidRPr="00A24AF1">
        <w:rPr>
          <w:b/>
          <w:snapToGrid w:val="0"/>
          <w:sz w:val="28"/>
        </w:rPr>
        <w:t>.</w:t>
      </w:r>
      <w:r w:rsidRPr="00A24AF1">
        <w:rPr>
          <w:b/>
          <w:snapToGrid w:val="0"/>
          <w:sz w:val="28"/>
        </w:rPr>
        <w:tab/>
      </w:r>
      <w:r w:rsidRPr="00A24AF1">
        <w:rPr>
          <w:b/>
          <w:snapToGrid w:val="0"/>
          <w:sz w:val="28"/>
          <w:lang w:eastAsia="ja-JP"/>
        </w:rPr>
        <w:t>Justification</w:t>
      </w:r>
    </w:p>
    <w:p w:rsidR="009D30FF" w:rsidRPr="002F18BD" w:rsidRDefault="002F18BD" w:rsidP="009D30FF">
      <w:pPr>
        <w:pStyle w:val="SingleTxtG"/>
        <w:rPr>
          <w:rFonts w:eastAsia="MS Mincho"/>
        </w:rPr>
      </w:pPr>
      <w:r>
        <w:rPr>
          <w:rFonts w:eastAsia="MS Mincho"/>
        </w:rPr>
        <w:tab/>
        <w:t xml:space="preserve">Tests according to Annex 9 of </w:t>
      </w:r>
      <w:r w:rsidR="00A4050A">
        <w:rPr>
          <w:rFonts w:eastAsia="MS Mincho"/>
        </w:rPr>
        <w:t xml:space="preserve">UN </w:t>
      </w:r>
      <w:r>
        <w:rPr>
          <w:rFonts w:eastAsia="MS Mincho"/>
        </w:rPr>
        <w:t>Regu</w:t>
      </w:r>
      <w:r w:rsidR="002821F2">
        <w:rPr>
          <w:rFonts w:eastAsia="MS Mincho"/>
        </w:rPr>
        <w:t>lation No. 17 have shown damage</w:t>
      </w:r>
      <w:r>
        <w:rPr>
          <w:rFonts w:eastAsia="MS Mincho"/>
        </w:rPr>
        <w:t xml:space="preserve"> of components like the retractor of the safety belt of the seat row under test. Due to the damages</w:t>
      </w:r>
      <w:r w:rsidR="002821F2">
        <w:rPr>
          <w:rFonts w:eastAsia="MS Mincho"/>
        </w:rPr>
        <w:t>,</w:t>
      </w:r>
      <w:r>
        <w:rPr>
          <w:rFonts w:eastAsia="MS Mincho"/>
        </w:rPr>
        <w:t xml:space="preserve"> the correct function</w:t>
      </w:r>
      <w:r w:rsidR="002821F2">
        <w:rPr>
          <w:rFonts w:eastAsia="MS Mincho"/>
        </w:rPr>
        <w:t xml:space="preserve"> of seat belts can be affected</w:t>
      </w:r>
      <w:r>
        <w:rPr>
          <w:rFonts w:eastAsia="MS Mincho"/>
        </w:rPr>
        <w:t xml:space="preserve"> and cause danger for occupants sitting on these seats. </w:t>
      </w:r>
      <w:r w:rsidRPr="009D2CEB">
        <w:rPr>
          <w:rFonts w:eastAsia="MS Mincho"/>
          <w:lang w:val="en-US"/>
        </w:rPr>
        <w:t xml:space="preserve"> The proposed amendments clarify that </w:t>
      </w:r>
      <w:r w:rsidR="002821F2">
        <w:rPr>
          <w:rFonts w:eastAsia="MS Mincho"/>
          <w:lang w:val="en-US"/>
        </w:rPr>
        <w:t>there shall not be any damage</w:t>
      </w:r>
      <w:r>
        <w:rPr>
          <w:rFonts w:eastAsia="MS Mincho"/>
          <w:lang w:val="en-US"/>
        </w:rPr>
        <w:t xml:space="preserve"> of the components of the safety belt after the test. </w:t>
      </w:r>
    </w:p>
    <w:p w:rsidR="00846103" w:rsidRPr="009D30FF" w:rsidRDefault="009D30FF" w:rsidP="009D30FF">
      <w:pPr>
        <w:spacing w:before="240"/>
        <w:ind w:left="1134" w:right="1134"/>
        <w:jc w:val="center"/>
        <w:rPr>
          <w:u w:val="single"/>
        </w:rPr>
      </w:pPr>
      <w:r w:rsidRPr="009D30FF">
        <w:rPr>
          <w:rFonts w:eastAsia="MS Mincho"/>
          <w:u w:val="single"/>
          <w:lang w:val="en-US"/>
        </w:rPr>
        <w:tab/>
      </w:r>
      <w:r w:rsidRPr="009D30FF">
        <w:rPr>
          <w:rFonts w:eastAsia="MS Mincho"/>
          <w:u w:val="single"/>
          <w:lang w:val="en-US"/>
        </w:rPr>
        <w:tab/>
      </w:r>
      <w:r w:rsidRPr="009D30FF">
        <w:rPr>
          <w:rFonts w:eastAsia="MS Mincho"/>
          <w:u w:val="single"/>
          <w:lang w:val="en-US"/>
        </w:rPr>
        <w:tab/>
      </w:r>
    </w:p>
    <w:sectPr w:rsidR="00846103" w:rsidRPr="009D30FF" w:rsidSect="002F41E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D1" w:rsidRDefault="00B87ED1"/>
  </w:endnote>
  <w:endnote w:type="continuationSeparator" w:id="0">
    <w:p w:rsidR="00B87ED1" w:rsidRDefault="00B87ED1"/>
  </w:endnote>
  <w:endnote w:type="continuationNotice" w:id="1">
    <w:p w:rsidR="00B87ED1" w:rsidRDefault="00B8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0B7B39">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0B7B39">
      <w:rPr>
        <w:b/>
        <w:noProof/>
        <w:sz w:val="18"/>
      </w:rPr>
      <w:t>3</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D6" w:rsidRDefault="002E66D6" w:rsidP="002E66D6">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5472430</wp:posOffset>
          </wp:positionH>
          <wp:positionV relativeFrom="margin">
            <wp:posOffset>7924800</wp:posOffset>
          </wp:positionV>
          <wp:extent cx="638175" cy="638175"/>
          <wp:effectExtent l="0" t="0" r="9525" b="9525"/>
          <wp:wrapNone/>
          <wp:docPr id="2" name="Picture 1" descr="https://undocs.org/m2/QRCode.ashx?DS=ECE/TRANS/WP.29/GRSP/2017/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4314190</wp:posOffset>
          </wp:positionH>
          <wp:positionV relativeFrom="margin">
            <wp:posOffset>8275320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E66D6" w:rsidRDefault="002E66D6" w:rsidP="002E66D6">
    <w:pPr>
      <w:pStyle w:val="Footer"/>
      <w:ind w:right="1134"/>
      <w:rPr>
        <w:sz w:val="20"/>
      </w:rPr>
    </w:pPr>
    <w:r>
      <w:rPr>
        <w:sz w:val="20"/>
      </w:rPr>
      <w:t>GE.17-16642(E)</w:t>
    </w:r>
  </w:p>
  <w:p w:rsidR="002E66D6" w:rsidRPr="002E66D6" w:rsidRDefault="002E66D6" w:rsidP="002E66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D1" w:rsidRPr="000B175B" w:rsidRDefault="00B87ED1" w:rsidP="000B175B">
      <w:pPr>
        <w:tabs>
          <w:tab w:val="right" w:pos="2155"/>
        </w:tabs>
        <w:spacing w:after="80"/>
        <w:ind w:left="680"/>
        <w:rPr>
          <w:u w:val="single"/>
        </w:rPr>
      </w:pPr>
      <w:r>
        <w:rPr>
          <w:u w:val="single"/>
        </w:rPr>
        <w:tab/>
      </w:r>
    </w:p>
  </w:footnote>
  <w:footnote w:type="continuationSeparator" w:id="0">
    <w:p w:rsidR="00B87ED1" w:rsidRPr="00FC68B7" w:rsidRDefault="00B87ED1" w:rsidP="00FC68B7">
      <w:pPr>
        <w:tabs>
          <w:tab w:val="left" w:pos="2155"/>
        </w:tabs>
        <w:spacing w:after="80"/>
        <w:ind w:left="680"/>
        <w:rPr>
          <w:u w:val="single"/>
        </w:rPr>
      </w:pPr>
      <w:r>
        <w:rPr>
          <w:u w:val="single"/>
        </w:rPr>
        <w:tab/>
      </w:r>
    </w:p>
  </w:footnote>
  <w:footnote w:type="continuationNotice" w:id="1">
    <w:p w:rsidR="00B87ED1" w:rsidRDefault="00B87ED1"/>
  </w:footnote>
  <w:footnote w:id="2">
    <w:p w:rsidR="001877D8" w:rsidRPr="002232AF" w:rsidRDefault="001877D8" w:rsidP="001877D8">
      <w:pPr>
        <w:pStyle w:val="FootnoteText"/>
        <w:rPr>
          <w:lang w:val="en-US"/>
        </w:rPr>
      </w:pPr>
      <w:r>
        <w:tab/>
      </w:r>
      <w:r w:rsidRPr="007406A7">
        <w:rPr>
          <w:rStyle w:val="FootnoteReference"/>
        </w:rPr>
        <w:t>*</w:t>
      </w:r>
      <w:r w:rsidRPr="007406A7">
        <w:tab/>
      </w:r>
      <w:r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483DDA">
    <w:pPr>
      <w:pStyle w:val="Header"/>
    </w:pPr>
    <w:r>
      <w:t>ECE/TRANS/WP.29/GRSP/</w:t>
    </w:r>
    <w:r w:rsidRPr="00FF122F">
      <w:t>201</w:t>
    </w:r>
    <w:r w:rsidR="009B621E" w:rsidRPr="00FF122F">
      <w:t>7</w:t>
    </w:r>
    <w:r w:rsidR="00DF3ED7">
      <w:t>/2</w:t>
    </w:r>
    <w:r w:rsidR="007415A2">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A" w:rsidRPr="002F41E8" w:rsidRDefault="00DF3ED7" w:rsidP="002F41E8">
    <w:pPr>
      <w:pStyle w:val="Header"/>
      <w:jc w:val="right"/>
    </w:pPr>
    <w:r>
      <w:t>ECE/TRANS/WP.29/GRSP/2017/2</w:t>
    </w:r>
    <w:r w:rsidR="002F18BD">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46B1F"/>
    <w:rsid w:val="00050F6B"/>
    <w:rsid w:val="00052635"/>
    <w:rsid w:val="00057E97"/>
    <w:rsid w:val="000646F4"/>
    <w:rsid w:val="00072C8C"/>
    <w:rsid w:val="000733B5"/>
    <w:rsid w:val="00081815"/>
    <w:rsid w:val="000931C0"/>
    <w:rsid w:val="000A5520"/>
    <w:rsid w:val="000B0595"/>
    <w:rsid w:val="000B175B"/>
    <w:rsid w:val="000B2F02"/>
    <w:rsid w:val="000B3A0F"/>
    <w:rsid w:val="000B4EF7"/>
    <w:rsid w:val="000B7B39"/>
    <w:rsid w:val="000C2C03"/>
    <w:rsid w:val="000C2D2E"/>
    <w:rsid w:val="000E0415"/>
    <w:rsid w:val="000F0F06"/>
    <w:rsid w:val="001103AA"/>
    <w:rsid w:val="0011666B"/>
    <w:rsid w:val="001223D7"/>
    <w:rsid w:val="00165F3A"/>
    <w:rsid w:val="00175E74"/>
    <w:rsid w:val="00182290"/>
    <w:rsid w:val="001877D8"/>
    <w:rsid w:val="001A12D2"/>
    <w:rsid w:val="001A3955"/>
    <w:rsid w:val="001B4B04"/>
    <w:rsid w:val="001C6663"/>
    <w:rsid w:val="001C7895"/>
    <w:rsid w:val="001D0C8C"/>
    <w:rsid w:val="001D1419"/>
    <w:rsid w:val="001D26DF"/>
    <w:rsid w:val="001D3A03"/>
    <w:rsid w:val="001E7B67"/>
    <w:rsid w:val="00202DA8"/>
    <w:rsid w:val="00211E0B"/>
    <w:rsid w:val="0024240B"/>
    <w:rsid w:val="002452B0"/>
    <w:rsid w:val="0024772E"/>
    <w:rsid w:val="00267F5F"/>
    <w:rsid w:val="002821F2"/>
    <w:rsid w:val="00286B4D"/>
    <w:rsid w:val="00286EC5"/>
    <w:rsid w:val="002A07E0"/>
    <w:rsid w:val="002C4B11"/>
    <w:rsid w:val="002D4643"/>
    <w:rsid w:val="002E66D6"/>
    <w:rsid w:val="002F175C"/>
    <w:rsid w:val="002F18BD"/>
    <w:rsid w:val="002F41E8"/>
    <w:rsid w:val="002F7DE0"/>
    <w:rsid w:val="00301CFA"/>
    <w:rsid w:val="00302E18"/>
    <w:rsid w:val="00316E25"/>
    <w:rsid w:val="003229D8"/>
    <w:rsid w:val="00340B2A"/>
    <w:rsid w:val="00352709"/>
    <w:rsid w:val="003619B5"/>
    <w:rsid w:val="00361AC3"/>
    <w:rsid w:val="00365763"/>
    <w:rsid w:val="00371178"/>
    <w:rsid w:val="00392E47"/>
    <w:rsid w:val="003A6810"/>
    <w:rsid w:val="003C0247"/>
    <w:rsid w:val="003C2CC4"/>
    <w:rsid w:val="003C534D"/>
    <w:rsid w:val="003D4B23"/>
    <w:rsid w:val="003E130E"/>
    <w:rsid w:val="00410C89"/>
    <w:rsid w:val="00422E03"/>
    <w:rsid w:val="00426B9B"/>
    <w:rsid w:val="004325CB"/>
    <w:rsid w:val="00442A83"/>
    <w:rsid w:val="0045495B"/>
    <w:rsid w:val="004561E5"/>
    <w:rsid w:val="0048397A"/>
    <w:rsid w:val="00483DDA"/>
    <w:rsid w:val="00485CBB"/>
    <w:rsid w:val="004866B7"/>
    <w:rsid w:val="004C2461"/>
    <w:rsid w:val="004C7462"/>
    <w:rsid w:val="004E77B2"/>
    <w:rsid w:val="00504B2D"/>
    <w:rsid w:val="0052136D"/>
    <w:rsid w:val="0052775E"/>
    <w:rsid w:val="005420F2"/>
    <w:rsid w:val="005472A9"/>
    <w:rsid w:val="0056209A"/>
    <w:rsid w:val="005628B6"/>
    <w:rsid w:val="005941EC"/>
    <w:rsid w:val="00595AD3"/>
    <w:rsid w:val="0059724D"/>
    <w:rsid w:val="005A6012"/>
    <w:rsid w:val="005B320C"/>
    <w:rsid w:val="005B3DB3"/>
    <w:rsid w:val="005B4E13"/>
    <w:rsid w:val="005C342F"/>
    <w:rsid w:val="005C7D1E"/>
    <w:rsid w:val="005D4AB1"/>
    <w:rsid w:val="005F7B75"/>
    <w:rsid w:val="006001EE"/>
    <w:rsid w:val="00605042"/>
    <w:rsid w:val="00611FC4"/>
    <w:rsid w:val="006176FB"/>
    <w:rsid w:val="00640B26"/>
    <w:rsid w:val="00652D0A"/>
    <w:rsid w:val="006555FD"/>
    <w:rsid w:val="00662BB6"/>
    <w:rsid w:val="00671B51"/>
    <w:rsid w:val="0067362F"/>
    <w:rsid w:val="00675C2A"/>
    <w:rsid w:val="00676606"/>
    <w:rsid w:val="00683BDB"/>
    <w:rsid w:val="00684C21"/>
    <w:rsid w:val="006A2530"/>
    <w:rsid w:val="006C3589"/>
    <w:rsid w:val="006D37AF"/>
    <w:rsid w:val="006D51D0"/>
    <w:rsid w:val="006D5FB9"/>
    <w:rsid w:val="006D658E"/>
    <w:rsid w:val="006E0054"/>
    <w:rsid w:val="006E0D8C"/>
    <w:rsid w:val="006E564B"/>
    <w:rsid w:val="006E7191"/>
    <w:rsid w:val="006F7BBC"/>
    <w:rsid w:val="00703577"/>
    <w:rsid w:val="00705894"/>
    <w:rsid w:val="0072632A"/>
    <w:rsid w:val="007327D5"/>
    <w:rsid w:val="007415A2"/>
    <w:rsid w:val="007574DE"/>
    <w:rsid w:val="007629C8"/>
    <w:rsid w:val="0077047D"/>
    <w:rsid w:val="00790B5A"/>
    <w:rsid w:val="00795C6F"/>
    <w:rsid w:val="007B6BA5"/>
    <w:rsid w:val="007C3390"/>
    <w:rsid w:val="007C4F4B"/>
    <w:rsid w:val="007E01E9"/>
    <w:rsid w:val="007E63F3"/>
    <w:rsid w:val="007F6611"/>
    <w:rsid w:val="00811920"/>
    <w:rsid w:val="00815AD0"/>
    <w:rsid w:val="00815EDB"/>
    <w:rsid w:val="00816A29"/>
    <w:rsid w:val="008242D7"/>
    <w:rsid w:val="008257B1"/>
    <w:rsid w:val="008310B6"/>
    <w:rsid w:val="00832334"/>
    <w:rsid w:val="00843767"/>
    <w:rsid w:val="00846103"/>
    <w:rsid w:val="008679D9"/>
    <w:rsid w:val="008878DE"/>
    <w:rsid w:val="008979B1"/>
    <w:rsid w:val="008A1ED5"/>
    <w:rsid w:val="008A6B25"/>
    <w:rsid w:val="008A6C4F"/>
    <w:rsid w:val="008B2335"/>
    <w:rsid w:val="008B2E36"/>
    <w:rsid w:val="008E0678"/>
    <w:rsid w:val="008F31D2"/>
    <w:rsid w:val="00915EF6"/>
    <w:rsid w:val="009223CA"/>
    <w:rsid w:val="00940F93"/>
    <w:rsid w:val="00941E1E"/>
    <w:rsid w:val="009448C3"/>
    <w:rsid w:val="00945582"/>
    <w:rsid w:val="00947074"/>
    <w:rsid w:val="009760F3"/>
    <w:rsid w:val="00976CFB"/>
    <w:rsid w:val="009A0830"/>
    <w:rsid w:val="009A0E8D"/>
    <w:rsid w:val="009B26E7"/>
    <w:rsid w:val="009B621E"/>
    <w:rsid w:val="009B64BB"/>
    <w:rsid w:val="009D30FF"/>
    <w:rsid w:val="00A00697"/>
    <w:rsid w:val="00A00A3F"/>
    <w:rsid w:val="00A01280"/>
    <w:rsid w:val="00A01489"/>
    <w:rsid w:val="00A127A5"/>
    <w:rsid w:val="00A24AF1"/>
    <w:rsid w:val="00A3026E"/>
    <w:rsid w:val="00A338F1"/>
    <w:rsid w:val="00A35BE0"/>
    <w:rsid w:val="00A4050A"/>
    <w:rsid w:val="00A45173"/>
    <w:rsid w:val="00A6129C"/>
    <w:rsid w:val="00A72F22"/>
    <w:rsid w:val="00A7360F"/>
    <w:rsid w:val="00A748A6"/>
    <w:rsid w:val="00A748FF"/>
    <w:rsid w:val="00A769F4"/>
    <w:rsid w:val="00A776B4"/>
    <w:rsid w:val="00A94361"/>
    <w:rsid w:val="00AA293C"/>
    <w:rsid w:val="00B130D1"/>
    <w:rsid w:val="00B25696"/>
    <w:rsid w:val="00B30179"/>
    <w:rsid w:val="00B421C1"/>
    <w:rsid w:val="00B53C21"/>
    <w:rsid w:val="00B55C71"/>
    <w:rsid w:val="00B56E4A"/>
    <w:rsid w:val="00B56E9C"/>
    <w:rsid w:val="00B57340"/>
    <w:rsid w:val="00B64B1F"/>
    <w:rsid w:val="00B6553F"/>
    <w:rsid w:val="00B77D05"/>
    <w:rsid w:val="00B81206"/>
    <w:rsid w:val="00B81E12"/>
    <w:rsid w:val="00B831D3"/>
    <w:rsid w:val="00B83BBC"/>
    <w:rsid w:val="00B84AD6"/>
    <w:rsid w:val="00B87ED1"/>
    <w:rsid w:val="00B91FD8"/>
    <w:rsid w:val="00B97A96"/>
    <w:rsid w:val="00BB5093"/>
    <w:rsid w:val="00BC3FA0"/>
    <w:rsid w:val="00BC74E9"/>
    <w:rsid w:val="00BD7D69"/>
    <w:rsid w:val="00BE191C"/>
    <w:rsid w:val="00BF68A8"/>
    <w:rsid w:val="00C11A03"/>
    <w:rsid w:val="00C22C0C"/>
    <w:rsid w:val="00C4527F"/>
    <w:rsid w:val="00C463DD"/>
    <w:rsid w:val="00C4724C"/>
    <w:rsid w:val="00C629A0"/>
    <w:rsid w:val="00C64629"/>
    <w:rsid w:val="00C745C3"/>
    <w:rsid w:val="00C96DF2"/>
    <w:rsid w:val="00CB3E03"/>
    <w:rsid w:val="00CD4AA6"/>
    <w:rsid w:val="00CE4A8F"/>
    <w:rsid w:val="00CF2993"/>
    <w:rsid w:val="00D01E78"/>
    <w:rsid w:val="00D06FAF"/>
    <w:rsid w:val="00D2031B"/>
    <w:rsid w:val="00D248B6"/>
    <w:rsid w:val="00D25FE2"/>
    <w:rsid w:val="00D26E07"/>
    <w:rsid w:val="00D32A2B"/>
    <w:rsid w:val="00D43252"/>
    <w:rsid w:val="00D47EEA"/>
    <w:rsid w:val="00D61D16"/>
    <w:rsid w:val="00D773DF"/>
    <w:rsid w:val="00D95303"/>
    <w:rsid w:val="00D978C6"/>
    <w:rsid w:val="00DA3C1C"/>
    <w:rsid w:val="00DC6D39"/>
    <w:rsid w:val="00DD73BD"/>
    <w:rsid w:val="00DF3ED7"/>
    <w:rsid w:val="00E046DF"/>
    <w:rsid w:val="00E12670"/>
    <w:rsid w:val="00E20805"/>
    <w:rsid w:val="00E22B0C"/>
    <w:rsid w:val="00E27346"/>
    <w:rsid w:val="00E40A45"/>
    <w:rsid w:val="00E560CA"/>
    <w:rsid w:val="00E71148"/>
    <w:rsid w:val="00E71BC8"/>
    <w:rsid w:val="00E7260F"/>
    <w:rsid w:val="00E73F5D"/>
    <w:rsid w:val="00E77E4E"/>
    <w:rsid w:val="00E90C58"/>
    <w:rsid w:val="00E96630"/>
    <w:rsid w:val="00EA2A77"/>
    <w:rsid w:val="00EC037C"/>
    <w:rsid w:val="00ED7A2A"/>
    <w:rsid w:val="00EF1D7F"/>
    <w:rsid w:val="00F00E3F"/>
    <w:rsid w:val="00F10E02"/>
    <w:rsid w:val="00F31E5F"/>
    <w:rsid w:val="00F33342"/>
    <w:rsid w:val="00F6100A"/>
    <w:rsid w:val="00F93781"/>
    <w:rsid w:val="00FB254C"/>
    <w:rsid w:val="00FB613B"/>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790</Words>
  <Characters>4503</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1716642</vt:lpstr>
      <vt:lpstr>United Nations</vt:lpstr>
    </vt:vector>
  </TitlesOfParts>
  <Company>CSD</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1716642</dc:title>
  <dc:subject>ECE/TRANS/WP.29/GRSP/2017/25</dc:subject>
  <dc:creator>Schramm</dc:creator>
  <cp:lastModifiedBy>Benedicte Boudol</cp:lastModifiedBy>
  <cp:revision>2</cp:revision>
  <cp:lastPrinted>2010-09-17T13:28:00Z</cp:lastPrinted>
  <dcterms:created xsi:type="dcterms:W3CDTF">2017-10-12T13:34:00Z</dcterms:created>
  <dcterms:modified xsi:type="dcterms:W3CDTF">2017-10-12T13:34:00Z</dcterms:modified>
</cp:coreProperties>
</file>